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213995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245110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2680970</wp:posOffset>
            </wp:positionH>
            <wp:positionV relativeFrom="paragraph">
              <wp:posOffset>163830</wp:posOffset>
            </wp:positionV>
            <wp:extent cx="178244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47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(RULE 14a-101)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 INFORMATION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of the Securities Exchange Act of 1934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9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2680970</wp:posOffset>
            </wp:positionH>
            <wp:positionV relativeFrom="paragraph">
              <wp:posOffset>177800</wp:posOffset>
            </wp:positionV>
            <wp:extent cx="178244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2680970</wp:posOffset>
            </wp:positionH>
            <wp:positionV relativeFrom="paragraph">
              <wp:posOffset>175260</wp:posOffset>
            </wp:positionV>
            <wp:extent cx="178244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346710</wp:posOffset>
            </wp:positionV>
            <wp:extent cx="1289685" cy="890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9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Mobileye Global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auto"/>
        </w:rPr>
        <w:t>(Name of Registrant as Specified In Its Charter)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auto"/>
        </w:rPr>
        <w:t>(Name of Person(s) Filing Proxy Statement,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auto"/>
        </w:rPr>
        <w:t>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2680970</wp:posOffset>
            </wp:positionH>
            <wp:positionV relativeFrom="paragraph">
              <wp:posOffset>163830</wp:posOffset>
            </wp:positionV>
            <wp:extent cx="178244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71443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198755</wp:posOffset>
            </wp:positionV>
            <wp:extent cx="7144385" cy="158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487680</wp:posOffset>
            </wp:positionV>
            <wp:extent cx="714438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292100</wp:posOffset>
            </wp:positionV>
            <wp:extent cx="6776720" cy="89344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2026-04-24T06:19:31Z</dcterms:created>
  <dcterms:modified xsi:type="dcterms:W3CDTF">2026-04-24T06:19:31Z</dcterms:modified>
</cp:coreProperties>
</file>