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282" w:lineRule="exact"/>
        <w:rPr>
          <w:sz w:val="24"/>
          <w:szCs w:val="24"/>
          <w:color w:val="auto"/>
        </w:rPr>
      </w:pPr>
    </w:p>
    <w:p>
      <w:pPr>
        <w:ind w:left="3000"/>
        <w:spacing w:after="0"/>
        <w:rPr>
          <w:sz w:val="20"/>
          <w:szCs w:val="20"/>
          <w:color w:val="auto"/>
        </w:rPr>
      </w:pPr>
      <w:r>
        <w:rPr>
          <w:rFonts w:ascii="Arial" w:cs="Arial" w:eastAsia="Arial" w:hAnsi="Arial"/>
          <w:sz w:val="15"/>
          <w:szCs w:val="15"/>
          <w:b w:val="1"/>
          <w:bCs w:val="1"/>
          <w:color w:val="auto"/>
        </w:rPr>
        <w:t>As filed with the Securities and Exchange Commission on June 5, 2023.</w:t>
      </w:r>
    </w:p>
    <w:p>
      <w:pPr>
        <w:spacing w:after="0" w:line="29"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333-   ​</w:t>
      </w:r>
    </w:p>
    <w:p>
      <w:pPr>
        <w:ind w:left="480"/>
        <w:spacing w:after="0"/>
        <w:rPr>
          <w:sz w:val="20"/>
          <w:szCs w:val="20"/>
          <w:color w:val="auto"/>
        </w:rPr>
      </w:pPr>
      <w:r>
        <w:rPr>
          <w:rFonts w:ascii="Arial" w:cs="Arial" w:eastAsia="Arial" w:hAnsi="Arial"/>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308610</wp:posOffset>
            </wp:positionH>
            <wp:positionV relativeFrom="paragraph">
              <wp:posOffset>-1270</wp:posOffset>
            </wp:positionV>
            <wp:extent cx="601726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7260" cy="1651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39370</wp:posOffset>
            </wp:positionV>
            <wp:extent cx="6017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7260" cy="8255"/>
                    </a:xfrm>
                    <a:prstGeom prst="rect">
                      <a:avLst/>
                    </a:prstGeom>
                    <a:noFill/>
                  </pic:spPr>
                </pic:pic>
              </a:graphicData>
            </a:graphic>
          </wp:anchor>
        </w:drawing>
      </w:r>
    </w:p>
    <w:p>
      <w:pPr>
        <w:spacing w:after="0" w:line="88" w:lineRule="exact"/>
        <w:rPr>
          <w:sz w:val="24"/>
          <w:szCs w:val="24"/>
          <w:color w:val="auto"/>
        </w:rPr>
      </w:pPr>
    </w:p>
    <w:p>
      <w:pPr>
        <w:jc w:val="center"/>
        <w:ind w:right="-439"/>
        <w:spacing w:after="0"/>
        <w:rPr>
          <w:sz w:val="20"/>
          <w:szCs w:val="20"/>
          <w:color w:val="auto"/>
        </w:rPr>
      </w:pPr>
      <w:r>
        <w:rPr>
          <w:rFonts w:ascii="Arial" w:cs="Arial" w:eastAsia="Arial" w:hAnsi="Arial"/>
          <w:sz w:val="28"/>
          <w:szCs w:val="28"/>
          <w:b w:val="1"/>
          <w:bCs w:val="1"/>
          <w:color w:val="auto"/>
        </w:rPr>
        <w:t>UNITED STATES</w:t>
      </w:r>
    </w:p>
    <w:p>
      <w:pPr>
        <w:jc w:val="center"/>
        <w:ind w:right="-439"/>
        <w:spacing w:after="0" w:line="220" w:lineRule="auto"/>
        <w:rPr>
          <w:sz w:val="20"/>
          <w:szCs w:val="20"/>
          <w:color w:val="auto"/>
        </w:rPr>
      </w:pPr>
      <w:r>
        <w:rPr>
          <w:rFonts w:ascii="Arial" w:cs="Arial" w:eastAsia="Arial" w:hAnsi="Arial"/>
          <w:sz w:val="28"/>
          <w:szCs w:val="28"/>
          <w:b w:val="1"/>
          <w:bCs w:val="1"/>
          <w:color w:val="auto"/>
        </w:rPr>
        <w:t>SECURITIES AND EXCHANGE COMMISSION</w:t>
      </w:r>
    </w:p>
    <w:p>
      <w:pPr>
        <w:spacing w:after="0" w:line="1" w:lineRule="exact"/>
        <w:rPr>
          <w:sz w:val="24"/>
          <w:szCs w:val="24"/>
          <w:color w:val="auto"/>
        </w:rPr>
      </w:pPr>
    </w:p>
    <w:p>
      <w:pPr>
        <w:jc w:val="center"/>
        <w:ind w:right="-43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69215</wp:posOffset>
            </wp:positionV>
            <wp:extent cx="12020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149" w:lineRule="exact"/>
        <w:rPr>
          <w:sz w:val="24"/>
          <w:szCs w:val="24"/>
          <w:color w:val="auto"/>
        </w:rPr>
      </w:pPr>
    </w:p>
    <w:p>
      <w:pPr>
        <w:jc w:val="center"/>
        <w:ind w:right="-439"/>
        <w:spacing w:after="0"/>
        <w:rPr>
          <w:sz w:val="20"/>
          <w:szCs w:val="20"/>
          <w:color w:val="auto"/>
        </w:rPr>
      </w:pPr>
      <w:r>
        <w:rPr>
          <w:rFonts w:ascii="Arial" w:cs="Arial" w:eastAsia="Arial" w:hAnsi="Arial"/>
          <w:sz w:val="28"/>
          <w:szCs w:val="28"/>
          <w:b w:val="1"/>
          <w:bCs w:val="1"/>
          <w:color w:val="auto"/>
        </w:rPr>
        <w:t>FORM S-1</w:t>
      </w:r>
    </w:p>
    <w:p>
      <w:pPr>
        <w:spacing w:after="0" w:line="20" w:lineRule="exact"/>
        <w:rPr>
          <w:sz w:val="24"/>
          <w:szCs w:val="24"/>
          <w:color w:val="auto"/>
        </w:rPr>
      </w:pPr>
    </w:p>
    <w:p>
      <w:pPr>
        <w:ind w:left="4180"/>
        <w:spacing w:after="0"/>
        <w:rPr>
          <w:sz w:val="20"/>
          <w:szCs w:val="20"/>
          <w:color w:val="auto"/>
        </w:rPr>
      </w:pPr>
      <w:r>
        <w:rPr>
          <w:rFonts w:ascii="Arial" w:cs="Arial" w:eastAsia="Arial" w:hAnsi="Arial"/>
          <w:sz w:val="15"/>
          <w:szCs w:val="15"/>
          <w:b w:val="1"/>
          <w:bCs w:val="1"/>
          <w:color w:val="auto"/>
        </w:rPr>
        <w:t>REGISTRATION STATEMENT</w:t>
      </w:r>
    </w:p>
    <w:p>
      <w:pPr>
        <w:ind w:left="4960"/>
        <w:spacing w:after="0" w:line="235" w:lineRule="auto"/>
        <w:rPr>
          <w:sz w:val="20"/>
          <w:szCs w:val="20"/>
          <w:color w:val="auto"/>
        </w:rPr>
      </w:pPr>
      <w:r>
        <w:rPr>
          <w:rFonts w:ascii="Arial" w:cs="Arial" w:eastAsia="Arial" w:hAnsi="Arial"/>
          <w:sz w:val="15"/>
          <w:szCs w:val="15"/>
          <w:b w:val="1"/>
          <w:bCs w:val="1"/>
          <w:i w:val="1"/>
          <w:iCs w:val="1"/>
          <w:color w:val="auto"/>
        </w:rPr>
        <w:t>UNDER</w:t>
      </w:r>
    </w:p>
    <w:p>
      <w:pPr>
        <w:jc w:val="center"/>
        <w:ind w:right="-43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69215</wp:posOffset>
            </wp:positionV>
            <wp:extent cx="12020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149" w:lineRule="exact"/>
        <w:rPr>
          <w:sz w:val="24"/>
          <w:szCs w:val="24"/>
          <w:color w:val="auto"/>
        </w:rPr>
      </w:pPr>
    </w:p>
    <w:p>
      <w:pPr>
        <w:jc w:val="center"/>
        <w:ind w:right="-439"/>
        <w:spacing w:after="0"/>
        <w:rPr>
          <w:sz w:val="20"/>
          <w:szCs w:val="20"/>
          <w:color w:val="auto"/>
        </w:rPr>
      </w:pPr>
      <w:r>
        <w:rPr>
          <w:rFonts w:ascii="Arial" w:cs="Arial" w:eastAsia="Arial" w:hAnsi="Arial"/>
          <w:sz w:val="28"/>
          <w:szCs w:val="28"/>
          <w:b w:val="1"/>
          <w:bCs w:val="1"/>
          <w:color w:val="auto"/>
        </w:rPr>
        <w:t>Mobileye Global Inc.</w:t>
      </w:r>
    </w:p>
    <w:p>
      <w:pPr>
        <w:spacing w:after="0" w:line="32" w:lineRule="exact"/>
        <w:rPr>
          <w:sz w:val="24"/>
          <w:szCs w:val="24"/>
          <w:color w:val="auto"/>
        </w:rPr>
      </w:pPr>
    </w:p>
    <w:p>
      <w:pPr>
        <w:ind w:left="364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60325</wp:posOffset>
            </wp:positionV>
            <wp:extent cx="1202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95" w:lineRule="exact"/>
        <w:rPr>
          <w:sz w:val="24"/>
          <w:szCs w:val="24"/>
          <w:color w:val="auto"/>
        </w:rPr>
      </w:pPr>
    </w:p>
    <w:tbl>
      <w:tblPr>
        <w:tblLayout w:type="fixed"/>
        <w:tblInd w:w="480" w:type="dxa"/>
        <w:tblCellMar>
          <w:top w:w="0" w:type="dxa"/>
          <w:left w:w="0" w:type="dxa"/>
          <w:bottom w:w="0" w:type="dxa"/>
          <w:right w:w="0" w:type="dxa"/>
        </w:tblCellMar>
      </w:tblPr>
      <w:tr>
        <w:trPr>
          <w:trHeight w:val="172"/>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2820" w:type="dxa"/>
            <w:vAlign w:val="bottom"/>
          </w:tcPr>
          <w:p>
            <w:pPr>
              <w:jc w:val="center"/>
              <w:spacing w:after="0"/>
              <w:rPr>
                <w:sz w:val="20"/>
                <w:szCs w:val="20"/>
                <w:color w:val="auto"/>
              </w:rPr>
            </w:pPr>
            <w:r>
              <w:rPr>
                <w:rFonts w:ascii="Arial" w:cs="Arial" w:eastAsia="Arial" w:hAnsi="Arial"/>
                <w:sz w:val="15"/>
                <w:szCs w:val="15"/>
                <w:b w:val="1"/>
                <w:bCs w:val="1"/>
                <w:color w:val="auto"/>
                <w:w w:val="91"/>
              </w:rPr>
              <w:t>Delaware</w:t>
            </w:r>
          </w:p>
        </w:tc>
        <w:tc>
          <w:tcPr>
            <w:tcW w:w="400" w:type="dxa"/>
            <w:vAlign w:val="bottom"/>
          </w:tcPr>
          <w:p>
            <w:pPr>
              <w:ind w:left="140"/>
              <w:spacing w:after="0"/>
              <w:rPr>
                <w:sz w:val="20"/>
                <w:szCs w:val="20"/>
                <w:color w:val="auto"/>
              </w:rPr>
            </w:pPr>
            <w:r>
              <w:rPr>
                <w:rFonts w:ascii="Arial" w:cs="Arial" w:eastAsia="Arial" w:hAnsi="Arial"/>
                <w:sz w:val="14"/>
                <w:szCs w:val="14"/>
                <w:color w:val="auto"/>
              </w:rPr>
              <w:t>​ ​</w:t>
            </w:r>
          </w:p>
        </w:tc>
        <w:tc>
          <w:tcPr>
            <w:tcW w:w="2360" w:type="dxa"/>
            <w:vAlign w:val="bottom"/>
            <w:gridSpan w:val="2"/>
          </w:tcPr>
          <w:p>
            <w:pPr>
              <w:jc w:val="center"/>
              <w:ind w:left="383"/>
              <w:spacing w:after="0"/>
              <w:rPr>
                <w:sz w:val="20"/>
                <w:szCs w:val="20"/>
                <w:color w:val="auto"/>
              </w:rPr>
            </w:pPr>
            <w:r>
              <w:rPr>
                <w:rFonts w:ascii="Arial" w:cs="Arial" w:eastAsia="Arial" w:hAnsi="Arial"/>
                <w:sz w:val="15"/>
                <w:szCs w:val="15"/>
                <w:b w:val="1"/>
                <w:bCs w:val="1"/>
                <w:color w:val="auto"/>
                <w:w w:val="89"/>
              </w:rPr>
              <w:t>7372</w:t>
            </w:r>
          </w:p>
        </w:tc>
        <w:tc>
          <w:tcPr>
            <w:tcW w:w="48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4"/>
                <w:szCs w:val="14"/>
                <w:color w:val="auto"/>
              </w:rPr>
              <w:t>​ ​</w:t>
            </w:r>
          </w:p>
        </w:tc>
        <w:tc>
          <w:tcPr>
            <w:tcW w:w="2380" w:type="dxa"/>
            <w:vAlign w:val="bottom"/>
          </w:tcPr>
          <w:p>
            <w:pPr>
              <w:jc w:val="right"/>
              <w:ind w:right="745"/>
              <w:spacing w:after="0"/>
              <w:rPr>
                <w:sz w:val="20"/>
                <w:szCs w:val="20"/>
                <w:color w:val="auto"/>
              </w:rPr>
            </w:pPr>
            <w:r>
              <w:rPr>
                <w:rFonts w:ascii="Arial" w:cs="Arial" w:eastAsia="Arial" w:hAnsi="Arial"/>
                <w:sz w:val="15"/>
                <w:szCs w:val="15"/>
                <w:b w:val="1"/>
                <w:bCs w:val="1"/>
                <w:color w:val="auto"/>
              </w:rPr>
              <w:t>88-0666433</w:t>
            </w:r>
          </w:p>
        </w:tc>
        <w:tc>
          <w:tcPr>
            <w:tcW w:w="360" w:type="dxa"/>
            <w:vAlign w:val="bottom"/>
          </w:tcPr>
          <w:p>
            <w:pPr>
              <w:ind w:left="320"/>
              <w:spacing w:after="0"/>
              <w:rPr>
                <w:sz w:val="20"/>
                <w:szCs w:val="20"/>
                <w:color w:val="auto"/>
              </w:rPr>
            </w:pPr>
            <w:r>
              <w:rPr>
                <w:rFonts w:ascii="Arial" w:cs="Arial" w:eastAsia="Arial" w:hAnsi="Arial"/>
                <w:sz w:val="14"/>
                <w:szCs w:val="14"/>
                <w:color w:val="auto"/>
              </w:rPr>
              <w:t>​</w:t>
            </w:r>
          </w:p>
        </w:tc>
      </w:tr>
      <w:tr>
        <w:trPr>
          <w:trHeight w:val="150"/>
        </w:trPr>
        <w:tc>
          <w:tcPr>
            <w:tcW w:w="120" w:type="dxa"/>
            <w:vAlign w:val="bottom"/>
          </w:tcPr>
          <w:p>
            <w:pPr>
              <w:spacing w:after="0"/>
              <w:rPr>
                <w:sz w:val="13"/>
                <w:szCs w:val="13"/>
                <w:color w:val="auto"/>
              </w:rPr>
            </w:pPr>
          </w:p>
        </w:tc>
        <w:tc>
          <w:tcPr>
            <w:tcW w:w="2820" w:type="dxa"/>
            <w:vAlign w:val="bottom"/>
          </w:tcPr>
          <w:p>
            <w:pPr>
              <w:jc w:val="center"/>
              <w:spacing w:after="0" w:line="150" w:lineRule="exact"/>
              <w:rPr>
                <w:sz w:val="20"/>
                <w:szCs w:val="20"/>
                <w:color w:val="auto"/>
              </w:rPr>
            </w:pPr>
            <w:r>
              <w:rPr>
                <w:rFonts w:ascii="Arial" w:cs="Arial" w:eastAsia="Arial" w:hAnsi="Arial"/>
                <w:sz w:val="14"/>
                <w:szCs w:val="14"/>
                <w:color w:val="auto"/>
                <w:w w:val="96"/>
              </w:rPr>
              <w:t>(State or Other Jurisdiction of Incorporation</w:t>
            </w: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80" w:type="dxa"/>
            <w:vAlign w:val="bottom"/>
            <w:gridSpan w:val="2"/>
          </w:tcPr>
          <w:p>
            <w:pPr>
              <w:jc w:val="center"/>
              <w:ind w:right="500"/>
              <w:spacing w:after="0" w:line="150" w:lineRule="exact"/>
              <w:rPr>
                <w:sz w:val="20"/>
                <w:szCs w:val="20"/>
                <w:color w:val="auto"/>
              </w:rPr>
            </w:pPr>
            <w:r>
              <w:rPr>
                <w:rFonts w:ascii="Arial" w:cs="Arial" w:eastAsia="Arial" w:hAnsi="Arial"/>
                <w:sz w:val="14"/>
                <w:szCs w:val="14"/>
                <w:color w:val="auto"/>
                <w:w w:val="96"/>
              </w:rPr>
              <w:t>(Primary Standard Industrial</w:t>
            </w:r>
          </w:p>
        </w:tc>
        <w:tc>
          <w:tcPr>
            <w:tcW w:w="600" w:type="dxa"/>
            <w:vAlign w:val="bottom"/>
          </w:tcPr>
          <w:p>
            <w:pPr>
              <w:spacing w:after="0"/>
              <w:rPr>
                <w:sz w:val="13"/>
                <w:szCs w:val="13"/>
                <w:color w:val="auto"/>
              </w:rPr>
            </w:pPr>
          </w:p>
        </w:tc>
        <w:tc>
          <w:tcPr>
            <w:tcW w:w="2380" w:type="dxa"/>
            <w:vAlign w:val="bottom"/>
          </w:tcPr>
          <w:p>
            <w:pPr>
              <w:jc w:val="center"/>
              <w:spacing w:after="0" w:line="150" w:lineRule="exact"/>
              <w:rPr>
                <w:sz w:val="20"/>
                <w:szCs w:val="20"/>
                <w:color w:val="auto"/>
              </w:rPr>
            </w:pPr>
            <w:r>
              <w:rPr>
                <w:rFonts w:ascii="Arial" w:cs="Arial" w:eastAsia="Arial" w:hAnsi="Arial"/>
                <w:sz w:val="14"/>
                <w:szCs w:val="14"/>
                <w:color w:val="auto"/>
                <w:w w:val="97"/>
              </w:rPr>
              <w:t>(I.R.S. Employer</w:t>
            </w:r>
          </w:p>
        </w:tc>
        <w:tc>
          <w:tcPr>
            <w:tcW w:w="360" w:type="dxa"/>
            <w:vAlign w:val="bottom"/>
          </w:tcPr>
          <w:p>
            <w:pPr>
              <w:spacing w:after="0"/>
              <w:rPr>
                <w:sz w:val="13"/>
                <w:szCs w:val="13"/>
                <w:color w:val="auto"/>
              </w:rPr>
            </w:pPr>
          </w:p>
        </w:tc>
      </w:tr>
      <w:tr>
        <w:trPr>
          <w:trHeight w:val="200"/>
        </w:trPr>
        <w:tc>
          <w:tcPr>
            <w:tcW w:w="12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auto"/>
                <w:w w:val="97"/>
              </w:rPr>
              <w:t>or Organization)</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80" w:type="dxa"/>
            <w:vAlign w:val="bottom"/>
            <w:gridSpan w:val="2"/>
          </w:tcPr>
          <w:p>
            <w:pPr>
              <w:jc w:val="center"/>
              <w:ind w:right="500"/>
              <w:spacing w:after="0"/>
              <w:rPr>
                <w:sz w:val="20"/>
                <w:szCs w:val="20"/>
                <w:color w:val="auto"/>
              </w:rPr>
            </w:pPr>
            <w:r>
              <w:rPr>
                <w:rFonts w:ascii="Arial" w:cs="Arial" w:eastAsia="Arial" w:hAnsi="Arial"/>
                <w:sz w:val="14"/>
                <w:szCs w:val="14"/>
                <w:color w:val="auto"/>
                <w:w w:val="96"/>
              </w:rPr>
              <w:t>Classification Code Number)</w:t>
            </w:r>
          </w:p>
        </w:tc>
        <w:tc>
          <w:tcPr>
            <w:tcW w:w="60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Arial" w:cs="Arial" w:eastAsia="Arial" w:hAnsi="Arial"/>
                <w:sz w:val="14"/>
                <w:szCs w:val="14"/>
                <w:color w:val="auto"/>
                <w:w w:val="99"/>
              </w:rPr>
              <w:t>Identification Number)</w:t>
            </w:r>
          </w:p>
        </w:tc>
        <w:tc>
          <w:tcPr>
            <w:tcW w:w="360" w:type="dxa"/>
            <w:vAlign w:val="bottom"/>
          </w:tcPr>
          <w:p>
            <w:pPr>
              <w:spacing w:after="0"/>
              <w:rPr>
                <w:sz w:val="17"/>
                <w:szCs w:val="17"/>
                <w:color w:val="auto"/>
              </w:rPr>
            </w:pPr>
          </w:p>
        </w:tc>
      </w:tr>
      <w:tr>
        <w:trPr>
          <w:trHeight w:val="236"/>
        </w:trPr>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8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89"/>
              </w:rPr>
              <w:t>c/o Mobileye B.V.</w:t>
            </w:r>
          </w:p>
        </w:tc>
        <w:tc>
          <w:tcPr>
            <w:tcW w:w="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171"/>
        </w:trPr>
        <w:tc>
          <w:tcPr>
            <w:tcW w:w="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40" w:type="dxa"/>
            <w:vAlign w:val="bottom"/>
            <w:gridSpan w:val="3"/>
          </w:tcPr>
          <w:p>
            <w:pPr>
              <w:jc w:val="center"/>
              <w:ind w:right="40"/>
              <w:spacing w:after="0" w:line="171" w:lineRule="exact"/>
              <w:rPr>
                <w:sz w:val="20"/>
                <w:szCs w:val="20"/>
                <w:color w:val="auto"/>
              </w:rPr>
            </w:pPr>
            <w:r>
              <w:rPr>
                <w:rFonts w:ascii="Arial" w:cs="Arial" w:eastAsia="Arial" w:hAnsi="Arial"/>
                <w:sz w:val="15"/>
                <w:szCs w:val="15"/>
                <w:b w:val="1"/>
                <w:bCs w:val="1"/>
                <w:color w:val="auto"/>
                <w:w w:val="92"/>
              </w:rPr>
              <w:t>Har Hotzvim, 13 Hartom Street</w:t>
            </w:r>
          </w:p>
        </w:tc>
        <w:tc>
          <w:tcPr>
            <w:tcW w:w="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80" w:type="dxa"/>
            <w:vAlign w:val="bottom"/>
            <w:gridSpan w:val="2"/>
          </w:tcPr>
          <w:p>
            <w:pPr>
              <w:jc w:val="center"/>
              <w:ind w:right="500"/>
              <w:spacing w:after="0" w:line="171" w:lineRule="exact"/>
              <w:rPr>
                <w:sz w:val="20"/>
                <w:szCs w:val="20"/>
                <w:color w:val="auto"/>
              </w:rPr>
            </w:pPr>
            <w:r>
              <w:rPr>
                <w:rFonts w:ascii="Arial" w:cs="Arial" w:eastAsia="Arial" w:hAnsi="Arial"/>
                <w:sz w:val="15"/>
                <w:szCs w:val="15"/>
                <w:b w:val="1"/>
                <w:bCs w:val="1"/>
                <w:color w:val="auto"/>
                <w:w w:val="88"/>
              </w:rPr>
              <w:t>P.O. Box 45157</w:t>
            </w:r>
          </w:p>
        </w:tc>
        <w:tc>
          <w:tcPr>
            <w:tcW w:w="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58"/>
        </w:trPr>
        <w:tc>
          <w:tcPr>
            <w:tcW w:w="1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80" w:type="dxa"/>
            <w:vAlign w:val="bottom"/>
            <w:gridSpan w:val="2"/>
          </w:tcPr>
          <w:p>
            <w:pPr>
              <w:jc w:val="center"/>
              <w:ind w:right="500"/>
              <w:spacing w:after="0" w:line="158" w:lineRule="exact"/>
              <w:rPr>
                <w:sz w:val="20"/>
                <w:szCs w:val="20"/>
                <w:color w:val="auto"/>
              </w:rPr>
            </w:pPr>
            <w:r>
              <w:rPr>
                <w:rFonts w:ascii="Arial" w:cs="Arial" w:eastAsia="Arial" w:hAnsi="Arial"/>
                <w:sz w:val="15"/>
                <w:szCs w:val="15"/>
                <w:b w:val="1"/>
                <w:bCs w:val="1"/>
                <w:color w:val="auto"/>
                <w:w w:val="88"/>
              </w:rPr>
              <w:t>Jerusalem 9777513, Israel</w:t>
            </w:r>
          </w:p>
        </w:tc>
        <w:tc>
          <w:tcPr>
            <w:tcW w:w="6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1"/>
        </w:trPr>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60" w:type="dxa"/>
            <w:vAlign w:val="bottom"/>
            <w:gridSpan w:val="2"/>
          </w:tcPr>
          <w:p>
            <w:pPr>
              <w:jc w:val="center"/>
              <w:ind w:left="363"/>
              <w:spacing w:after="0"/>
              <w:rPr>
                <w:sz w:val="20"/>
                <w:szCs w:val="20"/>
                <w:color w:val="auto"/>
              </w:rPr>
            </w:pPr>
            <w:r>
              <w:rPr>
                <w:rFonts w:ascii="Arial" w:cs="Arial" w:eastAsia="Arial" w:hAnsi="Arial"/>
                <w:sz w:val="15"/>
                <w:szCs w:val="15"/>
                <w:b w:val="1"/>
                <w:bCs w:val="1"/>
                <w:color w:val="auto"/>
                <w:w w:val="90"/>
              </w:rPr>
              <w:t>+972-2-541-7333</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80"/>
        </w:trPr>
        <w:tc>
          <w:tcPr>
            <w:tcW w:w="120" w:type="dxa"/>
            <w:vAlign w:val="bottom"/>
          </w:tcPr>
          <w:p>
            <w:pPr>
              <w:spacing w:after="0"/>
              <w:rPr>
                <w:sz w:val="15"/>
                <w:szCs w:val="15"/>
                <w:color w:val="auto"/>
              </w:rPr>
            </w:pPr>
          </w:p>
        </w:tc>
        <w:tc>
          <w:tcPr>
            <w:tcW w:w="9040" w:type="dxa"/>
            <w:vAlign w:val="bottom"/>
            <w:gridSpan w:val="7"/>
          </w:tcPr>
          <w:p>
            <w:pPr>
              <w:jc w:val="center"/>
              <w:ind w:left="126"/>
              <w:spacing w:after="0"/>
              <w:rPr>
                <w:sz w:val="20"/>
                <w:szCs w:val="20"/>
                <w:color w:val="auto"/>
              </w:rPr>
            </w:pPr>
            <w:r>
              <w:rPr>
                <w:rFonts w:ascii="Arial" w:cs="Arial" w:eastAsia="Arial" w:hAnsi="Arial"/>
                <w:sz w:val="14"/>
                <w:szCs w:val="14"/>
                <w:color w:val="auto"/>
                <w:w w:val="95"/>
              </w:rPr>
              <w:t>(Address, including zip code, and telephone number, including area code, of Registrant’s principal executive offices)</w:t>
            </w:r>
          </w:p>
        </w:tc>
        <w:tc>
          <w:tcPr>
            <w:tcW w:w="360" w:type="dxa"/>
            <w:vAlign w:val="bottom"/>
          </w:tcPr>
          <w:p>
            <w:pPr>
              <w:spacing w:after="0"/>
              <w:rPr>
                <w:sz w:val="15"/>
                <w:szCs w:val="15"/>
                <w:color w:val="auto"/>
              </w:rPr>
            </w:pPr>
          </w:p>
        </w:tc>
      </w:tr>
      <w:tr>
        <w:trPr>
          <w:trHeight w:val="89"/>
        </w:trPr>
        <w:tc>
          <w:tcPr>
            <w:tcW w:w="1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19"/>
        </w:trPr>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8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93"/>
              </w:rPr>
              <w:t>Anat Heller</w:t>
            </w:r>
          </w:p>
        </w:tc>
        <w:tc>
          <w:tcPr>
            <w:tcW w:w="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171"/>
        </w:trPr>
        <w:tc>
          <w:tcPr>
            <w:tcW w:w="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80" w:type="dxa"/>
            <w:vAlign w:val="bottom"/>
            <w:gridSpan w:val="2"/>
          </w:tcPr>
          <w:p>
            <w:pPr>
              <w:jc w:val="center"/>
              <w:ind w:right="480"/>
              <w:spacing w:after="0" w:line="171" w:lineRule="exact"/>
              <w:rPr>
                <w:sz w:val="20"/>
                <w:szCs w:val="20"/>
                <w:color w:val="auto"/>
              </w:rPr>
            </w:pPr>
            <w:r>
              <w:rPr>
                <w:rFonts w:ascii="Arial" w:cs="Arial" w:eastAsia="Arial" w:hAnsi="Arial"/>
                <w:sz w:val="15"/>
                <w:szCs w:val="15"/>
                <w:b w:val="1"/>
                <w:bCs w:val="1"/>
                <w:color w:val="auto"/>
                <w:w w:val="91"/>
              </w:rPr>
              <w:t>Chief Financial Officer</w:t>
            </w:r>
          </w:p>
        </w:tc>
        <w:tc>
          <w:tcPr>
            <w:tcW w:w="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58"/>
        </w:trPr>
        <w:tc>
          <w:tcPr>
            <w:tcW w:w="1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80" w:type="dxa"/>
            <w:vAlign w:val="bottom"/>
            <w:gridSpan w:val="2"/>
          </w:tcPr>
          <w:p>
            <w:pPr>
              <w:jc w:val="center"/>
              <w:ind w:right="480"/>
              <w:spacing w:after="0" w:line="158" w:lineRule="exact"/>
              <w:rPr>
                <w:sz w:val="20"/>
                <w:szCs w:val="20"/>
                <w:color w:val="auto"/>
              </w:rPr>
            </w:pPr>
            <w:r>
              <w:rPr>
                <w:rFonts w:ascii="Arial" w:cs="Arial" w:eastAsia="Arial" w:hAnsi="Arial"/>
                <w:sz w:val="15"/>
                <w:szCs w:val="15"/>
                <w:b w:val="1"/>
                <w:bCs w:val="1"/>
                <w:color w:val="auto"/>
                <w:w w:val="89"/>
              </w:rPr>
              <w:t>c/o Mobileye B.V.</w:t>
            </w:r>
          </w:p>
        </w:tc>
        <w:tc>
          <w:tcPr>
            <w:tcW w:w="6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71"/>
        </w:trPr>
        <w:tc>
          <w:tcPr>
            <w:tcW w:w="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40" w:type="dxa"/>
            <w:vAlign w:val="bottom"/>
            <w:gridSpan w:val="3"/>
          </w:tcPr>
          <w:p>
            <w:pPr>
              <w:jc w:val="center"/>
              <w:ind w:right="40"/>
              <w:spacing w:after="0" w:line="171" w:lineRule="exact"/>
              <w:rPr>
                <w:sz w:val="20"/>
                <w:szCs w:val="20"/>
                <w:color w:val="auto"/>
              </w:rPr>
            </w:pPr>
            <w:r>
              <w:rPr>
                <w:rFonts w:ascii="Arial" w:cs="Arial" w:eastAsia="Arial" w:hAnsi="Arial"/>
                <w:sz w:val="15"/>
                <w:szCs w:val="15"/>
                <w:b w:val="1"/>
                <w:bCs w:val="1"/>
                <w:color w:val="auto"/>
                <w:w w:val="92"/>
              </w:rPr>
              <w:t>Har Hotzvim, 13 Hartom Street</w:t>
            </w:r>
          </w:p>
        </w:tc>
        <w:tc>
          <w:tcPr>
            <w:tcW w:w="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80" w:type="dxa"/>
            <w:vAlign w:val="bottom"/>
            <w:gridSpan w:val="2"/>
          </w:tcPr>
          <w:p>
            <w:pPr>
              <w:jc w:val="center"/>
              <w:ind w:right="500"/>
              <w:spacing w:after="0" w:line="171" w:lineRule="exact"/>
              <w:rPr>
                <w:sz w:val="20"/>
                <w:szCs w:val="20"/>
                <w:color w:val="auto"/>
              </w:rPr>
            </w:pPr>
            <w:r>
              <w:rPr>
                <w:rFonts w:ascii="Arial" w:cs="Arial" w:eastAsia="Arial" w:hAnsi="Arial"/>
                <w:sz w:val="15"/>
                <w:szCs w:val="15"/>
                <w:b w:val="1"/>
                <w:bCs w:val="1"/>
                <w:color w:val="auto"/>
                <w:w w:val="88"/>
              </w:rPr>
              <w:t>P.O. Box 45157</w:t>
            </w:r>
          </w:p>
        </w:tc>
        <w:tc>
          <w:tcPr>
            <w:tcW w:w="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58"/>
        </w:trPr>
        <w:tc>
          <w:tcPr>
            <w:tcW w:w="1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80" w:type="dxa"/>
            <w:vAlign w:val="bottom"/>
            <w:gridSpan w:val="2"/>
          </w:tcPr>
          <w:p>
            <w:pPr>
              <w:jc w:val="center"/>
              <w:ind w:right="500"/>
              <w:spacing w:after="0" w:line="158" w:lineRule="exact"/>
              <w:rPr>
                <w:sz w:val="20"/>
                <w:szCs w:val="20"/>
                <w:color w:val="auto"/>
              </w:rPr>
            </w:pPr>
            <w:r>
              <w:rPr>
                <w:rFonts w:ascii="Arial" w:cs="Arial" w:eastAsia="Arial" w:hAnsi="Arial"/>
                <w:sz w:val="15"/>
                <w:szCs w:val="15"/>
                <w:b w:val="1"/>
                <w:bCs w:val="1"/>
                <w:color w:val="auto"/>
                <w:w w:val="88"/>
              </w:rPr>
              <w:t>Jerusalem 9777513, Israel</w:t>
            </w:r>
          </w:p>
        </w:tc>
        <w:tc>
          <w:tcPr>
            <w:tcW w:w="6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1"/>
        </w:trPr>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60" w:type="dxa"/>
            <w:vAlign w:val="bottom"/>
            <w:gridSpan w:val="2"/>
          </w:tcPr>
          <w:p>
            <w:pPr>
              <w:jc w:val="center"/>
              <w:ind w:left="363"/>
              <w:spacing w:after="0"/>
              <w:rPr>
                <w:sz w:val="20"/>
                <w:szCs w:val="20"/>
                <w:color w:val="auto"/>
              </w:rPr>
            </w:pPr>
            <w:r>
              <w:rPr>
                <w:rFonts w:ascii="Arial" w:cs="Arial" w:eastAsia="Arial" w:hAnsi="Arial"/>
                <w:sz w:val="15"/>
                <w:szCs w:val="15"/>
                <w:b w:val="1"/>
                <w:bCs w:val="1"/>
                <w:color w:val="auto"/>
                <w:w w:val="90"/>
              </w:rPr>
              <w:t>+972-2-541-7333</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80"/>
        </w:trPr>
        <w:tc>
          <w:tcPr>
            <w:tcW w:w="120" w:type="dxa"/>
            <w:vAlign w:val="bottom"/>
          </w:tcPr>
          <w:p>
            <w:pPr>
              <w:spacing w:after="0"/>
              <w:rPr>
                <w:sz w:val="15"/>
                <w:szCs w:val="15"/>
                <w:color w:val="auto"/>
              </w:rPr>
            </w:pPr>
          </w:p>
        </w:tc>
        <w:tc>
          <w:tcPr>
            <w:tcW w:w="9040" w:type="dxa"/>
            <w:vAlign w:val="bottom"/>
            <w:gridSpan w:val="7"/>
          </w:tcPr>
          <w:p>
            <w:pPr>
              <w:jc w:val="center"/>
              <w:ind w:left="126"/>
              <w:spacing w:after="0"/>
              <w:rPr>
                <w:sz w:val="20"/>
                <w:szCs w:val="20"/>
                <w:color w:val="auto"/>
              </w:rPr>
            </w:pPr>
            <w:r>
              <w:rPr>
                <w:rFonts w:ascii="Arial" w:cs="Arial" w:eastAsia="Arial" w:hAnsi="Arial"/>
                <w:sz w:val="14"/>
                <w:szCs w:val="14"/>
                <w:color w:val="auto"/>
                <w:w w:val="94"/>
              </w:rPr>
              <w:t>(Name, address, including zip code, and telephone number, including area code, of agent for service)</w:t>
            </w:r>
          </w:p>
        </w:tc>
        <w:tc>
          <w:tcPr>
            <w:tcW w:w="360" w:type="dxa"/>
            <w:vAlign w:val="bottom"/>
          </w:tcPr>
          <w:p>
            <w:pPr>
              <w:spacing w:after="0"/>
              <w:rPr>
                <w:sz w:val="15"/>
                <w:szCs w:val="15"/>
                <w:color w:val="auto"/>
              </w:rPr>
            </w:pPr>
          </w:p>
        </w:tc>
      </w:tr>
      <w:tr>
        <w:trPr>
          <w:trHeight w:val="89"/>
        </w:trPr>
        <w:tc>
          <w:tcPr>
            <w:tcW w:w="1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49"/>
        </w:trPr>
        <w:tc>
          <w:tcPr>
            <w:tcW w:w="1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80" w:type="dxa"/>
            <w:vAlign w:val="bottom"/>
            <w:gridSpan w:val="2"/>
          </w:tcPr>
          <w:p>
            <w:pPr>
              <w:jc w:val="center"/>
              <w:ind w:right="480"/>
              <w:spacing w:after="0"/>
              <w:rPr>
                <w:sz w:val="20"/>
                <w:szCs w:val="20"/>
                <w:color w:val="auto"/>
              </w:rPr>
            </w:pPr>
            <w:r>
              <w:rPr>
                <w:rFonts w:ascii="Arial" w:cs="Arial" w:eastAsia="Arial" w:hAnsi="Arial"/>
                <w:sz w:val="15"/>
                <w:szCs w:val="15"/>
                <w:b w:val="1"/>
                <w:bCs w:val="1"/>
                <w:i w:val="1"/>
                <w:iCs w:val="1"/>
                <w:color w:val="auto"/>
                <w:w w:val="84"/>
              </w:rPr>
              <w:t>Copies to:</w:t>
            </w:r>
          </w:p>
        </w:tc>
        <w:tc>
          <w:tcPr>
            <w:tcW w:w="6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32"/>
        </w:trPr>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2820" w:type="dxa"/>
            <w:vAlign w:val="bottom"/>
          </w:tcPr>
          <w:p>
            <w:pPr>
              <w:jc w:val="center"/>
              <w:spacing w:after="0"/>
              <w:rPr>
                <w:sz w:val="20"/>
                <w:szCs w:val="20"/>
                <w:color w:val="auto"/>
              </w:rPr>
            </w:pPr>
            <w:r>
              <w:rPr>
                <w:rFonts w:ascii="Arial" w:cs="Arial" w:eastAsia="Arial" w:hAnsi="Arial"/>
                <w:sz w:val="15"/>
                <w:szCs w:val="15"/>
                <w:b w:val="1"/>
                <w:bCs w:val="1"/>
                <w:color w:val="auto"/>
                <w:w w:val="93"/>
              </w:rPr>
              <w:t>Michael Kaplan</w:t>
            </w:r>
          </w:p>
        </w:tc>
        <w:tc>
          <w:tcPr>
            <w:tcW w:w="400" w:type="dxa"/>
            <w:vAlign w:val="bottom"/>
          </w:tcPr>
          <w:p>
            <w:pPr>
              <w:ind w:left="140"/>
              <w:spacing w:after="0"/>
              <w:rPr>
                <w:sz w:val="20"/>
                <w:szCs w:val="20"/>
                <w:color w:val="auto"/>
              </w:rPr>
            </w:pPr>
            <w:r>
              <w:rPr>
                <w:rFonts w:ascii="Arial" w:cs="Arial" w:eastAsia="Arial" w:hAnsi="Arial"/>
                <w:sz w:val="15"/>
                <w:szCs w:val="15"/>
                <w:b w:val="1"/>
                <w:bCs w:val="1"/>
                <w:color w:val="auto"/>
              </w:rPr>
              <w:t>​ ​</w:t>
            </w:r>
          </w:p>
        </w:tc>
        <w:tc>
          <w:tcPr>
            <w:tcW w:w="460" w:type="dxa"/>
            <w:vAlign w:val="bottom"/>
          </w:tcPr>
          <w:p>
            <w:pPr>
              <w:spacing w:after="0"/>
              <w:rPr>
                <w:sz w:val="20"/>
                <w:szCs w:val="20"/>
                <w:color w:val="auto"/>
              </w:rPr>
            </w:pPr>
          </w:p>
        </w:tc>
        <w:tc>
          <w:tcPr>
            <w:tcW w:w="238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90"/>
              </w:rPr>
              <w:t>Liz Cohen-Yerushalmi</w:t>
            </w:r>
          </w:p>
        </w:tc>
        <w:tc>
          <w:tcPr>
            <w:tcW w:w="600" w:type="dxa"/>
            <w:vAlign w:val="bottom"/>
          </w:tcPr>
          <w:p>
            <w:pPr>
              <w:ind w:left="120"/>
              <w:spacing w:after="0"/>
              <w:rPr>
                <w:sz w:val="20"/>
                <w:szCs w:val="20"/>
                <w:color w:val="auto"/>
              </w:rPr>
            </w:pPr>
            <w:r>
              <w:rPr>
                <w:rFonts w:ascii="Arial" w:cs="Arial" w:eastAsia="Arial" w:hAnsi="Arial"/>
                <w:sz w:val="15"/>
                <w:szCs w:val="15"/>
                <w:b w:val="1"/>
                <w:bCs w:val="1"/>
                <w:color w:val="auto"/>
              </w:rPr>
              <w:t>​ ​</w:t>
            </w:r>
          </w:p>
        </w:tc>
        <w:tc>
          <w:tcPr>
            <w:tcW w:w="2380" w:type="dxa"/>
            <w:vAlign w:val="bottom"/>
          </w:tcPr>
          <w:p>
            <w:pPr>
              <w:jc w:val="center"/>
              <w:spacing w:after="0"/>
              <w:rPr>
                <w:sz w:val="20"/>
                <w:szCs w:val="20"/>
                <w:color w:val="auto"/>
              </w:rPr>
            </w:pPr>
            <w:r>
              <w:rPr>
                <w:rFonts w:ascii="Arial" w:cs="Arial" w:eastAsia="Arial" w:hAnsi="Arial"/>
                <w:sz w:val="15"/>
                <w:szCs w:val="15"/>
                <w:b w:val="1"/>
                <w:bCs w:val="1"/>
                <w:color w:val="auto"/>
                <w:w w:val="89"/>
              </w:rPr>
              <w:t>John L. Savva</w:t>
            </w:r>
          </w:p>
        </w:tc>
        <w:tc>
          <w:tcPr>
            <w:tcW w:w="360" w:type="dxa"/>
            <w:vAlign w:val="bottom"/>
          </w:tcPr>
          <w:p>
            <w:pPr>
              <w:ind w:left="320"/>
              <w:spacing w:after="0"/>
              <w:rPr>
                <w:sz w:val="20"/>
                <w:szCs w:val="20"/>
                <w:color w:val="auto"/>
              </w:rPr>
            </w:pPr>
            <w:r>
              <w:rPr>
                <w:rFonts w:ascii="Arial" w:cs="Arial" w:eastAsia="Arial" w:hAnsi="Arial"/>
                <w:sz w:val="15"/>
                <w:szCs w:val="15"/>
                <w:b w:val="1"/>
                <w:bCs w:val="1"/>
                <w:color w:val="auto"/>
              </w:rPr>
              <w:t>​</w:t>
            </w:r>
          </w:p>
        </w:tc>
      </w:tr>
      <w:tr>
        <w:trPr>
          <w:trHeight w:val="184"/>
        </w:trPr>
        <w:tc>
          <w:tcPr>
            <w:tcW w:w="1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5"/>
                <w:szCs w:val="15"/>
                <w:b w:val="1"/>
                <w:bCs w:val="1"/>
                <w:color w:val="auto"/>
                <w:w w:val="94"/>
              </w:rPr>
              <w:t>Davis Polk &amp; Wardwell LLP</w:t>
            </w:r>
          </w:p>
        </w:tc>
        <w:tc>
          <w:tcPr>
            <w:tcW w:w="400" w:type="dxa"/>
            <w:vAlign w:val="bottom"/>
          </w:tcPr>
          <w:p>
            <w:pPr>
              <w:spacing w:after="0"/>
              <w:rPr>
                <w:sz w:val="16"/>
                <w:szCs w:val="16"/>
                <w:color w:val="auto"/>
              </w:rPr>
            </w:pPr>
          </w:p>
        </w:tc>
        <w:tc>
          <w:tcPr>
            <w:tcW w:w="2840" w:type="dxa"/>
            <w:vAlign w:val="bottom"/>
            <w:gridSpan w:val="3"/>
          </w:tcPr>
          <w:p>
            <w:pPr>
              <w:jc w:val="center"/>
              <w:ind w:right="20"/>
              <w:spacing w:after="0"/>
              <w:rPr>
                <w:sz w:val="20"/>
                <w:szCs w:val="20"/>
                <w:color w:val="auto"/>
              </w:rPr>
            </w:pPr>
            <w:r>
              <w:rPr>
                <w:rFonts w:ascii="Arial" w:cs="Arial" w:eastAsia="Arial" w:hAnsi="Arial"/>
                <w:sz w:val="15"/>
                <w:szCs w:val="15"/>
                <w:b w:val="1"/>
                <w:bCs w:val="1"/>
                <w:color w:val="auto"/>
                <w:w w:val="89"/>
              </w:rPr>
              <w:t>Chief Legal Officer and General Counsel</w:t>
            </w:r>
          </w:p>
        </w:tc>
        <w:tc>
          <w:tcPr>
            <w:tcW w:w="60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Arial" w:cs="Arial" w:eastAsia="Arial" w:hAnsi="Arial"/>
                <w:sz w:val="15"/>
                <w:szCs w:val="15"/>
                <w:b w:val="1"/>
                <w:bCs w:val="1"/>
                <w:color w:val="auto"/>
                <w:w w:val="93"/>
              </w:rPr>
              <w:t>Sullivan &amp; Cromwell LLP</w:t>
            </w:r>
          </w:p>
        </w:tc>
        <w:tc>
          <w:tcPr>
            <w:tcW w:w="360" w:type="dxa"/>
            <w:vAlign w:val="bottom"/>
          </w:tcPr>
          <w:p>
            <w:pPr>
              <w:spacing w:after="0"/>
              <w:rPr>
                <w:sz w:val="16"/>
                <w:szCs w:val="16"/>
                <w:color w:val="auto"/>
              </w:rPr>
            </w:pPr>
          </w:p>
        </w:tc>
      </w:tr>
      <w:tr>
        <w:trPr>
          <w:trHeight w:val="184"/>
        </w:trPr>
        <w:tc>
          <w:tcPr>
            <w:tcW w:w="1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5"/>
                <w:szCs w:val="15"/>
                <w:b w:val="1"/>
                <w:bCs w:val="1"/>
                <w:color w:val="auto"/>
                <w:w w:val="87"/>
              </w:rPr>
              <w:t>450 Lexington Avenue</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89"/>
              </w:rPr>
              <w:t>c/o Mobileye B.V.</w:t>
            </w:r>
          </w:p>
        </w:tc>
        <w:tc>
          <w:tcPr>
            <w:tcW w:w="60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Arial" w:cs="Arial" w:eastAsia="Arial" w:hAnsi="Arial"/>
                <w:sz w:val="15"/>
                <w:szCs w:val="15"/>
                <w:b w:val="1"/>
                <w:bCs w:val="1"/>
                <w:color w:val="auto"/>
                <w:w w:val="90"/>
              </w:rPr>
              <w:t>1870 Embarcadero Road</w:t>
            </w:r>
          </w:p>
        </w:tc>
        <w:tc>
          <w:tcPr>
            <w:tcW w:w="360" w:type="dxa"/>
            <w:vAlign w:val="bottom"/>
          </w:tcPr>
          <w:p>
            <w:pPr>
              <w:spacing w:after="0"/>
              <w:rPr>
                <w:sz w:val="16"/>
                <w:szCs w:val="16"/>
                <w:color w:val="auto"/>
              </w:rPr>
            </w:pPr>
          </w:p>
        </w:tc>
      </w:tr>
      <w:tr>
        <w:trPr>
          <w:trHeight w:val="184"/>
        </w:trPr>
        <w:tc>
          <w:tcPr>
            <w:tcW w:w="1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5"/>
                <w:szCs w:val="15"/>
                <w:b w:val="1"/>
                <w:bCs w:val="1"/>
                <w:color w:val="auto"/>
                <w:w w:val="91"/>
              </w:rPr>
              <w:t>New York, New York 10017</w:t>
            </w:r>
          </w:p>
        </w:tc>
        <w:tc>
          <w:tcPr>
            <w:tcW w:w="400" w:type="dxa"/>
            <w:vAlign w:val="bottom"/>
          </w:tcPr>
          <w:p>
            <w:pPr>
              <w:spacing w:after="0"/>
              <w:rPr>
                <w:sz w:val="16"/>
                <w:szCs w:val="16"/>
                <w:color w:val="auto"/>
              </w:rPr>
            </w:pPr>
          </w:p>
        </w:tc>
        <w:tc>
          <w:tcPr>
            <w:tcW w:w="284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92"/>
              </w:rPr>
              <w:t>Har Hotzvim, 13 Hartom Street</w:t>
            </w:r>
          </w:p>
        </w:tc>
        <w:tc>
          <w:tcPr>
            <w:tcW w:w="60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Arial" w:cs="Arial" w:eastAsia="Arial" w:hAnsi="Arial"/>
                <w:sz w:val="15"/>
                <w:szCs w:val="15"/>
                <w:b w:val="1"/>
                <w:bCs w:val="1"/>
                <w:color w:val="auto"/>
                <w:w w:val="90"/>
              </w:rPr>
              <w:t>Palo Alto, California 94303</w:t>
            </w:r>
          </w:p>
        </w:tc>
        <w:tc>
          <w:tcPr>
            <w:tcW w:w="360" w:type="dxa"/>
            <w:vAlign w:val="bottom"/>
          </w:tcPr>
          <w:p>
            <w:pPr>
              <w:spacing w:after="0"/>
              <w:rPr>
                <w:sz w:val="16"/>
                <w:szCs w:val="16"/>
                <w:color w:val="auto"/>
              </w:rPr>
            </w:pPr>
          </w:p>
        </w:tc>
      </w:tr>
      <w:tr>
        <w:trPr>
          <w:trHeight w:val="184"/>
        </w:trPr>
        <w:tc>
          <w:tcPr>
            <w:tcW w:w="1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5"/>
                <w:szCs w:val="15"/>
                <w:b w:val="1"/>
                <w:bCs w:val="1"/>
                <w:color w:val="auto"/>
                <w:w w:val="89"/>
              </w:rPr>
              <w:t>(212) 450-4000</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2"/>
          </w:tcPr>
          <w:p>
            <w:pPr>
              <w:jc w:val="center"/>
              <w:ind w:right="500"/>
              <w:spacing w:after="0"/>
              <w:rPr>
                <w:sz w:val="20"/>
                <w:szCs w:val="20"/>
                <w:color w:val="auto"/>
              </w:rPr>
            </w:pPr>
            <w:r>
              <w:rPr>
                <w:rFonts w:ascii="Arial" w:cs="Arial" w:eastAsia="Arial" w:hAnsi="Arial"/>
                <w:sz w:val="15"/>
                <w:szCs w:val="15"/>
                <w:b w:val="1"/>
                <w:bCs w:val="1"/>
                <w:color w:val="auto"/>
                <w:w w:val="88"/>
              </w:rPr>
              <w:t>P.O. Box 45157</w:t>
            </w:r>
          </w:p>
        </w:tc>
        <w:tc>
          <w:tcPr>
            <w:tcW w:w="600" w:type="dxa"/>
            <w:vAlign w:val="bottom"/>
          </w:tcPr>
          <w:p>
            <w:pPr>
              <w:spacing w:after="0"/>
              <w:rPr>
                <w:sz w:val="16"/>
                <w:szCs w:val="16"/>
                <w:color w:val="auto"/>
              </w:rPr>
            </w:pPr>
          </w:p>
        </w:tc>
        <w:tc>
          <w:tcPr>
            <w:tcW w:w="2380" w:type="dxa"/>
            <w:vAlign w:val="bottom"/>
          </w:tcPr>
          <w:p>
            <w:pPr>
              <w:jc w:val="right"/>
              <w:ind w:right="645"/>
              <w:spacing w:after="0"/>
              <w:rPr>
                <w:sz w:val="20"/>
                <w:szCs w:val="20"/>
                <w:color w:val="auto"/>
              </w:rPr>
            </w:pPr>
            <w:r>
              <w:rPr>
                <w:rFonts w:ascii="Arial" w:cs="Arial" w:eastAsia="Arial" w:hAnsi="Arial"/>
                <w:sz w:val="15"/>
                <w:szCs w:val="15"/>
                <w:b w:val="1"/>
                <w:bCs w:val="1"/>
                <w:color w:val="auto"/>
              </w:rPr>
              <w:t>(650) 461-5600</w:t>
            </w:r>
          </w:p>
        </w:tc>
        <w:tc>
          <w:tcPr>
            <w:tcW w:w="360" w:type="dxa"/>
            <w:vAlign w:val="bottom"/>
          </w:tcPr>
          <w:p>
            <w:pPr>
              <w:spacing w:after="0"/>
              <w:rPr>
                <w:sz w:val="16"/>
                <w:szCs w:val="16"/>
                <w:color w:val="auto"/>
              </w:rPr>
            </w:pPr>
          </w:p>
        </w:tc>
      </w:tr>
      <w:tr>
        <w:trPr>
          <w:trHeight w:val="184"/>
        </w:trPr>
        <w:tc>
          <w:tcPr>
            <w:tcW w:w="1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2"/>
          </w:tcPr>
          <w:p>
            <w:pPr>
              <w:jc w:val="center"/>
              <w:ind w:right="500"/>
              <w:spacing w:after="0"/>
              <w:rPr>
                <w:sz w:val="20"/>
                <w:szCs w:val="20"/>
                <w:color w:val="auto"/>
              </w:rPr>
            </w:pPr>
            <w:r>
              <w:rPr>
                <w:rFonts w:ascii="Arial" w:cs="Arial" w:eastAsia="Arial" w:hAnsi="Arial"/>
                <w:sz w:val="15"/>
                <w:szCs w:val="15"/>
                <w:b w:val="1"/>
                <w:bCs w:val="1"/>
                <w:color w:val="auto"/>
                <w:w w:val="88"/>
              </w:rPr>
              <w:t>Jerusalem 9777513, Israel</w:t>
            </w:r>
          </w:p>
        </w:tc>
        <w:tc>
          <w:tcPr>
            <w:tcW w:w="6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1"/>
        </w:trPr>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60" w:type="dxa"/>
            <w:vAlign w:val="bottom"/>
            <w:gridSpan w:val="2"/>
          </w:tcPr>
          <w:p>
            <w:pPr>
              <w:jc w:val="center"/>
              <w:ind w:left="363"/>
              <w:spacing w:after="0"/>
              <w:rPr>
                <w:sz w:val="20"/>
                <w:szCs w:val="20"/>
                <w:color w:val="auto"/>
              </w:rPr>
            </w:pPr>
            <w:r>
              <w:rPr>
                <w:rFonts w:ascii="Arial" w:cs="Arial" w:eastAsia="Arial" w:hAnsi="Arial"/>
                <w:sz w:val="15"/>
                <w:szCs w:val="15"/>
                <w:b w:val="1"/>
                <w:bCs w:val="1"/>
                <w:color w:val="auto"/>
                <w:w w:val="90"/>
              </w:rPr>
              <w:t>+972-2-541-7333</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53975</wp:posOffset>
            </wp:positionV>
            <wp:extent cx="1202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134" w:lineRule="exact"/>
        <w:rPr>
          <w:sz w:val="24"/>
          <w:szCs w:val="24"/>
          <w:color w:val="auto"/>
        </w:rPr>
      </w:pPr>
    </w:p>
    <w:p>
      <w:pPr>
        <w:ind w:left="84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the effective date of this registration statement.</w:t>
      </w:r>
    </w:p>
    <w:p>
      <w:pPr>
        <w:spacing w:after="0" w:line="67" w:lineRule="exact"/>
        <w:rPr>
          <w:sz w:val="24"/>
          <w:szCs w:val="24"/>
          <w:color w:val="auto"/>
        </w:rPr>
      </w:pPr>
    </w:p>
    <w:p>
      <w:pPr>
        <w:ind w:left="480" w:right="480" w:firstLine="350"/>
        <w:spacing w:after="0" w:line="189"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left="480" w:right="400" w:firstLine="350"/>
        <w:spacing w:after="0" w:line="191"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480" w:right="520" w:firstLine="350"/>
        <w:spacing w:after="0" w:line="184" w:lineRule="exact"/>
        <w:rPr>
          <w:sz w:val="20"/>
          <w:szCs w:val="20"/>
          <w:color w:val="auto"/>
        </w:rPr>
      </w:pPr>
      <w:r>
        <w:rPr>
          <w:rFonts w:ascii="Arial" w:cs="Arial" w:eastAsia="Arial" w:hAnsi="Arial"/>
          <w:sz w:val="15"/>
          <w:szCs w:val="15"/>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ind w:left="480" w:right="500" w:firstLine="350"/>
        <w:spacing w:after="0" w:line="191" w:lineRule="exact"/>
        <w:rPr>
          <w:sz w:val="20"/>
          <w:szCs w:val="20"/>
          <w:color w:val="auto"/>
        </w:rPr>
      </w:pPr>
      <w:r>
        <w:rPr>
          <w:rFonts w:ascii="Arial" w:cs="Arial" w:eastAsia="Arial" w:hAnsi="Arial"/>
          <w:sz w:val="15"/>
          <w:szCs w:val="15"/>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ind w:left="840"/>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w:t>
      </w:r>
    </w:p>
    <w:p>
      <w:pPr>
        <w:spacing w:after="0" w:line="1" w:lineRule="exact"/>
        <w:rPr>
          <w:sz w:val="24"/>
          <w:szCs w:val="24"/>
          <w:color w:val="auto"/>
        </w:rPr>
      </w:pPr>
    </w:p>
    <w:p>
      <w:pPr>
        <w:ind w:left="480" w:right="200"/>
        <w:spacing w:after="0" w:line="237" w:lineRule="auto"/>
        <w:rPr>
          <w:sz w:val="20"/>
          <w:szCs w:val="20"/>
          <w:color w:val="auto"/>
        </w:rPr>
      </w:pPr>
      <w:r>
        <w:rPr>
          <w:rFonts w:ascii="Arial" w:cs="Arial" w:eastAsia="Arial" w:hAnsi="Arial"/>
          <w:sz w:val="15"/>
          <w:szCs w:val="15"/>
          <w:color w:val="auto"/>
        </w:rPr>
        <w:t>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00"/>
          </w:cols>
          <w:pgMar w:left="720" w:top="196" w:right="1179" w:bottom="1440" w:gutter="0" w:footer="0" w:header="0"/>
        </w:sectPr>
      </w:pPr>
    </w:p>
    <w:p>
      <w:pPr>
        <w:spacing w:after="0" w:line="2" w:lineRule="exact"/>
        <w:rPr>
          <w:sz w:val="24"/>
          <w:szCs w:val="24"/>
          <w:color w:val="auto"/>
        </w:rPr>
      </w:pPr>
    </w:p>
    <w:tbl>
      <w:tblPr>
        <w:tblLayout w:type="fixed"/>
        <w:tblInd w:w="480" w:type="dxa"/>
        <w:tblCellMar>
          <w:top w:w="0" w:type="dxa"/>
          <w:left w:w="0" w:type="dxa"/>
          <w:bottom w:w="0" w:type="dxa"/>
          <w:right w:w="0" w:type="dxa"/>
        </w:tblCellMar>
      </w:tblPr>
      <w:tr>
        <w:trPr>
          <w:trHeight w:val="189"/>
        </w:trPr>
        <w:tc>
          <w:tcPr>
            <w:tcW w:w="400" w:type="dxa"/>
            <w:vAlign w:val="bottom"/>
          </w:tcPr>
          <w:p>
            <w:pPr>
              <w:spacing w:after="0"/>
              <w:rPr>
                <w:sz w:val="20"/>
                <w:szCs w:val="20"/>
                <w:color w:val="auto"/>
              </w:rPr>
            </w:pPr>
            <w:r>
              <w:rPr>
                <w:rFonts w:ascii="Arial" w:cs="Arial" w:eastAsia="Arial" w:hAnsi="Arial"/>
                <w:sz w:val="15"/>
                <w:szCs w:val="15"/>
                <w:color w:val="auto"/>
                <w:w w:val="98"/>
              </w:rPr>
              <w:t>Large​</w:t>
            </w:r>
          </w:p>
        </w:tc>
        <w:tc>
          <w:tcPr>
            <w:tcW w:w="1440" w:type="dxa"/>
            <w:vAlign w:val="bottom"/>
          </w:tcPr>
          <w:p>
            <w:pPr>
              <w:ind w:left="20"/>
              <w:spacing w:after="0"/>
              <w:rPr>
                <w:sz w:val="20"/>
                <w:szCs w:val="20"/>
                <w:color w:val="auto"/>
              </w:rPr>
            </w:pPr>
            <w:r>
              <w:rPr>
                <w:rFonts w:ascii="Arial" w:cs="Arial" w:eastAsia="Arial" w:hAnsi="Arial"/>
                <w:sz w:val="15"/>
                <w:szCs w:val="15"/>
                <w:color w:val="auto"/>
              </w:rPr>
              <w:t>accelerated filer</w:t>
            </w:r>
          </w:p>
        </w:tc>
        <w:tc>
          <w:tcPr>
            <w:tcW w:w="1760" w:type="dxa"/>
            <w:vAlign w:val="bottom"/>
            <w:gridSpan w:val="2"/>
          </w:tcPr>
          <w:p>
            <w:pPr>
              <w:ind w:left="380"/>
              <w:spacing w:after="0" w:line="173" w:lineRule="exact"/>
              <w:rPr>
                <w:sz w:val="20"/>
                <w:szCs w:val="20"/>
                <w:color w:val="auto"/>
              </w:rPr>
            </w:pPr>
            <w:r>
              <w:rPr>
                <w:rFonts w:ascii="Arial" w:cs="Arial" w:eastAsia="Arial" w:hAnsi="Arial"/>
                <w:sz w:val="15"/>
                <w:szCs w:val="15"/>
                <w:color w:val="auto"/>
              </w:rPr>
              <w:t xml:space="preserve">​ ​ </w:t>
            </w:r>
            <w:r>
              <w:rPr>
                <w:rFonts w:ascii="MS PGothic" w:cs="MS PGothic" w:eastAsia="MS PGothic" w:hAnsi="MS PGothic"/>
                <w:sz w:val="15"/>
                <w:szCs w:val="15"/>
                <w:color w:val="auto"/>
              </w:rPr>
              <w:t>☐</w:t>
            </w:r>
          </w:p>
        </w:tc>
        <w:tc>
          <w:tcPr>
            <w:tcW w:w="3020" w:type="dxa"/>
            <w:vAlign w:val="bottom"/>
            <w:gridSpan w:val="2"/>
          </w:tcPr>
          <w:p>
            <w:pPr>
              <w:ind w:left="1040"/>
              <w:spacing w:after="0"/>
              <w:rPr>
                <w:sz w:val="20"/>
                <w:szCs w:val="20"/>
                <w:color w:val="auto"/>
              </w:rPr>
            </w:pPr>
            <w:r>
              <w:rPr>
                <w:rFonts w:ascii="Arial" w:cs="Arial" w:eastAsia="Arial" w:hAnsi="Arial"/>
                <w:sz w:val="15"/>
                <w:szCs w:val="15"/>
                <w:color w:val="auto"/>
              </w:rPr>
              <w:t>​ ​ Accelerated filer</w:t>
            </w:r>
          </w:p>
        </w:tc>
        <w:tc>
          <w:tcPr>
            <w:tcW w:w="0" w:type="dxa"/>
            <w:vAlign w:val="bottom"/>
          </w:tcPr>
          <w:p>
            <w:pPr>
              <w:spacing w:after="0"/>
              <w:rPr>
                <w:sz w:val="1"/>
                <w:szCs w:val="1"/>
                <w:color w:val="auto"/>
              </w:rPr>
            </w:pPr>
          </w:p>
        </w:tc>
      </w:tr>
      <w:tr>
        <w:trPr>
          <w:trHeight w:val="158"/>
        </w:trPr>
        <w:tc>
          <w:tcPr>
            <w:tcW w:w="400" w:type="dxa"/>
            <w:vAlign w:val="bottom"/>
          </w:tcPr>
          <w:p>
            <w:pPr>
              <w:spacing w:after="0" w:line="158" w:lineRule="exact"/>
              <w:rPr>
                <w:sz w:val="20"/>
                <w:szCs w:val="20"/>
                <w:color w:val="auto"/>
              </w:rPr>
            </w:pPr>
            <w:r>
              <w:rPr>
                <w:rFonts w:ascii="Arial" w:cs="Arial" w:eastAsia="Arial" w:hAnsi="Arial"/>
                <w:sz w:val="15"/>
                <w:szCs w:val="15"/>
                <w:color w:val="auto"/>
              </w:rPr>
              <w:t>​</w:t>
            </w:r>
          </w:p>
        </w:tc>
        <w:tc>
          <w:tcPr>
            <w:tcW w:w="1440" w:type="dxa"/>
            <w:vAlign w:val="bottom"/>
          </w:tcPr>
          <w:p>
            <w:pPr>
              <w:spacing w:after="0"/>
              <w:rPr>
                <w:sz w:val="13"/>
                <w:szCs w:val="13"/>
                <w:color w:val="auto"/>
              </w:rPr>
            </w:pPr>
          </w:p>
        </w:tc>
        <w:tc>
          <w:tcPr>
            <w:tcW w:w="560" w:type="dxa"/>
            <w:vAlign w:val="bottom"/>
          </w:tcPr>
          <w:p>
            <w:pPr>
              <w:ind w:left="380"/>
              <w:spacing w:after="0" w:line="158" w:lineRule="exact"/>
              <w:rPr>
                <w:sz w:val="20"/>
                <w:szCs w:val="20"/>
                <w:color w:val="auto"/>
              </w:rPr>
            </w:pPr>
            <w:r>
              <w:rPr>
                <w:rFonts w:ascii="Arial" w:cs="Arial" w:eastAsia="Arial" w:hAnsi="Arial"/>
                <w:sz w:val="15"/>
                <w:szCs w:val="15"/>
                <w:color w:val="auto"/>
              </w:rPr>
              <w:t>​ ​</w:t>
            </w:r>
          </w:p>
        </w:tc>
        <w:tc>
          <w:tcPr>
            <w:tcW w:w="1200" w:type="dxa"/>
            <w:vAlign w:val="bottom"/>
            <w:vMerge w:val="restart"/>
          </w:tcPr>
          <w:p>
            <w:pPr>
              <w:ind w:left="20"/>
              <w:spacing w:after="0" w:line="151" w:lineRule="exact"/>
              <w:rPr>
                <w:sz w:val="20"/>
                <w:szCs w:val="20"/>
                <w:color w:val="auto"/>
              </w:rPr>
            </w:pPr>
            <w:r>
              <w:rPr>
                <w:rFonts w:ascii="MS PGothic" w:cs="MS PGothic" w:eastAsia="MS PGothic" w:hAnsi="MS PGothic"/>
                <w:sz w:val="15"/>
                <w:szCs w:val="15"/>
                <w:color w:val="auto"/>
              </w:rPr>
              <w:t>☒</w:t>
            </w:r>
          </w:p>
        </w:tc>
        <w:tc>
          <w:tcPr>
            <w:tcW w:w="1220" w:type="dxa"/>
            <w:vAlign w:val="bottom"/>
          </w:tcPr>
          <w:p>
            <w:pPr>
              <w:ind w:left="1040"/>
              <w:spacing w:after="0" w:line="158" w:lineRule="exact"/>
              <w:rPr>
                <w:sz w:val="20"/>
                <w:szCs w:val="20"/>
                <w:color w:val="auto"/>
              </w:rPr>
            </w:pPr>
            <w:r>
              <w:rPr>
                <w:rFonts w:ascii="Arial" w:cs="Arial" w:eastAsia="Arial" w:hAnsi="Arial"/>
                <w:sz w:val="15"/>
                <w:szCs w:val="15"/>
                <w:color w:val="auto"/>
              </w:rPr>
              <w:t>​ ​</w:t>
            </w:r>
          </w:p>
        </w:tc>
        <w:tc>
          <w:tcPr>
            <w:tcW w:w="1800" w:type="dxa"/>
            <w:vAlign w:val="bottom"/>
            <w:vMerge w:val="restart"/>
          </w:tcPr>
          <w:p>
            <w:pPr>
              <w:ind w:left="40"/>
              <w:spacing w:after="0"/>
              <w:rPr>
                <w:sz w:val="20"/>
                <w:szCs w:val="20"/>
                <w:color w:val="auto"/>
              </w:rPr>
            </w:pPr>
            <w:r>
              <w:rPr>
                <w:rFonts w:ascii="Arial" w:cs="Arial" w:eastAsia="Arial" w:hAnsi="Arial"/>
                <w:sz w:val="15"/>
                <w:szCs w:val="15"/>
                <w:color w:val="auto"/>
                <w:w w:val="97"/>
              </w:rPr>
              <w:t>Smaller reporting company</w:t>
            </w:r>
          </w:p>
        </w:tc>
        <w:tc>
          <w:tcPr>
            <w:tcW w:w="0" w:type="dxa"/>
            <w:vAlign w:val="bottom"/>
          </w:tcPr>
          <w:p>
            <w:pPr>
              <w:spacing w:after="0"/>
              <w:rPr>
                <w:sz w:val="1"/>
                <w:szCs w:val="1"/>
                <w:color w:val="auto"/>
              </w:rPr>
            </w:pPr>
          </w:p>
        </w:tc>
      </w:tr>
      <w:tr>
        <w:trPr>
          <w:trHeight w:val="35"/>
        </w:trPr>
        <w:tc>
          <w:tcPr>
            <w:tcW w:w="1840" w:type="dxa"/>
            <w:vAlign w:val="bottom"/>
            <w:gridSpan w:val="2"/>
          </w:tcPr>
          <w:p>
            <w:pPr>
              <w:spacing w:after="0" w:line="35" w:lineRule="exact"/>
              <w:rPr>
                <w:sz w:val="20"/>
                <w:szCs w:val="20"/>
                <w:color w:val="auto"/>
              </w:rPr>
            </w:pPr>
            <w:r>
              <w:rPr>
                <w:rFonts w:ascii="Arial" w:cs="Arial" w:eastAsia="Arial" w:hAnsi="Arial"/>
                <w:sz w:val="4"/>
                <w:szCs w:val="4"/>
                <w:color w:val="auto"/>
              </w:rPr>
              <w:t>Non-accelerated filer</w:t>
            </w:r>
          </w:p>
        </w:tc>
        <w:tc>
          <w:tcPr>
            <w:tcW w:w="5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1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400" w:type="dxa"/>
            <w:vAlign w:val="bottom"/>
          </w:tcPr>
          <w:p>
            <w:pPr>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9"/>
                <w:szCs w:val="19"/>
                <w:color w:val="auto"/>
              </w:rPr>
            </w:pPr>
          </w:p>
        </w:tc>
        <w:tc>
          <w:tcPr>
            <w:tcW w:w="1760" w:type="dxa"/>
            <w:vAlign w:val="bottom"/>
            <w:gridSpan w:val="2"/>
          </w:tcPr>
          <w:p>
            <w:pPr>
              <w:ind w:left="380"/>
              <w:spacing w:after="0"/>
              <w:rPr>
                <w:sz w:val="20"/>
                <w:szCs w:val="20"/>
                <w:color w:val="auto"/>
              </w:rPr>
            </w:pPr>
            <w:r>
              <w:rPr>
                <w:rFonts w:ascii="Arial" w:cs="Arial" w:eastAsia="Arial" w:hAnsi="Arial"/>
                <w:sz w:val="15"/>
                <w:szCs w:val="15"/>
                <w:color w:val="auto"/>
              </w:rPr>
              <w:t>​ ​ ​</w:t>
            </w:r>
          </w:p>
        </w:tc>
        <w:tc>
          <w:tcPr>
            <w:tcW w:w="3020" w:type="dxa"/>
            <w:vAlign w:val="bottom"/>
            <w:gridSpan w:val="2"/>
          </w:tcPr>
          <w:p>
            <w:pPr>
              <w:ind w:left="1040"/>
              <w:spacing w:after="0"/>
              <w:rPr>
                <w:sz w:val="20"/>
                <w:szCs w:val="20"/>
                <w:color w:val="auto"/>
              </w:rPr>
            </w:pPr>
            <w:r>
              <w:rPr>
                <w:rFonts w:ascii="Arial" w:cs="Arial" w:eastAsia="Arial" w:hAnsi="Arial"/>
                <w:sz w:val="15"/>
                <w:szCs w:val="15"/>
                <w:color w:val="auto"/>
              </w:rPr>
              <w:t>​ ​ Emerging growth company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55" w:lineRule="exact"/>
        <w:tabs>
          <w:tab w:leader="none" w:pos="2400" w:val="left"/>
        </w:tabs>
        <w:rPr>
          <w:sz w:val="20"/>
          <w:szCs w:val="20"/>
          <w:color w:val="auto"/>
        </w:rPr>
      </w:pPr>
      <w:r>
        <w:rPr>
          <w:rFonts w:ascii="Arial" w:cs="Arial" w:eastAsia="Arial" w:hAnsi="Arial"/>
          <w:sz w:val="15"/>
          <w:szCs w:val="15"/>
          <w:color w:val="auto"/>
        </w:rPr>
        <w:t xml:space="preserve">​ ​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w:t>
      </w:r>
    </w:p>
    <w:p>
      <w:pPr>
        <w:spacing w:after="0" w:line="37" w:lineRule="exact"/>
        <w:rPr>
          <w:sz w:val="24"/>
          <w:szCs w:val="24"/>
          <w:color w:val="auto"/>
        </w:rPr>
      </w:pPr>
    </w:p>
    <w:p>
      <w:pPr>
        <w:spacing w:after="0" w:line="173" w:lineRule="exact"/>
        <w:tabs>
          <w:tab w:leader="none" w:pos="2400" w:val="left"/>
        </w:tabs>
        <w:rPr>
          <w:sz w:val="20"/>
          <w:szCs w:val="20"/>
          <w:color w:val="auto"/>
        </w:rPr>
      </w:pPr>
      <w:r>
        <w:rPr>
          <w:rFonts w:ascii="Arial" w:cs="Arial" w:eastAsia="Arial" w:hAnsi="Arial"/>
          <w:sz w:val="15"/>
          <w:szCs w:val="15"/>
          <w:color w:val="auto"/>
        </w:rPr>
        <w:t xml:space="preserve">​ ​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w:t>
      </w:r>
    </w:p>
    <w:p>
      <w:pPr>
        <w:spacing w:after="0" w:line="12" w:lineRule="exact"/>
        <w:rPr>
          <w:sz w:val="24"/>
          <w:szCs w:val="24"/>
          <w:color w:val="auto"/>
        </w:rPr>
      </w:pPr>
    </w:p>
    <w:p>
      <w:pPr>
        <w:spacing w:after="0" w:line="173" w:lineRule="exact"/>
        <w:tabs>
          <w:tab w:leader="none" w:pos="2400" w:val="left"/>
        </w:tabs>
        <w:rPr>
          <w:sz w:val="20"/>
          <w:szCs w:val="20"/>
          <w:color w:val="auto"/>
        </w:rPr>
      </w:pPr>
      <w:r>
        <w:rPr>
          <w:rFonts w:ascii="Arial" w:cs="Arial" w:eastAsia="Arial" w:hAnsi="Arial"/>
          <w:sz w:val="15"/>
          <w:szCs w:val="15"/>
          <w:color w:val="auto"/>
        </w:rPr>
        <w:t xml:space="preserve">​ ​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w:t>
      </w:r>
    </w:p>
    <w:p>
      <w:pPr>
        <w:spacing w:after="0" w:line="131" w:lineRule="exact"/>
        <w:rPr>
          <w:sz w:val="24"/>
          <w:szCs w:val="24"/>
          <w:color w:val="auto"/>
        </w:rPr>
      </w:pPr>
    </w:p>
    <w:p>
      <w:pPr>
        <w:sectPr>
          <w:pgSz w:w="11900" w:h="16838" w:orient="portrait"/>
          <w:cols w:equalWidth="0" w:num="2">
            <w:col w:w="7100" w:space="440"/>
            <w:col w:w="2460"/>
          </w:cols>
          <w:pgMar w:left="720" w:top="196" w:right="1179" w:bottom="1440" w:gutter="0" w:footer="0" w:header="0"/>
          <w:type w:val="continuous"/>
        </w:sectPr>
      </w:pPr>
    </w:p>
    <w:p>
      <w:pPr>
        <w:ind w:left="480" w:right="140" w:firstLine="350"/>
        <w:spacing w:after="0" w:line="19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 w:lineRule="exact"/>
        <w:rPr>
          <w:sz w:val="24"/>
          <w:szCs w:val="24"/>
          <w:color w:val="auto"/>
        </w:rPr>
      </w:pPr>
    </w:p>
    <w:p>
      <w:pPr>
        <w:ind w:left="480" w:right="40" w:firstLine="350"/>
        <w:spacing w:after="0" w:line="230"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w:t>
      </w:r>
    </w:p>
    <w:p>
      <w:pPr>
        <w:ind w:left="480"/>
        <w:spacing w:after="0"/>
        <w:rPr>
          <w:sz w:val="20"/>
          <w:szCs w:val="20"/>
          <w:color w:val="auto"/>
        </w:rPr>
      </w:pPr>
      <w:r>
        <w:rPr>
          <w:rFonts w:ascii="Arial" w:cs="Arial" w:eastAsia="Arial" w:hAnsi="Arial"/>
          <w:sz w:val="15"/>
          <w:szCs w:val="15"/>
          <w:b w:val="1"/>
          <w:bCs w:val="1"/>
          <w:color w:val="auto"/>
        </w:rPr>
        <w:t>THAT THIS REGISTRATION STATEMENT SHALL THEREAFTER BECOME EFFECTIVE IN ACCORDANCE WITH SECTION 8(A) OF</w:t>
      </w:r>
    </w:p>
    <w:p>
      <w:pPr>
        <w:ind w:left="480" w:right="140"/>
        <w:spacing w:after="0" w:line="237" w:lineRule="auto"/>
        <w:rPr>
          <w:sz w:val="20"/>
          <w:szCs w:val="20"/>
          <w:color w:val="auto"/>
        </w:rPr>
      </w:pPr>
      <w:r>
        <w:rPr>
          <w:rFonts w:ascii="Arial" w:cs="Arial" w:eastAsia="Arial" w:hAnsi="Arial"/>
          <w:sz w:val="15"/>
          <w:szCs w:val="15"/>
          <w:b w:val="1"/>
          <w:bCs w:val="1"/>
          <w:color w:val="auto"/>
        </w:rPr>
        <w:t>THE SECURITIES ACT OF 1933, AS AMENDED, OR UNTIL THIS REGISTRATION STATEMENT SHALL BECOME EFFECTIVE ON SUCH DATE AS THE SECURITIES AND EXCHANGE COMMISSION, ACTING PURSUANT TO SAID SECTION 8(A), MAY DETERMINE</w:t>
      </w:r>
      <w:r>
        <w:rPr>
          <w:rFonts w:ascii="Arial" w:cs="Arial" w:eastAsia="Arial" w:hAnsi="Arial"/>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308610</wp:posOffset>
            </wp:positionH>
            <wp:positionV relativeFrom="paragraph">
              <wp:posOffset>54610</wp:posOffset>
            </wp:positionV>
            <wp:extent cx="6017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17260" cy="8255"/>
                    </a:xfrm>
                    <a:prstGeom prst="rect">
                      <a:avLst/>
                    </a:prstGeom>
                    <a:noFill/>
                  </pic:spPr>
                </pic:pic>
              </a:graphicData>
            </a:graphic>
          </wp:anchor>
        </w:drawing>
      </w:r>
    </w:p>
    <w:p>
      <w:pPr>
        <w:spacing w:after="0" w:line="72" w:lineRule="exact"/>
        <w:rPr>
          <w:sz w:val="24"/>
          <w:szCs w:val="24"/>
          <w:color w:val="auto"/>
        </w:rPr>
      </w:pPr>
    </w:p>
    <w:p>
      <w:pPr>
        <w:ind w:left="480"/>
        <w:spacing w:after="0"/>
        <w:rPr>
          <w:sz w:val="20"/>
          <w:szCs w:val="20"/>
          <w:color w:val="auto"/>
        </w:rPr>
      </w:pPr>
      <w:r>
        <w:rPr>
          <w:rFonts w:ascii="Arial" w:cs="Arial" w:eastAsia="Arial" w:hAnsi="Arial"/>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308610</wp:posOffset>
            </wp:positionH>
            <wp:positionV relativeFrom="paragraph">
              <wp:posOffset>0</wp:posOffset>
            </wp:positionV>
            <wp:extent cx="601726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1726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245110</wp:posOffset>
            </wp:positionV>
            <wp:extent cx="66440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10000"/>
          </w:cols>
          <w:pgMar w:left="720" w:top="196" w:right="11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0"/>
          <w:szCs w:val="10"/>
          <w:color w:val="003366"/>
        </w:rPr>
        <w:t>TABLE OF CONTENTS</w:t>
      </w:r>
    </w:p>
    <w:p>
      <w:pPr>
        <w:sectPr>
          <w:pgSz w:w="11900" w:h="16838" w:orient="portrait"/>
          <w:cols w:equalWidth="0" w:num="1">
            <w:col w:w="9719"/>
          </w:cols>
          <w:pgMar w:left="740" w:top="90"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tbl>
      <w:tblPr>
        <w:tblLayout w:type="fixed"/>
        <w:tblInd w:w="860" w:type="dxa"/>
        <w:tblCellMar>
          <w:top w:w="0" w:type="dxa"/>
          <w:left w:w="0" w:type="dxa"/>
          <w:bottom w:w="0" w:type="dxa"/>
          <w:right w:w="0" w:type="dxa"/>
        </w:tblCellMar>
      </w:tblPr>
      <w:tr>
        <w:trPr>
          <w:trHeight w:val="4146"/>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these securities until the registration statement filed with the</w:t>
            </w:r>
          </w:p>
        </w:tc>
        <w:tc>
          <w:tcPr>
            <w:tcW w:w="300" w:type="dxa"/>
            <w:vAlign w:val="bottom"/>
            <w:textDirection w:val="btLr"/>
          </w:tcPr>
          <w:p>
            <w:pPr>
              <w:ind w:left="40"/>
              <w:spacing w:after="0"/>
              <w:rPr>
                <w:sz w:val="20"/>
                <w:szCs w:val="20"/>
                <w:color w:val="auto"/>
              </w:rPr>
            </w:pPr>
            <w:r>
              <w:rPr>
                <w:rFonts w:ascii="Arial" w:cs="Arial" w:eastAsia="Arial" w:hAnsi="Arial"/>
                <w:sz w:val="14"/>
                <w:szCs w:val="14"/>
                <w:b w:val="1"/>
                <w:bCs w:val="1"/>
                <w:color w:val="FC0014"/>
                <w:w w:val="98"/>
              </w:rPr>
              <w:t>not soliciting an offer to buy these securities in any jurisdiction</w:t>
            </w:r>
          </w:p>
        </w:tc>
      </w:tr>
      <w:tr>
        <w:trPr>
          <w:trHeight w:val="276"/>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sell</w:t>
            </w:r>
          </w:p>
        </w:tc>
        <w:tc>
          <w:tcPr>
            <w:tcW w:w="300" w:type="dxa"/>
            <w:vAlign w:val="bottom"/>
            <w:textDirection w:val="btLr"/>
          </w:tcPr>
          <w:p>
            <w:pPr>
              <w:ind w:left="40"/>
              <w:spacing w:after="0"/>
              <w:rPr>
                <w:sz w:val="20"/>
                <w:szCs w:val="20"/>
                <w:color w:val="auto"/>
              </w:rPr>
            </w:pPr>
            <w:r>
              <w:rPr>
                <w:rFonts w:ascii="Arial" w:cs="Arial" w:eastAsia="Arial" w:hAnsi="Arial"/>
                <w:sz w:val="14"/>
                <w:szCs w:val="14"/>
                <w:b w:val="1"/>
                <w:bCs w:val="1"/>
                <w:color w:val="FC0014"/>
                <w:w w:val="99"/>
              </w:rPr>
              <w:t>it is</w:t>
            </w:r>
          </w:p>
        </w:tc>
      </w:tr>
      <w:tr>
        <w:trPr>
          <w:trHeight w:val="139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stockholder may not</w:t>
            </w:r>
          </w:p>
        </w:tc>
        <w:tc>
          <w:tcPr>
            <w:tcW w:w="300" w:type="dxa"/>
            <w:vAlign w:val="bottom"/>
            <w:textDirection w:val="btLr"/>
          </w:tcPr>
          <w:p>
            <w:pPr>
              <w:ind w:left="40"/>
              <w:spacing w:after="0"/>
              <w:rPr>
                <w:sz w:val="20"/>
                <w:szCs w:val="20"/>
                <w:color w:val="auto"/>
              </w:rPr>
            </w:pPr>
            <w:r>
              <w:rPr>
                <w:rFonts w:ascii="Arial" w:cs="Arial" w:eastAsia="Arial" w:hAnsi="Arial"/>
                <w:sz w:val="14"/>
                <w:szCs w:val="14"/>
                <w:b w:val="1"/>
                <w:bCs w:val="1"/>
                <w:color w:val="FC0014"/>
                <w:w w:val="98"/>
              </w:rPr>
              <w:t>these securities and</w:t>
            </w:r>
          </w:p>
        </w:tc>
      </w:tr>
      <w:tr>
        <w:trPr>
          <w:trHeight w:val="788"/>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selling</w:t>
            </w:r>
          </w:p>
        </w:tc>
        <w:tc>
          <w:tcPr>
            <w:tcW w:w="300" w:type="dxa"/>
            <w:vAlign w:val="bottom"/>
            <w:textDirection w:val="btLr"/>
          </w:tcPr>
          <w:p>
            <w:pPr>
              <w:ind w:left="40"/>
              <w:spacing w:after="0"/>
              <w:rPr>
                <w:sz w:val="20"/>
                <w:szCs w:val="20"/>
                <w:color w:val="auto"/>
              </w:rPr>
            </w:pPr>
            <w:r>
              <w:rPr>
                <w:rFonts w:ascii="Arial" w:cs="Arial" w:eastAsia="Arial" w:hAnsi="Arial"/>
                <w:sz w:val="14"/>
                <w:szCs w:val="14"/>
                <w:b w:val="1"/>
                <w:bCs w:val="1"/>
                <w:color w:val="FC0014"/>
                <w:w w:val="98"/>
              </w:rPr>
              <w:t>offer to sell</w:t>
            </w:r>
          </w:p>
        </w:tc>
      </w:tr>
      <w:tr>
        <w:trPr>
          <w:trHeight w:val="216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 may be changed.</w:t>
            </w:r>
          </w:p>
        </w:tc>
        <w:tc>
          <w:tcPr>
            <w:tcW w:w="300" w:type="dxa"/>
            <w:vAlign w:val="bottom"/>
            <w:textDirection w:val="btLr"/>
          </w:tcPr>
          <w:p>
            <w:pPr>
              <w:ind w:left="40"/>
              <w:spacing w:after="0"/>
              <w:rPr>
                <w:sz w:val="20"/>
                <w:szCs w:val="20"/>
                <w:color w:val="auto"/>
              </w:rPr>
            </w:pPr>
            <w:r>
              <w:rPr>
                <w:rFonts w:ascii="Arial" w:cs="Arial" w:eastAsia="Arial" w:hAnsi="Arial"/>
                <w:sz w:val="14"/>
                <w:szCs w:val="14"/>
                <w:b w:val="1"/>
                <w:bCs w:val="1"/>
                <w:color w:val="FC0014"/>
                <w:w w:val="97"/>
              </w:rPr>
              <w:t>preliminary prospectus is not an</w:t>
            </w:r>
          </w:p>
        </w:tc>
      </w:tr>
      <w:tr>
        <w:trPr>
          <w:trHeight w:val="361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300" w:type="dxa"/>
            <w:vAlign w:val="bottom"/>
            <w:textDirection w:val="btLr"/>
          </w:tcPr>
          <w:p>
            <w:pPr>
              <w:ind w:left="174"/>
              <w:spacing w:after="0"/>
              <w:rPr>
                <w:sz w:val="20"/>
                <w:szCs w:val="20"/>
                <w:color w:val="auto"/>
              </w:rPr>
            </w:pPr>
            <w:r>
              <w:rPr>
                <w:rFonts w:ascii="Arial" w:cs="Arial" w:eastAsia="Arial" w:hAnsi="Arial"/>
                <w:sz w:val="11"/>
                <w:szCs w:val="11"/>
                <w:b w:val="1"/>
                <w:bCs w:val="1"/>
                <w:color w:val="FC0014"/>
                <w:w w:val="76"/>
              </w:rPr>
              <w:t>Securities and Exchange Commission is effective. Thiswheretheofferorsaleisnotpermitted.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FC0014"/>
        </w:rPr>
        <w:t>Subject to Completion, dated June 5, 2023.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35,000,000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66040</wp:posOffset>
            </wp:positionV>
            <wp:extent cx="1560830" cy="1035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0830" cy="103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28"/>
          <w:szCs w:val="28"/>
          <w:b w:val="1"/>
          <w:bCs w:val="1"/>
          <w:color w:val="auto"/>
        </w:rPr>
        <w:t>Mobileye Global Inc.</w:t>
      </w: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Class A Common Stock</w:t>
      </w:r>
      <w:r>
        <w:rPr>
          <w:rFonts w:ascii="Arial" w:cs="Arial" w:eastAsia="Arial" w:hAnsi="Arial"/>
          <w:sz w:val="28"/>
          <w:szCs w:val="28"/>
          <w:color w:val="auto"/>
        </w:rPr>
        <w:t>​</w:t>
      </w:r>
    </w:p>
    <w:p>
      <w:pPr>
        <w:spacing w:after="0" w:line="15" w:lineRule="exact"/>
        <w:rPr>
          <w:sz w:val="20"/>
          <w:szCs w:val="20"/>
          <w:color w:val="auto"/>
        </w:rPr>
      </w:pPr>
    </w:p>
    <w:p>
      <w:pPr>
        <w:ind w:right="339" w:firstLine="350"/>
        <w:spacing w:after="0" w:line="239" w:lineRule="auto"/>
        <w:rPr>
          <w:sz w:val="20"/>
          <w:szCs w:val="20"/>
          <w:color w:val="auto"/>
        </w:rPr>
      </w:pPr>
      <w:r>
        <w:rPr>
          <w:rFonts w:ascii="Arial" w:cs="Arial" w:eastAsia="Arial" w:hAnsi="Arial"/>
          <w:sz w:val="17"/>
          <w:szCs w:val="17"/>
          <w:color w:val="auto"/>
        </w:rPr>
        <w:t>The selling stockholder identified in this prospectus, Intel Overseas Funding Corporation, a wholly owned subsidiary of Intel Corporation (“Intel”), is offering 35,000,000 shares of our Class A common stock. The shares of Class A common stock being offered by the selling stockholder represent shares of Class A common stock issuable to the selling stockholder upon conversion of shares of our Class B common stock held by the selling stockholder immediately prior to closing of this offering. See “Principal and Selling Stockholders.” We will not receive any proceeds from this offering.</w:t>
      </w:r>
    </w:p>
    <w:p>
      <w:pPr>
        <w:spacing w:after="0" w:line="41" w:lineRule="exact"/>
        <w:rPr>
          <w:sz w:val="20"/>
          <w:szCs w:val="20"/>
          <w:color w:val="auto"/>
        </w:rPr>
      </w:pPr>
    </w:p>
    <w:p>
      <w:pPr>
        <w:ind w:right="199" w:firstLine="350"/>
        <w:spacing w:after="0" w:line="244" w:lineRule="auto"/>
        <w:rPr>
          <w:sz w:val="20"/>
          <w:szCs w:val="20"/>
          <w:color w:val="auto"/>
        </w:rPr>
      </w:pPr>
      <w:r>
        <w:rPr>
          <w:rFonts w:ascii="Arial" w:cs="Arial" w:eastAsia="Arial" w:hAnsi="Arial"/>
          <w:sz w:val="17"/>
          <w:szCs w:val="17"/>
          <w:color w:val="auto"/>
        </w:rPr>
        <w:t>Our Class A common stock is listed on The Nasdaq Global Select Market (“Nasdaq”) under the symbol “MBLY.” The last reported sale price of our Class A common stock on the Nasdaq on June 2, 2023 was $43.56 per share.</w:t>
      </w:r>
    </w:p>
    <w:p>
      <w:pPr>
        <w:spacing w:after="0" w:line="35" w:lineRule="exact"/>
        <w:rPr>
          <w:sz w:val="20"/>
          <w:szCs w:val="20"/>
          <w:color w:val="auto"/>
        </w:rPr>
      </w:pPr>
    </w:p>
    <w:p>
      <w:pPr>
        <w:ind w:right="219" w:firstLine="350"/>
        <w:spacing w:after="0" w:line="254" w:lineRule="auto"/>
        <w:rPr>
          <w:sz w:val="20"/>
          <w:szCs w:val="20"/>
          <w:color w:val="auto"/>
        </w:rPr>
      </w:pPr>
      <w:r>
        <w:rPr>
          <w:rFonts w:ascii="Arial" w:cs="Arial" w:eastAsia="Arial" w:hAnsi="Arial"/>
          <w:sz w:val="16"/>
          <w:szCs w:val="16"/>
          <w:color w:val="auto"/>
        </w:rPr>
        <w:t>We have two classes of authorized common stock: Class A common stock and Class B common stock. The rights of the holders of our Class A common stock and Class B common stock are identical, except with respect to voting, transfer, and conversion rights. Each share of our Class A common stock is entitled to one vote. Each share of our Class B common stock is entitled to ten votes and is convertible at any time into one share of our Class A common stock, subject to certain conditions. Intel beneficially owns all of the outstanding shares of our Class B common stock representing approximately 99.3% of the voting power of our common stock. Immediately following the completion of this offering, Intel will continue to beneficially own all of the outstanding shares of our Class B common stock, which will represent approximately 88.7% of our outstanding common stock (or approximately 88.1% if the underwriters exercise their option to purchase additional shares of our Class A common stock in full) and approximately 98.7% of the voting power of our common stock (or approximately 98.7% if the underwriters exercise their option to purchase additional shares of our Class A common stock in full). As a result, we are and will continue to be a “controlled company” within the meaning of the corporate governance standards of Nasdaq. See “Management — Controlled Company Exemption.”</w:t>
      </w:r>
    </w:p>
    <w:p>
      <w:pPr>
        <w:spacing w:after="0" w:line="28" w:lineRule="exact"/>
        <w:rPr>
          <w:sz w:val="20"/>
          <w:szCs w:val="20"/>
          <w:color w:val="auto"/>
        </w:rPr>
      </w:pPr>
    </w:p>
    <w:p>
      <w:pPr>
        <w:ind w:right="439" w:firstLine="350"/>
        <w:spacing w:after="0" w:line="265" w:lineRule="auto"/>
        <w:rPr>
          <w:sz w:val="20"/>
          <w:szCs w:val="20"/>
          <w:color w:val="auto"/>
        </w:rPr>
      </w:pPr>
      <w:r>
        <w:rPr>
          <w:rFonts w:ascii="Arial" w:cs="Arial" w:eastAsia="Arial" w:hAnsi="Arial"/>
          <w:sz w:val="16"/>
          <w:szCs w:val="16"/>
          <w:b w:val="1"/>
          <w:bCs w:val="1"/>
          <w:color w:val="auto"/>
        </w:rPr>
        <w:t xml:space="preserve">Investing in our common stock involves risks. See “Risk Factors” beginning on page </w:t>
      </w:r>
      <w:r>
        <w:rPr>
          <w:rFonts w:ascii="Arial" w:cs="Arial" w:eastAsia="Arial" w:hAnsi="Arial"/>
          <w:sz w:val="16"/>
          <w:szCs w:val="16"/>
          <w:b w:val="1"/>
          <w:bCs w:val="1"/>
          <w:u w:val="single" w:color="auto"/>
          <w:color w:val="0000EE"/>
        </w:rPr>
        <w:t>9</w:t>
      </w:r>
      <w:r>
        <w:rPr>
          <w:rFonts w:ascii="Arial" w:cs="Arial" w:eastAsia="Arial" w:hAnsi="Arial"/>
          <w:sz w:val="16"/>
          <w:szCs w:val="16"/>
          <w:b w:val="1"/>
          <w:bCs w:val="1"/>
          <w:color w:val="auto"/>
        </w:rPr>
        <w:t>, and the information in the section entitled “Item 1.A. Risk Factors” in our Annual Report on Form 10-K for the year ended December 31, 2022 (the “2022 Form 10-K”) incorporated by reference herein, to read about certain factors you should consider before buying our common stock.</w:t>
      </w:r>
    </w:p>
    <w:p>
      <w:pPr>
        <w:spacing w:after="0" w:line="2" w:lineRule="exact"/>
        <w:rPr>
          <w:sz w:val="20"/>
          <w:szCs w:val="20"/>
          <w:color w:val="auto"/>
        </w:rPr>
      </w:pPr>
    </w:p>
    <w:p>
      <w:pPr>
        <w:jc w:val="both"/>
        <w:ind w:right="259" w:firstLine="350"/>
        <w:spacing w:after="0" w:line="249" w:lineRule="auto"/>
        <w:rPr>
          <w:sz w:val="20"/>
          <w:szCs w:val="20"/>
          <w:color w:val="auto"/>
        </w:rPr>
      </w:pPr>
      <w:r>
        <w:rPr>
          <w:rFonts w:ascii="Arial" w:cs="Arial" w:eastAsia="Arial" w:hAnsi="Arial"/>
          <w:sz w:val="17"/>
          <w:szCs w:val="17"/>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tbl>
      <w:tblPr>
        <w:tblLayout w:type="fixed"/>
        <w:tblInd w:w="0" w:type="dxa"/>
        <w:tblCellMar>
          <w:top w:w="0" w:type="dxa"/>
          <w:left w:w="0" w:type="dxa"/>
          <w:bottom w:w="0" w:type="dxa"/>
          <w:right w:w="0" w:type="dxa"/>
        </w:tblCellMar>
      </w:tblPr>
      <w:tr>
        <w:trPr>
          <w:trHeight w:val="241"/>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2380" w:type="dxa"/>
            <w:vAlign w:val="bottom"/>
            <w:gridSpan w:val="3"/>
          </w:tcPr>
          <w:p>
            <w:pPr>
              <w:ind w:left="1520"/>
              <w:spacing w:after="0" w:line="241"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Per Share </w:t>
            </w:r>
            <w:r>
              <w:rPr>
                <w:rFonts w:ascii="Arial" w:cs="Arial" w:eastAsia="Arial" w:hAnsi="Arial"/>
                <w:sz w:val="27"/>
                <w:szCs w:val="27"/>
                <w:b w:val="1"/>
                <w:bCs w:val="1"/>
                <w:color w:val="auto"/>
                <w:vertAlign w:val="subscript"/>
              </w:rPr>
              <w:t>​</w:t>
            </w:r>
          </w:p>
        </w:tc>
        <w:tc>
          <w:tcPr>
            <w:tcW w:w="460" w:type="dxa"/>
            <w:vAlign w:val="bottom"/>
            <w:gridSpan w:val="4"/>
          </w:tcPr>
          <w:p>
            <w:pPr>
              <w:jc w:val="right"/>
              <w:spacing w:after="0" w:line="241"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Total </w:t>
            </w:r>
            <w:r>
              <w:rPr>
                <w:rFonts w:ascii="Arial" w:cs="Arial" w:eastAsia="Arial" w:hAnsi="Arial"/>
                <w:sz w:val="27"/>
                <w:szCs w:val="27"/>
                <w:b w:val="1"/>
                <w:bCs w:val="1"/>
                <w:color w:val="auto"/>
                <w:vertAlign w:val="subscript"/>
              </w:rPr>
              <w:t>​</w:t>
            </w: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 ​$      ​​</w:t>
            </w:r>
          </w:p>
        </w:tc>
        <w:tc>
          <w:tcPr>
            <w:tcW w:w="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 xml:space="preserve">​​$   </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0"/>
        </w:trPr>
        <w:tc>
          <w:tcPr>
            <w:tcW w:w="5200" w:type="dxa"/>
            <w:vAlign w:val="bottom"/>
            <w:gridSpan w:val="2"/>
          </w:tcPr>
          <w:p>
            <w:pPr>
              <w:spacing w:after="0"/>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1"/>
                <w:szCs w:val="21"/>
                <w:color w:val="auto"/>
                <w:vertAlign w:val="superscript"/>
              </w:rPr>
              <w:t>(1)</w:t>
            </w:r>
          </w:p>
        </w:tc>
        <w:tc>
          <w:tcPr>
            <w:tcW w:w="2240" w:type="dxa"/>
            <w:vAlign w:val="bottom"/>
            <w:gridSpan w:val="2"/>
          </w:tcPr>
          <w:p>
            <w:pPr>
              <w:ind w:left="1520"/>
              <w:spacing w:after="0"/>
              <w:rPr>
                <w:sz w:val="20"/>
                <w:szCs w:val="20"/>
                <w:color w:val="auto"/>
              </w:rPr>
            </w:pPr>
            <w:r>
              <w:rPr>
                <w:rFonts w:ascii="Arial" w:cs="Arial" w:eastAsia="Arial" w:hAnsi="Arial"/>
                <w:sz w:val="17"/>
                <w:szCs w:val="17"/>
                <w:color w:val="auto"/>
              </w:rPr>
              <w:t>​ ​ ​$</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the selling stockholder</w:t>
            </w:r>
          </w:p>
        </w:tc>
        <w:tc>
          <w:tcPr>
            <w:tcW w:w="2240" w:type="dxa"/>
            <w:vAlign w:val="bottom"/>
            <w:gridSpan w:val="2"/>
            <w:shd w:val="clear" w:color="auto" w:fill="CCEEFF"/>
          </w:tcPr>
          <w:p>
            <w:pPr>
              <w:ind w:left="1520"/>
              <w:spacing w:after="0"/>
              <w:rPr>
                <w:sz w:val="20"/>
                <w:szCs w:val="20"/>
                <w:color w:val="auto"/>
              </w:rPr>
            </w:pPr>
            <w:r>
              <w:rPr>
                <w:rFonts w:ascii="Arial" w:cs="Arial" w:eastAsia="Arial" w:hAnsi="Arial"/>
                <w:sz w:val="17"/>
                <w:szCs w:val="17"/>
                <w:color w:val="auto"/>
              </w:rPr>
              <w:t>​ ​ ​$</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133350</wp:posOffset>
            </wp:positionV>
            <wp:extent cx="12020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330"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See “Underwriting” for a description of the compensation payable to the underwriters.</w:t>
      </w:r>
    </w:p>
    <w:p>
      <w:pPr>
        <w:spacing w:after="0" w:line="54" w:lineRule="exact"/>
        <w:rPr>
          <w:sz w:val="20"/>
          <w:szCs w:val="20"/>
          <w:color w:val="auto"/>
        </w:rPr>
      </w:pPr>
    </w:p>
    <w:p>
      <w:pPr>
        <w:jc w:val="both"/>
        <w:ind w:right="819" w:firstLine="350"/>
        <w:spacing w:after="0" w:line="301" w:lineRule="auto"/>
        <w:rPr>
          <w:sz w:val="20"/>
          <w:szCs w:val="20"/>
          <w:color w:val="auto"/>
        </w:rPr>
      </w:pPr>
      <w:r>
        <w:rPr>
          <w:rFonts w:ascii="Arial" w:cs="Arial" w:eastAsia="Arial" w:hAnsi="Arial"/>
          <w:sz w:val="15"/>
          <w:szCs w:val="15"/>
          <w:color w:val="auto"/>
        </w:rPr>
        <w:t>The selling stockholder has granted the underwriters a 30-day option to purchase up to an additional 5,250,000 shares of our Class A common stock at the public offering price less the underwriting discount.</w:t>
      </w:r>
    </w:p>
    <w:p>
      <w:pPr>
        <w:spacing w:after="0" w:line="1" w:lineRule="exact"/>
        <w:rPr>
          <w:sz w:val="20"/>
          <w:szCs w:val="20"/>
          <w:color w:val="auto"/>
        </w:rPr>
      </w:pPr>
    </w:p>
    <w:p>
      <w:pPr>
        <w:ind w:right="859" w:firstLine="350"/>
        <w:spacing w:after="0" w:line="262" w:lineRule="auto"/>
        <w:rPr>
          <w:sz w:val="20"/>
          <w:szCs w:val="20"/>
          <w:color w:val="auto"/>
        </w:rPr>
      </w:pPr>
      <w:r>
        <w:rPr>
          <w:rFonts w:ascii="Arial" w:cs="Arial" w:eastAsia="Arial" w:hAnsi="Arial"/>
          <w:sz w:val="17"/>
          <w:szCs w:val="17"/>
          <w:color w:val="auto"/>
        </w:rPr>
        <w:t>The underwriters expect to deliver the shares of Class A common stock against payment on or about          , 2023.</w:t>
      </w:r>
    </w:p>
    <w:p>
      <w:pPr>
        <w:spacing w:after="0" w:line="32" w:lineRule="exact"/>
        <w:rPr>
          <w:sz w:val="20"/>
          <w:szCs w:val="20"/>
          <w:color w:val="auto"/>
        </w:rPr>
      </w:pPr>
    </w:p>
    <w:p>
      <w:pPr>
        <w:spacing w:after="0"/>
        <w:tabs>
          <w:tab w:leader="none" w:pos="6140" w:val="left"/>
        </w:tabs>
        <w:rPr>
          <w:sz w:val="20"/>
          <w:szCs w:val="20"/>
          <w:color w:val="auto"/>
        </w:rPr>
      </w:pPr>
      <w:r>
        <w:rPr>
          <w:rFonts w:ascii="Arial" w:cs="Arial" w:eastAsia="Arial" w:hAnsi="Arial"/>
          <w:sz w:val="28"/>
          <w:szCs w:val="28"/>
          <w:b w:val="1"/>
          <w:bCs w:val="1"/>
          <w:color w:val="auto"/>
        </w:rPr>
        <w:t>Goldman Sachs &amp; Co. LLC</w:t>
      </w:r>
      <w:r>
        <w:rPr>
          <w:sz w:val="20"/>
          <w:szCs w:val="20"/>
          <w:color w:val="auto"/>
        </w:rPr>
        <w:tab/>
      </w:r>
      <w:r>
        <w:rPr>
          <w:rFonts w:ascii="Arial" w:cs="Arial" w:eastAsia="Arial" w:hAnsi="Arial"/>
          <w:sz w:val="24"/>
          <w:szCs w:val="24"/>
          <w:b w:val="1"/>
          <w:bCs w:val="1"/>
          <w:color w:val="auto"/>
        </w:rPr>
        <w:t>Morgan Stanley</w:t>
      </w: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dated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59690</wp:posOffset>
            </wp:positionV>
            <wp:extent cx="66186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8605" cy="41910"/>
                    </a:xfrm>
                    <a:prstGeom prst="rect">
                      <a:avLst/>
                    </a:prstGeom>
                    <a:noFill/>
                  </pic:spPr>
                </pic:pic>
              </a:graphicData>
            </a:graphic>
          </wp:anchor>
        </w:drawing>
      </w:r>
    </w:p>
    <w:p>
      <w:pPr>
        <w:sectPr>
          <w:pgSz w:w="11900" w:h="16838" w:orient="portrait"/>
          <w:cols w:equalWidth="0" w:num="2">
            <w:col w:w="1300" w:space="220"/>
            <w:col w:w="8199"/>
          </w:cols>
          <w:pgMar w:left="740" w:top="9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163830</wp:posOffset>
            </wp:positionV>
            <wp:extent cx="12020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239" w:lineRule="exact"/>
        <w:rPr>
          <w:sz w:val="20"/>
          <w:szCs w:val="20"/>
          <w:color w:val="auto"/>
        </w:rPr>
      </w:pPr>
    </w:p>
    <w:tbl>
      <w:tblPr>
        <w:tblLayout w:type="fixed"/>
        <w:tblInd w:w="1220" w:type="dxa"/>
        <w:tblCellMar>
          <w:top w:w="0" w:type="dxa"/>
          <w:left w:w="0" w:type="dxa"/>
          <w:bottom w:w="0" w:type="dxa"/>
          <w:right w:w="0" w:type="dxa"/>
        </w:tblCellMar>
      </w:tblPr>
      <w:tr>
        <w:trPr>
          <w:trHeight w:val="368"/>
        </w:trPr>
        <w:tc>
          <w:tcPr>
            <w:tcW w:w="4620" w:type="dxa"/>
            <w:vAlign w:val="bottom"/>
            <w:gridSpan w:val="14"/>
          </w:tcPr>
          <w:p>
            <w:pPr>
              <w:spacing w:after="0"/>
              <w:rPr>
                <w:sz w:val="20"/>
                <w:szCs w:val="20"/>
                <w:color w:val="auto"/>
              </w:rPr>
            </w:pPr>
            <w:r>
              <w:rPr>
                <w:rFonts w:ascii="Arial" w:cs="Arial" w:eastAsia="Arial" w:hAnsi="Arial"/>
                <w:sz w:val="14"/>
                <w:szCs w:val="14"/>
                <w:b w:val="1"/>
                <w:bCs w:val="1"/>
                <w:color w:val="auto"/>
              </w:rPr>
              <w:t>​</w:t>
            </w:r>
          </w:p>
        </w:tc>
        <w:tc>
          <w:tcPr>
            <w:tcW w:w="3420" w:type="dxa"/>
            <w:vAlign w:val="bottom"/>
            <w:gridSpan w:val="4"/>
          </w:tcPr>
          <w:p>
            <w:pPr>
              <w:jc w:val="right"/>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w:t>
            </w:r>
            <w:r>
              <w:rPr>
                <w:rFonts w:ascii="Arial" w:cs="Arial" w:eastAsia="Arial" w:hAnsi="Arial"/>
                <w:sz w:val="28"/>
                <w:szCs w:val="28"/>
                <w:b w:val="1"/>
                <w:bCs w:val="1"/>
                <w:color w:val="auto"/>
                <w:vertAlign w:val="subscript"/>
              </w:rPr>
              <w:t>​</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tcPr>
          <w:p>
            <w:pPr>
              <w:spacing w:after="0"/>
              <w:rPr>
                <w:sz w:val="19"/>
                <w:szCs w:val="19"/>
                <w:color w:val="auto"/>
              </w:rPr>
            </w:pPr>
          </w:p>
        </w:tc>
        <w:tc>
          <w:tcPr>
            <w:tcW w:w="1540" w:type="dxa"/>
            <w:vAlign w:val="bottom"/>
            <w:tcBorders>
              <w:bottom w:val="single" w:sz="8" w:color="0000EE"/>
            </w:tcBorders>
            <w:gridSpan w:val="8"/>
            <w:shd w:val="clear" w:color="auto" w:fill="CCEEFF"/>
          </w:tcPr>
          <w:p>
            <w:pPr>
              <w:spacing w:after="0" w:line="190" w:lineRule="exact"/>
              <w:rPr>
                <w:sz w:val="20"/>
                <w:szCs w:val="20"/>
                <w:color w:val="auto"/>
              </w:rPr>
            </w:pPr>
            <w:r>
              <w:rPr>
                <w:rFonts w:ascii="Arial" w:cs="Arial" w:eastAsia="Arial" w:hAnsi="Arial"/>
                <w:sz w:val="18"/>
                <w:szCs w:val="18"/>
                <w:color w:val="0000EE"/>
                <w:w w:val="88"/>
              </w:rPr>
              <w:t>Prospectus Summary</w:t>
            </w:r>
          </w:p>
        </w:tc>
        <w:tc>
          <w:tcPr>
            <w:tcW w:w="4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3220" w:type="dxa"/>
            <w:vAlign w:val="bottom"/>
            <w:tcBorders>
              <w:bottom w:val="single" w:sz="8" w:color="CCEEFF"/>
            </w:tcBorders>
            <w:gridSpan w:val="2"/>
            <w:shd w:val="clear" w:color="auto" w:fill="CCEEFF"/>
          </w:tcPr>
          <w:p>
            <w:pPr>
              <w:ind w:left="2920"/>
              <w:spacing w:after="0" w:line="203"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60" w:type="dxa"/>
            <w:vAlign w:val="bottom"/>
            <w:tcBorders>
              <w:bottom w:val="single" w:sz="8" w:color="0000EE"/>
              <w:right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0000EE"/>
                <w:w w:val="79"/>
              </w:rPr>
              <w:t>1</w:t>
            </w:r>
          </w:p>
        </w:tc>
        <w:tc>
          <w:tcPr>
            <w:tcW w:w="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w:t>
            </w:r>
          </w:p>
        </w:tc>
      </w:tr>
      <w:tr>
        <w:trPr>
          <w:trHeight w:val="233"/>
        </w:trPr>
        <w:tc>
          <w:tcPr>
            <w:tcW w:w="960" w:type="dxa"/>
            <w:vAlign w:val="bottom"/>
            <w:tcBorders>
              <w:bottom w:val="single" w:sz="8" w:color="0000EE"/>
            </w:tcBorders>
            <w:gridSpan w:val="5"/>
          </w:tcPr>
          <w:p>
            <w:pPr>
              <w:spacing w:after="0" w:line="203" w:lineRule="exact"/>
              <w:rPr>
                <w:sz w:val="20"/>
                <w:szCs w:val="20"/>
                <w:color w:val="auto"/>
              </w:rPr>
            </w:pPr>
            <w:r>
              <w:rPr>
                <w:rFonts w:ascii="Arial" w:cs="Arial" w:eastAsia="Arial" w:hAnsi="Arial"/>
                <w:sz w:val="18"/>
                <w:szCs w:val="18"/>
                <w:color w:val="0000EE"/>
                <w:w w:val="93"/>
              </w:rPr>
              <w:t>The Offering</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20" w:type="dxa"/>
            <w:vAlign w:val="bottom"/>
            <w:gridSpan w:val="2"/>
          </w:tcPr>
          <w:p>
            <w:pPr>
              <w:ind w:left="29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60" w:type="dxa"/>
            <w:vAlign w:val="bottom"/>
            <w:tcBorders>
              <w:bottom w:val="single" w:sz="8" w:color="0000EE"/>
            </w:tcBorders>
          </w:tcPr>
          <w:p>
            <w:pPr>
              <w:jc w:val="right"/>
              <w:spacing w:after="0" w:line="203" w:lineRule="exact"/>
              <w:rPr>
                <w:sz w:val="20"/>
                <w:szCs w:val="20"/>
                <w:color w:val="auto"/>
              </w:rPr>
            </w:pPr>
            <w:r>
              <w:rPr>
                <w:rFonts w:ascii="Arial" w:cs="Arial" w:eastAsia="Arial" w:hAnsi="Arial"/>
                <w:sz w:val="18"/>
                <w:szCs w:val="18"/>
                <w:color w:val="0000EE"/>
                <w:w w:val="79"/>
              </w:rPr>
              <w:t>5</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3"/>
        </w:trPr>
        <w:tc>
          <w:tcPr>
            <w:tcW w:w="20" w:type="dxa"/>
            <w:vAlign w:val="bottom"/>
            <w:tcBorders>
              <w:bottom w:val="single" w:sz="8" w:color="0000EE"/>
            </w:tcBorders>
          </w:tcPr>
          <w:p>
            <w:pPr>
              <w:spacing w:after="0"/>
              <w:rPr>
                <w:sz w:val="21"/>
                <w:szCs w:val="21"/>
                <w:color w:val="auto"/>
              </w:rPr>
            </w:pPr>
          </w:p>
        </w:tc>
        <w:tc>
          <w:tcPr>
            <w:tcW w:w="920" w:type="dxa"/>
            <w:vAlign w:val="bottom"/>
            <w:tcBorders>
              <w:bottom w:val="single" w:sz="8" w:color="0000EE"/>
            </w:tcBorders>
            <w:gridSpan w:val="3"/>
            <w:shd w:val="clear" w:color="auto" w:fill="CCEEFF"/>
          </w:tcPr>
          <w:p>
            <w:pPr>
              <w:spacing w:after="0"/>
              <w:rPr>
                <w:sz w:val="20"/>
                <w:szCs w:val="20"/>
                <w:color w:val="auto"/>
              </w:rPr>
            </w:pPr>
            <w:r>
              <w:rPr>
                <w:rFonts w:ascii="Arial" w:cs="Arial" w:eastAsia="Arial" w:hAnsi="Arial"/>
                <w:sz w:val="18"/>
                <w:szCs w:val="18"/>
                <w:color w:val="0000EE"/>
                <w:w w:val="89"/>
              </w:rPr>
              <w:t>Risk Factors</w:t>
            </w:r>
          </w:p>
        </w:tc>
        <w:tc>
          <w:tcPr>
            <w:tcW w:w="60" w:type="dxa"/>
            <w:vAlign w:val="bottom"/>
            <w:tcBorders>
              <w:bottom w:val="single" w:sz="8" w:color="CCEEFF"/>
            </w:tcBorders>
            <w:gridSpan w:val="2"/>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9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6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00EE"/>
                <w:w w:val="79"/>
              </w:rPr>
              <w:t>9</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3"/>
        </w:trPr>
        <w:tc>
          <w:tcPr>
            <w:tcW w:w="4220" w:type="dxa"/>
            <w:vAlign w:val="bottom"/>
            <w:tcBorders>
              <w:bottom w:val="single" w:sz="8" w:color="0000EE"/>
            </w:tcBorders>
            <w:gridSpan w:val="13"/>
          </w:tcPr>
          <w:p>
            <w:pPr>
              <w:spacing w:after="0" w:line="203" w:lineRule="exact"/>
              <w:rPr>
                <w:sz w:val="20"/>
                <w:szCs w:val="20"/>
                <w:color w:val="auto"/>
              </w:rPr>
            </w:pPr>
            <w:r>
              <w:rPr>
                <w:rFonts w:ascii="Arial" w:cs="Arial" w:eastAsia="Arial" w:hAnsi="Arial"/>
                <w:sz w:val="18"/>
                <w:szCs w:val="18"/>
                <w:color w:val="0000EE"/>
                <w:w w:val="92"/>
              </w:rPr>
              <w:t>Cautionary Note Regarding Forward-Looking Statements</w:t>
            </w:r>
          </w:p>
        </w:tc>
        <w:tc>
          <w:tcPr>
            <w:tcW w:w="400" w:type="dxa"/>
            <w:vAlign w:val="bottom"/>
          </w:tcPr>
          <w:p>
            <w:pPr>
              <w:spacing w:after="0"/>
              <w:rPr>
                <w:sz w:val="20"/>
                <w:szCs w:val="20"/>
                <w:color w:val="auto"/>
              </w:rPr>
            </w:pPr>
          </w:p>
        </w:tc>
        <w:tc>
          <w:tcPr>
            <w:tcW w:w="3140" w:type="dxa"/>
            <w:vAlign w:val="bottom"/>
          </w:tcPr>
          <w:p>
            <w:pPr>
              <w:ind w:left="292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0000EE"/>
            </w:tcBorders>
            <w:gridSpan w:val="2"/>
          </w:tcPr>
          <w:p>
            <w:pPr>
              <w:jc w:val="right"/>
              <w:spacing w:after="0" w:line="203" w:lineRule="exact"/>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10</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3"/>
        </w:trPr>
        <w:tc>
          <w:tcPr>
            <w:tcW w:w="20" w:type="dxa"/>
            <w:vAlign w:val="bottom"/>
            <w:tcBorders>
              <w:bottom w:val="single" w:sz="8" w:color="0000EE"/>
            </w:tcBorders>
          </w:tcPr>
          <w:p>
            <w:pPr>
              <w:spacing w:after="0"/>
              <w:rPr>
                <w:sz w:val="21"/>
                <w:szCs w:val="21"/>
                <w:color w:val="auto"/>
              </w:rPr>
            </w:pPr>
          </w:p>
        </w:tc>
        <w:tc>
          <w:tcPr>
            <w:tcW w:w="60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8"/>
                <w:szCs w:val="18"/>
                <w:color w:val="0000EE"/>
                <w:w w:val="96"/>
              </w:rPr>
              <w:t>Dilution</w:t>
            </w:r>
          </w:p>
        </w:tc>
        <w:tc>
          <w:tcPr>
            <w:tcW w:w="380" w:type="dxa"/>
            <w:vAlign w:val="bottom"/>
            <w:tcBorders>
              <w:bottom w:val="single" w:sz="8" w:color="CCEEFF"/>
            </w:tcBorders>
            <w:gridSpan w:val="3"/>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spacing w:after="0"/>
              <w:rPr>
                <w:sz w:val="21"/>
                <w:szCs w:val="21"/>
                <w:color w:val="auto"/>
              </w:rPr>
            </w:pPr>
          </w:p>
        </w:tc>
        <w:tc>
          <w:tcPr>
            <w:tcW w:w="3140" w:type="dxa"/>
            <w:vAlign w:val="bottom"/>
            <w:tcBorders>
              <w:bottom w:val="single" w:sz="8" w:color="CCEEFF"/>
              <w:right w:val="single" w:sz="8" w:color="CCEEFF"/>
            </w:tcBorders>
            <w:shd w:val="clear" w:color="auto" w:fill="CCEEFF"/>
          </w:tcPr>
          <w:p>
            <w:pPr>
              <w:ind w:left="292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12</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3"/>
        </w:trPr>
        <w:tc>
          <w:tcPr>
            <w:tcW w:w="1200" w:type="dxa"/>
            <w:vAlign w:val="bottom"/>
            <w:tcBorders>
              <w:bottom w:val="single" w:sz="8" w:color="0000EE"/>
            </w:tcBorders>
            <w:gridSpan w:val="8"/>
          </w:tcPr>
          <w:p>
            <w:pPr>
              <w:spacing w:after="0" w:line="203" w:lineRule="exact"/>
              <w:rPr>
                <w:sz w:val="20"/>
                <w:szCs w:val="20"/>
                <w:color w:val="auto"/>
              </w:rPr>
            </w:pPr>
            <w:r>
              <w:rPr>
                <w:rFonts w:ascii="Arial" w:cs="Arial" w:eastAsia="Arial" w:hAnsi="Arial"/>
                <w:sz w:val="18"/>
                <w:szCs w:val="18"/>
                <w:color w:val="0000EE"/>
                <w:w w:val="88"/>
              </w:rPr>
              <w:t>Use of Proceeds</w:t>
            </w:r>
          </w:p>
        </w:tc>
        <w:tc>
          <w:tcPr>
            <w:tcW w:w="820" w:type="dxa"/>
            <w:vAlign w:val="bottom"/>
            <w:gridSpan w:val="2"/>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gridSpan w:val="2"/>
          </w:tcPr>
          <w:p>
            <w:pPr>
              <w:spacing w:after="0"/>
              <w:rPr>
                <w:sz w:val="20"/>
                <w:szCs w:val="20"/>
                <w:color w:val="auto"/>
              </w:rPr>
            </w:pPr>
          </w:p>
        </w:tc>
        <w:tc>
          <w:tcPr>
            <w:tcW w:w="3140" w:type="dxa"/>
            <w:vAlign w:val="bottom"/>
          </w:tcPr>
          <w:p>
            <w:pPr>
              <w:ind w:left="292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0000EE"/>
            </w:tcBorders>
            <w:gridSpan w:val="2"/>
          </w:tcPr>
          <w:p>
            <w:pPr>
              <w:jc w:val="right"/>
              <w:spacing w:after="0" w:line="203" w:lineRule="exact"/>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13</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3"/>
        </w:trPr>
        <w:tc>
          <w:tcPr>
            <w:tcW w:w="20" w:type="dxa"/>
            <w:vAlign w:val="bottom"/>
            <w:tcBorders>
              <w:bottom w:val="single" w:sz="8" w:color="0000EE"/>
            </w:tcBorders>
          </w:tcPr>
          <w:p>
            <w:pPr>
              <w:spacing w:after="0"/>
              <w:rPr>
                <w:sz w:val="21"/>
                <w:szCs w:val="21"/>
                <w:color w:val="auto"/>
              </w:rPr>
            </w:pPr>
          </w:p>
        </w:tc>
        <w:tc>
          <w:tcPr>
            <w:tcW w:w="254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8"/>
                <w:szCs w:val="18"/>
                <w:color w:val="0000EE"/>
                <w:w w:val="92"/>
              </w:rPr>
              <w:t>Principal and Selling Stockholders</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spacing w:after="0"/>
              <w:rPr>
                <w:sz w:val="21"/>
                <w:szCs w:val="21"/>
                <w:color w:val="auto"/>
              </w:rPr>
            </w:pPr>
          </w:p>
        </w:tc>
        <w:tc>
          <w:tcPr>
            <w:tcW w:w="3140" w:type="dxa"/>
            <w:vAlign w:val="bottom"/>
            <w:tcBorders>
              <w:bottom w:val="single" w:sz="8" w:color="CCEEFF"/>
              <w:right w:val="single" w:sz="8" w:color="CCEEFF"/>
            </w:tcBorders>
            <w:shd w:val="clear" w:color="auto" w:fill="CCEEFF"/>
          </w:tcPr>
          <w:p>
            <w:pPr>
              <w:ind w:left="292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14</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3"/>
        </w:trPr>
        <w:tc>
          <w:tcPr>
            <w:tcW w:w="4620" w:type="dxa"/>
            <w:vAlign w:val="bottom"/>
            <w:tcBorders>
              <w:bottom w:val="single" w:sz="8" w:color="0000EE"/>
            </w:tcBorders>
            <w:gridSpan w:val="14"/>
          </w:tcPr>
          <w:p>
            <w:pPr>
              <w:spacing w:after="0" w:line="203" w:lineRule="exact"/>
              <w:rPr>
                <w:sz w:val="20"/>
                <w:szCs w:val="20"/>
                <w:color w:val="auto"/>
              </w:rPr>
            </w:pPr>
            <w:r>
              <w:rPr>
                <w:rFonts w:ascii="Arial" w:cs="Arial" w:eastAsia="Arial" w:hAnsi="Arial"/>
                <w:sz w:val="18"/>
                <w:szCs w:val="18"/>
                <w:color w:val="0000EE"/>
                <w:w w:val="92"/>
              </w:rPr>
              <w:t>U.S. Federal Income Tax Considerations for Non-U.S. Holders</w:t>
            </w:r>
          </w:p>
        </w:tc>
        <w:tc>
          <w:tcPr>
            <w:tcW w:w="3140" w:type="dxa"/>
            <w:vAlign w:val="bottom"/>
          </w:tcPr>
          <w:p>
            <w:pPr>
              <w:ind w:left="292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0000EE"/>
            </w:tcBorders>
            <w:gridSpan w:val="2"/>
          </w:tcPr>
          <w:p>
            <w:pPr>
              <w:jc w:val="right"/>
              <w:spacing w:after="0" w:line="203" w:lineRule="exact"/>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17</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3"/>
        </w:trPr>
        <w:tc>
          <w:tcPr>
            <w:tcW w:w="20" w:type="dxa"/>
            <w:vAlign w:val="bottom"/>
            <w:tcBorders>
              <w:bottom w:val="single" w:sz="8" w:color="0000EE"/>
            </w:tcBorders>
          </w:tcPr>
          <w:p>
            <w:pPr>
              <w:spacing w:after="0"/>
              <w:rPr>
                <w:sz w:val="21"/>
                <w:szCs w:val="21"/>
                <w:color w:val="auto"/>
              </w:rPr>
            </w:pPr>
          </w:p>
        </w:tc>
        <w:tc>
          <w:tcPr>
            <w:tcW w:w="98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8"/>
                <w:szCs w:val="18"/>
                <w:color w:val="0000EE"/>
                <w:w w:val="94"/>
              </w:rPr>
              <w:t>Underwriting</w:t>
            </w: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spacing w:after="0"/>
              <w:rPr>
                <w:sz w:val="21"/>
                <w:szCs w:val="21"/>
                <w:color w:val="auto"/>
              </w:rPr>
            </w:pPr>
          </w:p>
        </w:tc>
        <w:tc>
          <w:tcPr>
            <w:tcW w:w="3140" w:type="dxa"/>
            <w:vAlign w:val="bottom"/>
            <w:tcBorders>
              <w:bottom w:val="single" w:sz="8" w:color="CCEEFF"/>
              <w:right w:val="single" w:sz="8" w:color="CCEEFF"/>
            </w:tcBorders>
            <w:shd w:val="clear" w:color="auto" w:fill="CCEEFF"/>
          </w:tcPr>
          <w:p>
            <w:pPr>
              <w:ind w:left="292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20</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3"/>
        </w:trPr>
        <w:tc>
          <w:tcPr>
            <w:tcW w:w="1040" w:type="dxa"/>
            <w:vAlign w:val="bottom"/>
            <w:tcBorders>
              <w:bottom w:val="single" w:sz="8" w:color="0000EE"/>
            </w:tcBorders>
            <w:gridSpan w:val="7"/>
          </w:tcPr>
          <w:p>
            <w:pPr>
              <w:spacing w:after="0" w:line="203" w:lineRule="exact"/>
              <w:rPr>
                <w:sz w:val="20"/>
                <w:szCs w:val="20"/>
                <w:color w:val="auto"/>
              </w:rPr>
            </w:pPr>
            <w:r>
              <w:rPr>
                <w:rFonts w:ascii="Arial" w:cs="Arial" w:eastAsia="Arial" w:hAnsi="Arial"/>
                <w:sz w:val="18"/>
                <w:szCs w:val="18"/>
                <w:color w:val="0000EE"/>
                <w:w w:val="93"/>
              </w:rPr>
              <w:t>Legal Matters</w:t>
            </w:r>
          </w:p>
        </w:tc>
        <w:tc>
          <w:tcPr>
            <w:tcW w:w="980" w:type="dxa"/>
            <w:vAlign w:val="bottom"/>
            <w:gridSpan w:val="3"/>
          </w:tcPr>
          <w:p>
            <w:pPr>
              <w:spacing w:after="0"/>
              <w:rPr>
                <w:sz w:val="20"/>
                <w:szCs w:val="20"/>
                <w:color w:val="auto"/>
              </w:rPr>
            </w:pPr>
          </w:p>
        </w:tc>
        <w:tc>
          <w:tcPr>
            <w:tcW w:w="1280" w:type="dxa"/>
            <w:vAlign w:val="bottom"/>
            <w:gridSpan w:val="2"/>
          </w:tcPr>
          <w:p>
            <w:pPr>
              <w:spacing w:after="0"/>
              <w:rPr>
                <w:sz w:val="20"/>
                <w:szCs w:val="20"/>
                <w:color w:val="auto"/>
              </w:rPr>
            </w:pPr>
          </w:p>
        </w:tc>
        <w:tc>
          <w:tcPr>
            <w:tcW w:w="1320" w:type="dxa"/>
            <w:vAlign w:val="bottom"/>
            <w:gridSpan w:val="2"/>
          </w:tcPr>
          <w:p>
            <w:pPr>
              <w:spacing w:after="0"/>
              <w:rPr>
                <w:sz w:val="20"/>
                <w:szCs w:val="20"/>
                <w:color w:val="auto"/>
              </w:rPr>
            </w:pPr>
          </w:p>
        </w:tc>
        <w:tc>
          <w:tcPr>
            <w:tcW w:w="3140" w:type="dxa"/>
            <w:vAlign w:val="bottom"/>
          </w:tcPr>
          <w:p>
            <w:pPr>
              <w:ind w:left="292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0000EE"/>
            </w:tcBorders>
            <w:gridSpan w:val="2"/>
          </w:tcPr>
          <w:p>
            <w:pPr>
              <w:jc w:val="right"/>
              <w:spacing w:after="0" w:line="203" w:lineRule="exact"/>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28</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3"/>
        </w:trPr>
        <w:tc>
          <w:tcPr>
            <w:tcW w:w="20" w:type="dxa"/>
            <w:vAlign w:val="bottom"/>
            <w:tcBorders>
              <w:bottom w:val="single" w:sz="8" w:color="0000EE"/>
            </w:tcBorders>
          </w:tcPr>
          <w:p>
            <w:pPr>
              <w:spacing w:after="0"/>
              <w:rPr>
                <w:sz w:val="21"/>
                <w:szCs w:val="21"/>
                <w:color w:val="auto"/>
              </w:rPr>
            </w:pPr>
          </w:p>
        </w:tc>
        <w:tc>
          <w:tcPr>
            <w:tcW w:w="5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8"/>
                <w:szCs w:val="18"/>
                <w:color w:val="0000EE"/>
                <w:w w:val="85"/>
              </w:rPr>
              <w:t>Experts</w:t>
            </w:r>
          </w:p>
        </w:tc>
        <w:tc>
          <w:tcPr>
            <w:tcW w:w="1460" w:type="dxa"/>
            <w:vAlign w:val="bottom"/>
            <w:tcBorders>
              <w:bottom w:val="single" w:sz="8" w:color="CCEEFF"/>
            </w:tcBorders>
            <w:gridSpan w:val="8"/>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spacing w:after="0"/>
              <w:rPr>
                <w:sz w:val="21"/>
                <w:szCs w:val="21"/>
                <w:color w:val="auto"/>
              </w:rPr>
            </w:pPr>
          </w:p>
        </w:tc>
        <w:tc>
          <w:tcPr>
            <w:tcW w:w="3140" w:type="dxa"/>
            <w:vAlign w:val="bottom"/>
            <w:tcBorders>
              <w:bottom w:val="single" w:sz="8" w:color="CCEEFF"/>
              <w:right w:val="single" w:sz="8" w:color="CCEEFF"/>
            </w:tcBorders>
            <w:shd w:val="clear" w:color="auto" w:fill="CCEEFF"/>
          </w:tcPr>
          <w:p>
            <w:pPr>
              <w:ind w:left="292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28</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3"/>
        </w:trPr>
        <w:tc>
          <w:tcPr>
            <w:tcW w:w="2020" w:type="dxa"/>
            <w:vAlign w:val="bottom"/>
            <w:tcBorders>
              <w:bottom w:val="single" w:sz="8" w:color="0000EE"/>
            </w:tcBorders>
            <w:gridSpan w:val="10"/>
          </w:tcPr>
          <w:p>
            <w:pPr>
              <w:spacing w:after="0" w:line="203" w:lineRule="exact"/>
              <w:rPr>
                <w:sz w:val="20"/>
                <w:szCs w:val="20"/>
                <w:color w:val="auto"/>
              </w:rPr>
            </w:pPr>
            <w:r>
              <w:rPr>
                <w:rFonts w:ascii="Arial" w:cs="Arial" w:eastAsia="Arial" w:hAnsi="Arial"/>
                <w:sz w:val="18"/>
                <w:szCs w:val="18"/>
                <w:color w:val="0000EE"/>
                <w:w w:val="92"/>
              </w:rPr>
              <w:t>Incorporation by Reference</w:t>
            </w:r>
          </w:p>
        </w:tc>
        <w:tc>
          <w:tcPr>
            <w:tcW w:w="1280" w:type="dxa"/>
            <w:vAlign w:val="bottom"/>
            <w:gridSpan w:val="2"/>
          </w:tcPr>
          <w:p>
            <w:pPr>
              <w:spacing w:after="0"/>
              <w:rPr>
                <w:sz w:val="20"/>
                <w:szCs w:val="20"/>
                <w:color w:val="auto"/>
              </w:rPr>
            </w:pPr>
          </w:p>
        </w:tc>
        <w:tc>
          <w:tcPr>
            <w:tcW w:w="1320" w:type="dxa"/>
            <w:vAlign w:val="bottom"/>
            <w:gridSpan w:val="2"/>
          </w:tcPr>
          <w:p>
            <w:pPr>
              <w:spacing w:after="0"/>
              <w:rPr>
                <w:sz w:val="20"/>
                <w:szCs w:val="20"/>
                <w:color w:val="auto"/>
              </w:rPr>
            </w:pPr>
          </w:p>
        </w:tc>
        <w:tc>
          <w:tcPr>
            <w:tcW w:w="3140" w:type="dxa"/>
            <w:vAlign w:val="bottom"/>
          </w:tcPr>
          <w:p>
            <w:pPr>
              <w:ind w:left="292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0000EE"/>
            </w:tcBorders>
            <w:gridSpan w:val="2"/>
          </w:tcPr>
          <w:p>
            <w:pPr>
              <w:jc w:val="right"/>
              <w:spacing w:after="0" w:line="203" w:lineRule="exact"/>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29</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3"/>
        </w:trPr>
        <w:tc>
          <w:tcPr>
            <w:tcW w:w="20" w:type="dxa"/>
            <w:vAlign w:val="bottom"/>
            <w:tcBorders>
              <w:bottom w:val="single" w:sz="8" w:color="0000EE"/>
            </w:tcBorders>
          </w:tcPr>
          <w:p>
            <w:pPr>
              <w:spacing w:after="0"/>
              <w:rPr>
                <w:sz w:val="21"/>
                <w:szCs w:val="21"/>
                <w:color w:val="auto"/>
              </w:rPr>
            </w:pPr>
          </w:p>
        </w:tc>
        <w:tc>
          <w:tcPr>
            <w:tcW w:w="328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8"/>
                <w:szCs w:val="18"/>
                <w:color w:val="0000EE"/>
                <w:w w:val="93"/>
              </w:rPr>
              <w:t>Where You Can Find Additional Information</w:t>
            </w:r>
          </w:p>
        </w:tc>
        <w:tc>
          <w:tcPr>
            <w:tcW w:w="1320" w:type="dxa"/>
            <w:vAlign w:val="bottom"/>
            <w:tcBorders>
              <w:bottom w:val="single" w:sz="8" w:color="CCEEFF"/>
            </w:tcBorders>
            <w:gridSpan w:val="2"/>
            <w:shd w:val="clear" w:color="auto" w:fill="CCEEFF"/>
          </w:tcPr>
          <w:p>
            <w:pPr>
              <w:spacing w:after="0"/>
              <w:rPr>
                <w:sz w:val="21"/>
                <w:szCs w:val="21"/>
                <w:color w:val="auto"/>
              </w:rPr>
            </w:pPr>
          </w:p>
        </w:tc>
        <w:tc>
          <w:tcPr>
            <w:tcW w:w="3140" w:type="dxa"/>
            <w:vAlign w:val="bottom"/>
            <w:tcBorders>
              <w:bottom w:val="single" w:sz="8" w:color="CCEEFF"/>
              <w:right w:val="single" w:sz="8" w:color="CCEEFF"/>
            </w:tcBorders>
            <w:shd w:val="clear" w:color="auto" w:fill="CCEEFF"/>
          </w:tcPr>
          <w:p>
            <w:pPr>
              <w:ind w:left="292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30</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-2169160</wp:posOffset>
            </wp:positionV>
            <wp:extent cx="50742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74285" cy="8255"/>
                    </a:xfrm>
                    <a:prstGeom prst="rect">
                      <a:avLst/>
                    </a:prstGeom>
                    <a:noFill/>
                  </pic:spPr>
                </pic:pic>
              </a:graphicData>
            </a:graphic>
          </wp:anchor>
        </w:drawing>
      </w:r>
    </w:p>
    <w:p>
      <w:pPr>
        <w:spacing w:after="0" w:line="172"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Basis of Presentation</w:t>
      </w:r>
    </w:p>
    <w:p>
      <w:pPr>
        <w:spacing w:after="0" w:line="62" w:lineRule="exact"/>
        <w:rPr>
          <w:sz w:val="20"/>
          <w:szCs w:val="20"/>
          <w:color w:val="auto"/>
        </w:rPr>
      </w:pPr>
    </w:p>
    <w:p>
      <w:pPr>
        <w:ind w:left="1220" w:right="539" w:firstLine="350"/>
        <w:spacing w:after="0" w:line="237" w:lineRule="auto"/>
        <w:rPr>
          <w:sz w:val="20"/>
          <w:szCs w:val="20"/>
          <w:color w:val="auto"/>
        </w:rPr>
      </w:pPr>
      <w:r>
        <w:rPr>
          <w:rFonts w:ascii="Arial" w:cs="Arial" w:eastAsia="Arial" w:hAnsi="Arial"/>
          <w:sz w:val="18"/>
          <w:szCs w:val="18"/>
          <w:color w:val="auto"/>
        </w:rPr>
        <w:t>In this prospectus, all references to “we,” “us,” “our,” our “company,” “Mobileye,” the “Company,” and similar terms refer to Mobileye Global Inc. and its consolidated subsidiaries, except as the context requires with respect to our historical results of operations as described in our historical financial statements incorporated by reference herein. References to “Moovit” refer to GG Acquisition Ltd., Moovit App Global Ltd., and their consolidated subsidiaries.</w:t>
      </w:r>
    </w:p>
    <w:p>
      <w:pPr>
        <w:spacing w:after="0" w:line="29" w:lineRule="exact"/>
        <w:rPr>
          <w:sz w:val="20"/>
          <w:szCs w:val="20"/>
          <w:color w:val="auto"/>
        </w:rPr>
      </w:pPr>
    </w:p>
    <w:p>
      <w:pPr>
        <w:ind w:left="1220" w:right="559" w:firstLine="350"/>
        <w:spacing w:after="0" w:line="269" w:lineRule="auto"/>
        <w:rPr>
          <w:sz w:val="20"/>
          <w:szCs w:val="20"/>
          <w:color w:val="auto"/>
        </w:rPr>
      </w:pPr>
      <w:r>
        <w:rPr>
          <w:rFonts w:ascii="Arial" w:cs="Arial" w:eastAsia="Arial" w:hAnsi="Arial"/>
          <w:sz w:val="16"/>
          <w:szCs w:val="16"/>
          <w:color w:val="auto"/>
        </w:rPr>
        <w:t>We have a 52- or 53-week fiscal year that ends on the last Saturday in December. Fiscal years 2021 and 2020 were 52-week fiscal years; fiscal year 2022 was a 53-week fiscal year. Fiscal year 2023 will be a 52-week fiscal year. The additional week in fiscal year 2022 was added to the first quarter, which consisted of 14 weeks. Any references to our performance for the years 2022, 2021 and 2020, are references to our fiscal years ended December 31, 2022, December 25, 2021 and December 26, 2020, respectively, and all references to our financial condition as of the end of 2022 and 2021 are references to the end of such fiscal years. Certain amounts, percentages, and other figures presented in this prospectus have been subject to rounding adjustments. Accordingly, figures shown as totals, dollars, or percentage amounts of changes may not represent the arithmetic summation or calculation of the figures that precede them.</w:t>
      </w:r>
    </w:p>
    <w:p>
      <w:pPr>
        <w:spacing w:after="0" w:line="10" w:lineRule="exact"/>
        <w:rPr>
          <w:sz w:val="20"/>
          <w:szCs w:val="20"/>
          <w:color w:val="auto"/>
        </w:rPr>
      </w:pPr>
    </w:p>
    <w:p>
      <w:pPr>
        <w:ind w:left="1220" w:right="539" w:firstLine="350"/>
        <w:spacing w:after="0" w:line="235" w:lineRule="auto"/>
        <w:rPr>
          <w:sz w:val="20"/>
          <w:szCs w:val="20"/>
          <w:color w:val="auto"/>
        </w:rPr>
      </w:pPr>
      <w:r>
        <w:rPr>
          <w:rFonts w:ascii="Arial" w:cs="Arial" w:eastAsia="Arial" w:hAnsi="Arial"/>
          <w:sz w:val="18"/>
          <w:szCs w:val="18"/>
          <w:color w:val="auto"/>
        </w:rPr>
        <w:t>Neither we, the selling stockholder nor any of the underwriters has authorized anyone to provide you with different or additional information or to make any representations other than those contained in this prospectus or in any free writing prospectuses we have authorized for use with respect to this offering. We, the selling stockholder and the underwriters take no responsibility for, and can provide no assurance as to the reliability of, any other information that others may give you or any representation that others may make to you. We, the selling stockholder and the underwriters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results of operations, and financial condition may have changed since the date of the applicable document.</w:t>
      </w:r>
    </w:p>
    <w:p>
      <w:pPr>
        <w:spacing w:after="0" w:line="44" w:lineRule="exact"/>
        <w:rPr>
          <w:sz w:val="20"/>
          <w:szCs w:val="20"/>
          <w:color w:val="auto"/>
        </w:rPr>
      </w:pPr>
    </w:p>
    <w:p>
      <w:pPr>
        <w:ind w:left="1220" w:right="539" w:firstLine="350"/>
        <w:spacing w:after="0" w:line="269" w:lineRule="auto"/>
        <w:rPr>
          <w:sz w:val="20"/>
          <w:szCs w:val="20"/>
          <w:color w:val="auto"/>
        </w:rPr>
      </w:pPr>
      <w:r>
        <w:rPr>
          <w:rFonts w:ascii="Arial" w:cs="Arial" w:eastAsia="Arial" w:hAnsi="Arial"/>
          <w:sz w:val="16"/>
          <w:szCs w:val="16"/>
          <w:color w:val="auto"/>
        </w:rPr>
        <w:t>Financial statements included in the documents incorporated by reference in this prospectus have been prepared in accordance with United States Generally Accepted Accounting Principles (“GAAP”). We have included or incorporated by reference in this prospectus certain non-GAAP financial measures, as well as the reconciliations of those measures to the most directly comparable GAAP financial measures, as further described under “Management’s Discussion and Analysis of Financial Condition and Result of Operations — Non-GAAP Financial Measures.” These non-GAAP measures are provided because our management uses these financial measures to make decisions, establish business plans and forecasts, identify trends affecting our business, and evaluate performance.</w:t>
      </w: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327660</wp:posOffset>
            </wp:positionV>
            <wp:extent cx="5362575" cy="7741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62575" cy="7741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PROSPECTUS SUMMARY</w:t>
      </w:r>
    </w:p>
    <w:p>
      <w:pPr>
        <w:spacing w:after="0" w:line="154" w:lineRule="exact"/>
        <w:rPr>
          <w:sz w:val="20"/>
          <w:szCs w:val="20"/>
          <w:color w:val="auto"/>
        </w:rPr>
      </w:pPr>
    </w:p>
    <w:p>
      <w:pPr>
        <w:ind w:left="1240" w:right="579" w:firstLine="350"/>
        <w:spacing w:after="0" w:line="271"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does not contain all the information you should consider before making an investment decision. You should read the entire prospectus carefully, including the sections entitled “Risk Factors” and “Cautionary Note Regarding Forward-Looking Statements,” and the sections entitled “Item 1A. Risk Factors” and “Item 7. Management’s Discussion and Analysis of Financial Condition and Results of Operations” in our 2022 Form 10-K incorporated by reference herein, and our historical financial statements and the accompanying notes incorporated by reference in this prospectus, before making an investment decision.</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Company Overview</w:t>
      </w:r>
    </w:p>
    <w:p>
      <w:pPr>
        <w:spacing w:after="0" w:line="154" w:lineRule="exact"/>
        <w:rPr>
          <w:sz w:val="20"/>
          <w:szCs w:val="20"/>
          <w:color w:val="auto"/>
        </w:rPr>
      </w:pPr>
    </w:p>
    <w:p>
      <w:pPr>
        <w:ind w:left="1240" w:right="559" w:firstLine="350"/>
        <w:spacing w:after="0" w:line="239" w:lineRule="auto"/>
        <w:rPr>
          <w:sz w:val="20"/>
          <w:szCs w:val="20"/>
          <w:color w:val="auto"/>
        </w:rPr>
      </w:pPr>
      <w:r>
        <w:rPr>
          <w:rFonts w:ascii="Arial" w:cs="Arial" w:eastAsia="Arial" w:hAnsi="Arial"/>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22" w:lineRule="exact"/>
        <w:rPr>
          <w:sz w:val="20"/>
          <w:szCs w:val="20"/>
          <w:color w:val="auto"/>
        </w:rPr>
      </w:pPr>
    </w:p>
    <w:p>
      <w:pPr>
        <w:ind w:left="1240" w:right="559" w:firstLine="350"/>
        <w:spacing w:after="0" w:line="237" w:lineRule="auto"/>
        <w:rPr>
          <w:sz w:val="20"/>
          <w:szCs w:val="20"/>
          <w:color w:val="auto"/>
        </w:rPr>
      </w:pPr>
      <w:r>
        <w:rPr>
          <w:rFonts w:ascii="Arial" w:cs="Arial" w:eastAsia="Arial" w:hAnsi="Arial"/>
          <w:sz w:val="18"/>
          <w:szCs w:val="18"/>
          <w:color w:val="auto"/>
        </w:rPr>
        <w:t>Our portfolio of solutions is built upon a comprehensive suite of purpose- 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22"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While today ADAS is central to the advancement of automotive safety, we believe that the future</w:t>
      </w:r>
    </w:p>
    <w:p>
      <w:pPr>
        <w:spacing w:after="0" w:line="27" w:lineRule="exact"/>
        <w:rPr>
          <w:sz w:val="20"/>
          <w:szCs w:val="20"/>
          <w:color w:val="auto"/>
        </w:rPr>
      </w:pPr>
    </w:p>
    <w:p>
      <w:pPr>
        <w:ind w:left="1240" w:right="519"/>
        <w:spacing w:after="0" w:line="234" w:lineRule="auto"/>
        <w:rPr>
          <w:sz w:val="20"/>
          <w:szCs w:val="20"/>
          <w:color w:val="auto"/>
        </w:rPr>
      </w:pPr>
      <w:r>
        <w:rPr>
          <w:rFonts w:ascii="Arial" w:cs="Arial" w:eastAsia="Arial" w:hAnsi="Arial"/>
          <w:sz w:val="18"/>
          <w:szCs w:val="18"/>
          <w:color w:val="auto"/>
        </w:rPr>
        <w:t>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23" w:lineRule="exact"/>
        <w:rPr>
          <w:sz w:val="20"/>
          <w:szCs w:val="20"/>
          <w:color w:val="auto"/>
        </w:rPr>
      </w:pPr>
    </w:p>
    <w:p>
      <w:pPr>
        <w:ind w:left="1240" w:right="599" w:firstLine="350"/>
        <w:spacing w:after="0" w:line="268" w:lineRule="auto"/>
        <w:rPr>
          <w:sz w:val="20"/>
          <w:szCs w:val="20"/>
          <w:color w:val="auto"/>
        </w:rPr>
      </w:pPr>
      <w:r>
        <w:rPr>
          <w:rFonts w:ascii="Arial" w:cs="Arial" w:eastAsia="Arial" w:hAnsi="Arial"/>
          <w:sz w:val="16"/>
          <w:szCs w:val="16"/>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enabling our customers to productize our most advanced solutions today and then leverage those investments to launch even more advanced systems in a modular and incremental manner. Our solutions are also highly customizable, which allows our customers to benefit from our cutting-edge, verified, and validated core ADAS capabilities while also augmenting and differentiating their offerings.</w:t>
      </w:r>
    </w:p>
    <w:p>
      <w:pPr>
        <w:spacing w:after="0" w:line="10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We have experienced significant growth since our founding. For the three months ended April 1, 2023,</w:t>
      </w:r>
    </w:p>
    <w:p>
      <w:pPr>
        <w:spacing w:after="0" w:line="38"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our revenue was $458 million, representing an increase of 16% compared to the three months ended April 2,</w:t>
      </w:r>
    </w:p>
    <w:p>
      <w:pPr>
        <w:spacing w:after="0" w:line="1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2022. For 2022, 2021 and 2020, our revenue was $1.9 billion, $1.4 billion and $967 million, respectively,</w:t>
      </w:r>
    </w:p>
    <w:p>
      <w:pPr>
        <w:spacing w:after="0" w:line="1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representing year-over-year growth of 35% in 2022. We currently derive substantially all of our revenue</w:t>
      </w:r>
    </w:p>
    <w:p>
      <w:pPr>
        <w:spacing w:after="0" w:line="1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from our commercially deployed ADAS solutions. We recorded net losses of $79 million for the three</w:t>
      </w:r>
    </w:p>
    <w:p>
      <w:pPr>
        <w:ind w:left="1240"/>
        <w:spacing w:after="0"/>
        <w:rPr>
          <w:sz w:val="20"/>
          <w:szCs w:val="20"/>
          <w:color w:val="auto"/>
        </w:rPr>
      </w:pPr>
      <w:r>
        <w:rPr>
          <w:rFonts w:ascii="Arial" w:cs="Arial" w:eastAsia="Arial" w:hAnsi="Arial"/>
          <w:sz w:val="16"/>
          <w:szCs w:val="16"/>
          <w:color w:val="auto"/>
        </w:rPr>
        <w:t>months ended April 1, 2023, compared to $60 million for the three months ended April 2, 2022, and of</w:t>
      </w:r>
    </w:p>
    <w:p>
      <w:pPr>
        <w:spacing w:after="0" w:line="1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$82 million, $75 million and $196 million in 2022, 2021 and 2020, respectively. Our Adjusted Net Income</w:t>
      </w:r>
    </w:p>
    <w:p>
      <w:pPr>
        <w:spacing w:after="0" w:line="1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was $115 million for the three months ended April 1, 2023, compared to $120 million for the three months</w:t>
      </w:r>
    </w:p>
    <w:p>
      <w:pPr>
        <w:spacing w:after="0" w:line="1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ended April 2, 2022, and $605 million, $474 million and $289 million for 2022, 2021 and 2020,</w:t>
      </w:r>
    </w:p>
    <w:p>
      <w:pPr>
        <w:ind w:left="1240"/>
        <w:spacing w:after="0"/>
        <w:rPr>
          <w:sz w:val="20"/>
          <w:szCs w:val="20"/>
          <w:color w:val="auto"/>
        </w:rPr>
      </w:pPr>
      <w:r>
        <w:rPr>
          <w:rFonts w:ascii="Arial" w:cs="Arial" w:eastAsia="Arial" w:hAnsi="Arial"/>
          <w:sz w:val="16"/>
          <w:szCs w:val="16"/>
          <w:color w:val="auto"/>
        </w:rPr>
        <w:t>respectively. Adjusted Net Income is a non-GAAP financial measure; see “Summary Consolidated Financial</w:t>
      </w:r>
    </w:p>
    <w:p>
      <w:pPr>
        <w:spacing w:after="0" w:line="1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Information — Non-GAAP Financial Measures” below for a reconciliation of Adjusted Net Income to Net</w:t>
      </w:r>
    </w:p>
    <w:p>
      <w:pPr>
        <w:spacing w:after="0" w:line="2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income (loss). The adjustments to reconcile net income (loss) with Adjusted Net Income are related 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327660</wp:posOffset>
            </wp:positionV>
            <wp:extent cx="5362575" cy="79667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62575" cy="796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40" w:right="539"/>
        <w:spacing w:after="0" w:line="280" w:lineRule="auto"/>
        <w:rPr>
          <w:sz w:val="20"/>
          <w:szCs w:val="20"/>
          <w:color w:val="auto"/>
        </w:rPr>
      </w:pPr>
      <w:r>
        <w:rPr>
          <w:rFonts w:ascii="Arial" w:cs="Arial" w:eastAsia="Arial" w:hAnsi="Arial"/>
          <w:sz w:val="16"/>
          <w:szCs w:val="16"/>
          <w:color w:val="auto"/>
        </w:rPr>
        <w:t>amortization of intangible assets, share-based compensation expenses and expenses related to the initial public offering of Mobileye (the “Mobileye IPO”) as well as the related income tax effects where applicable. The amortization of intangible assets consisting of developed technology, customer relationships and brands, is a result of Intel’s acquisition of Mobileye in 2017 and the acquisition of Moovit in 2020. As noted elsewhere in this prospectus, the year ended December 31, 2022 contains an additional week as a result of 2022 being a 53-week fiscal year while 2021 and 2020 are 52-week fiscal years. However, the inclusion of the additional week does not have a material impact on our revenue and cost of revenue as the timing of deliveries to customers is not consistent from week-to-week. Further, most of our expenses (such as payroll) are incurred on a monthly basis and, as such, the accrual for the additional week does not materially impact our results of operations.</w:t>
      </w:r>
    </w:p>
    <w:p>
      <w:pPr>
        <w:spacing w:after="0" w:line="316" w:lineRule="exact"/>
        <w:rPr>
          <w:sz w:val="20"/>
          <w:szCs w:val="20"/>
          <w:color w:val="auto"/>
        </w:rPr>
      </w:pPr>
    </w:p>
    <w:p>
      <w:pPr>
        <w:ind w:left="1240" w:right="559" w:firstLine="350"/>
        <w:spacing w:after="0" w:line="242" w:lineRule="auto"/>
        <w:rPr>
          <w:sz w:val="20"/>
          <w:szCs w:val="20"/>
          <w:color w:val="auto"/>
        </w:rPr>
      </w:pPr>
      <w:r>
        <w:rPr>
          <w:rFonts w:ascii="Arial" w:cs="Arial" w:eastAsia="Arial" w:hAnsi="Arial"/>
          <w:sz w:val="16"/>
          <w:szCs w:val="16"/>
          <w:color w:val="auto"/>
        </w:rPr>
        <w:t>As of April 1, 2023, our solutions had been installed in approximately 800 vehicle models (including local country, year, and other vehicle model variations), and our System-on-Chips (“SoCs”) had been deployed in over 140 million vehicles. We are actively working with more than 50 Original Equipment Manufacturers (“OEMs”) worldwide on the implementation of our ADAS solutions. For the year ended December 31, 2022, we shipped approximately 33.7 million of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and SuperVision™ systems, of which the substantial majority were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This represents an increase from approximately</w:t>
      </w:r>
    </w:p>
    <w:p>
      <w:pPr>
        <w:spacing w:after="0" w:line="3" w:lineRule="exact"/>
        <w:rPr>
          <w:sz w:val="20"/>
          <w:szCs w:val="20"/>
          <w:color w:val="auto"/>
        </w:rPr>
      </w:pPr>
    </w:p>
    <w:p>
      <w:pPr>
        <w:ind w:left="1240" w:right="799"/>
        <w:spacing w:after="0" w:line="234" w:lineRule="auto"/>
        <w:rPr>
          <w:sz w:val="20"/>
          <w:szCs w:val="20"/>
          <w:color w:val="auto"/>
        </w:rPr>
      </w:pPr>
      <w:r>
        <w:rPr>
          <w:rFonts w:ascii="Arial" w:cs="Arial" w:eastAsia="Arial" w:hAnsi="Arial"/>
          <w:sz w:val="17"/>
          <w:szCs w:val="17"/>
          <w:color w:val="auto"/>
        </w:rPr>
        <w:t>28.1 million systems that we shipped in 2021 and approximately 19.7 million systems that we shipped in 2020. In the three months ended April 1, 2023, we shipped approximately 8.1 million of our systems, the substantial majority of which were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This represents an increase from the approximately 7.4 million of our systems that we shipped in the first three months of 2022.</w:t>
      </w:r>
    </w:p>
    <w:p>
      <w:pPr>
        <w:spacing w:after="0" w:line="199"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Reorganization and Initial Public Offering</w:t>
      </w:r>
    </w:p>
    <w:p>
      <w:pPr>
        <w:spacing w:after="0" w:line="135" w:lineRule="exact"/>
        <w:rPr>
          <w:sz w:val="20"/>
          <w:szCs w:val="20"/>
          <w:color w:val="auto"/>
        </w:rPr>
      </w:pPr>
    </w:p>
    <w:p>
      <w:pPr>
        <w:ind w:left="1240" w:right="539" w:firstLine="350"/>
        <w:spacing w:after="0" w:line="278" w:lineRule="auto"/>
        <w:rPr>
          <w:sz w:val="20"/>
          <w:szCs w:val="20"/>
          <w:color w:val="auto"/>
        </w:rPr>
      </w:pPr>
      <w:r>
        <w:rPr>
          <w:rFonts w:ascii="Arial" w:cs="Arial" w:eastAsia="Arial" w:hAnsi="Arial"/>
          <w:sz w:val="16"/>
          <w:szCs w:val="16"/>
          <w:color w:val="auto"/>
        </w:rPr>
        <w:t>In October 2022, Intel completed the internal reorganization and design of our new public entity (the “Reorganization”) for purposes of the Mobileye IPO. The registration statement related to the Mobileye IPO was declared effective on October 25, 2022, and our Class A common stock began trading on The Nasdaq Global Select Market (“Nasdaq”) under the ticker symbol “MBLY” on October 26, 2022. Prior to the completion of the Mobileye IPO, we were a wholly-owned business of Intel. On November 1, 2022, we closed the sale of additional shares pursuant to the exercise of the underwriters’ option to purchase additional shares in full. As of May 15, 2023, Intel directly or indirectly held all of the Class B common stock of Mobileye, which represented approximately 93.1% of our outstanding common stock and 99.3% of the voting power of our outstanding common stock. Upon completion of this offering, Intel will own all of our outstanding Class B common stock, which will represent approximately 88.7% of our outstanding common stock (or 88.1% if the underwriters exercise their option to purchase additional shares in full), and 98.7% of the voting power of our outstanding common stock (or approximately 98.7% if the underwriters exercise their option to purchase additional shares in full).</w:t>
      </w:r>
    </w:p>
    <w:p>
      <w:pPr>
        <w:spacing w:after="0" w:line="16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Corporate Information</w:t>
      </w:r>
    </w:p>
    <w:p>
      <w:pPr>
        <w:spacing w:after="0" w:line="154" w:lineRule="exact"/>
        <w:rPr>
          <w:sz w:val="20"/>
          <w:szCs w:val="20"/>
          <w:color w:val="auto"/>
        </w:rPr>
      </w:pPr>
    </w:p>
    <w:p>
      <w:pPr>
        <w:ind w:left="1240" w:right="619" w:firstLine="350"/>
        <w:spacing w:after="0" w:line="248" w:lineRule="auto"/>
        <w:rPr>
          <w:sz w:val="20"/>
          <w:szCs w:val="20"/>
          <w:color w:val="auto"/>
        </w:rPr>
      </w:pPr>
      <w:r>
        <w:rPr>
          <w:rFonts w:ascii="Arial" w:cs="Arial" w:eastAsia="Arial" w:hAnsi="Arial"/>
          <w:sz w:val="18"/>
          <w:szCs w:val="18"/>
          <w:color w:val="auto"/>
        </w:rPr>
        <w:t>Mobileye was founded in Israel in 1999. Our co-founder, Professor Amnon Shashua, is our President and Chief Executive Officer. Our principal executive offices are located at Har Hotzvim, 13 Hartom Street, Jerusalem 9777513, Israel, and our phone number is +972-2-541-7333. Our website address is www.mobileye.com. The information contained in, or that can be accessed through, our website is not incorporated by reference in, and is not part of, this prospectus.</w:t>
      </w:r>
    </w:p>
    <w:p>
      <w:pPr>
        <w:spacing w:after="0" w:line="18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Trademarks and Trade Names</w:t>
      </w:r>
    </w:p>
    <w:p>
      <w:pPr>
        <w:spacing w:after="0" w:line="154" w:lineRule="exact"/>
        <w:rPr>
          <w:sz w:val="20"/>
          <w:szCs w:val="20"/>
          <w:color w:val="auto"/>
        </w:rPr>
      </w:pPr>
    </w:p>
    <w:p>
      <w:pPr>
        <w:ind w:left="1240" w:right="799" w:firstLine="350"/>
        <w:spacing w:after="0" w:line="225" w:lineRule="auto"/>
        <w:rPr>
          <w:sz w:val="20"/>
          <w:szCs w:val="20"/>
          <w:color w:val="auto"/>
        </w:rPr>
      </w:pPr>
      <w:r>
        <w:rPr>
          <w:rFonts w:ascii="Arial" w:cs="Arial" w:eastAsia="Arial" w:hAnsi="Arial"/>
          <w:sz w:val="17"/>
          <w:szCs w:val="17"/>
          <w:color w:val="auto"/>
        </w:rPr>
        <w:t>The Mobileye name, our logo, and other trademarks mentioned in this prospectus, including, among others, EyeQ</w:t>
      </w:r>
      <w:r>
        <w:rPr>
          <w:rFonts w:ascii="Arial" w:cs="Arial" w:eastAsia="Arial" w:hAnsi="Arial"/>
          <w:sz w:val="25"/>
          <w:szCs w:val="25"/>
          <w:color w:val="auto"/>
          <w:vertAlign w:val="superscript"/>
        </w:rPr>
        <w:t>®</w:t>
      </w:r>
      <w:r>
        <w:rPr>
          <w:rFonts w:ascii="Arial" w:cs="Arial" w:eastAsia="Arial" w:hAnsi="Arial"/>
          <w:sz w:val="17"/>
          <w:szCs w:val="17"/>
          <w:color w:val="auto"/>
        </w:rPr>
        <w:t>, EyeQ Ultra</w:t>
      </w:r>
      <w:r>
        <w:rPr>
          <w:rFonts w:ascii="Arial" w:cs="Arial" w:eastAsia="Arial" w:hAnsi="Arial"/>
          <w:sz w:val="25"/>
          <w:szCs w:val="25"/>
          <w:color w:val="auto"/>
          <w:vertAlign w:val="superscript"/>
        </w:rPr>
        <w:t>™</w:t>
      </w:r>
      <w:r>
        <w:rPr>
          <w:rFonts w:ascii="Arial" w:cs="Arial" w:eastAsia="Arial" w:hAnsi="Arial"/>
          <w:sz w:val="17"/>
          <w:szCs w:val="17"/>
          <w:color w:val="auto"/>
        </w:rPr>
        <w:t>, EyeQ Kit</w:t>
      </w:r>
      <w:r>
        <w:rPr>
          <w:rFonts w:ascii="Arial" w:cs="Arial" w:eastAsia="Arial" w:hAnsi="Arial"/>
          <w:sz w:val="25"/>
          <w:szCs w:val="25"/>
          <w:color w:val="auto"/>
          <w:vertAlign w:val="superscript"/>
        </w:rPr>
        <w:t>™</w:t>
      </w:r>
      <w:r>
        <w:rPr>
          <w:rFonts w:ascii="Arial" w:cs="Arial" w:eastAsia="Arial" w:hAnsi="Arial"/>
          <w:sz w:val="17"/>
          <w:szCs w:val="17"/>
          <w:color w:val="auto"/>
        </w:rPr>
        <w:t>, Road Experience Management</w:t>
      </w:r>
      <w:r>
        <w:rPr>
          <w:rFonts w:ascii="Arial" w:cs="Arial" w:eastAsia="Arial" w:hAnsi="Arial"/>
          <w:sz w:val="25"/>
          <w:szCs w:val="25"/>
          <w:color w:val="auto"/>
          <w:vertAlign w:val="superscript"/>
        </w:rPr>
        <w:t>™</w:t>
      </w:r>
      <w:r>
        <w:rPr>
          <w:rFonts w:ascii="Arial" w:cs="Arial" w:eastAsia="Arial" w:hAnsi="Arial"/>
          <w:sz w:val="17"/>
          <w:szCs w:val="17"/>
          <w:color w:val="auto"/>
        </w:rPr>
        <w:t>, REM</w:t>
      </w:r>
      <w:r>
        <w:rPr>
          <w:rFonts w:ascii="Arial" w:cs="Arial" w:eastAsia="Arial" w:hAnsi="Arial"/>
          <w:sz w:val="25"/>
          <w:szCs w:val="25"/>
          <w:color w:val="auto"/>
          <w:vertAlign w:val="superscript"/>
        </w:rPr>
        <w:t>™</w:t>
      </w:r>
      <w:r>
        <w:rPr>
          <w:rFonts w:ascii="Arial" w:cs="Arial" w:eastAsia="Arial" w:hAnsi="Arial"/>
          <w:sz w:val="17"/>
          <w:szCs w:val="17"/>
          <w:color w:val="auto"/>
        </w:rPr>
        <w:t>, True Redundancy</w:t>
      </w:r>
      <w:r>
        <w:rPr>
          <w:rFonts w:ascii="Arial" w:cs="Arial" w:eastAsia="Arial" w:hAnsi="Arial"/>
          <w:sz w:val="25"/>
          <w:szCs w:val="25"/>
          <w:color w:val="auto"/>
          <w:vertAlign w:val="superscript"/>
        </w:rPr>
        <w:t>™</w:t>
      </w:r>
      <w:r>
        <w:rPr>
          <w:rFonts w:ascii="Arial" w:cs="Arial" w:eastAsia="Arial" w:hAnsi="Arial"/>
          <w:sz w:val="17"/>
          <w:szCs w:val="17"/>
          <w:color w:val="auto"/>
        </w:rPr>
        <w:t>, Mobileye Chauffeur</w:t>
      </w:r>
      <w:r>
        <w:rPr>
          <w:rFonts w:ascii="Arial" w:cs="Arial" w:eastAsia="Arial" w:hAnsi="Arial"/>
          <w:sz w:val="25"/>
          <w:szCs w:val="25"/>
          <w:color w:val="auto"/>
          <w:vertAlign w:val="superscript"/>
        </w:rPr>
        <w:t>™</w:t>
      </w:r>
      <w:r>
        <w:rPr>
          <w:rFonts w:ascii="Arial" w:cs="Arial" w:eastAsia="Arial" w:hAnsi="Arial"/>
          <w:sz w:val="17"/>
          <w:szCs w:val="17"/>
          <w:color w:val="auto"/>
        </w:rPr>
        <w:t>, Mobileye Drive</w:t>
      </w:r>
      <w:r>
        <w:rPr>
          <w:rFonts w:ascii="Arial" w:cs="Arial" w:eastAsia="Arial" w:hAnsi="Arial"/>
          <w:sz w:val="25"/>
          <w:szCs w:val="25"/>
          <w:color w:val="auto"/>
          <w:vertAlign w:val="superscript"/>
        </w:rPr>
        <w:t>™</w:t>
      </w:r>
      <w:r>
        <w:rPr>
          <w:rFonts w:ascii="Arial" w:cs="Arial" w:eastAsia="Arial" w:hAnsi="Arial"/>
          <w:sz w:val="17"/>
          <w:szCs w:val="17"/>
          <w:color w:val="auto"/>
        </w:rPr>
        <w:t>,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and Moovit, are the property of Mobileye. Trade names, trademarks, and service marks of other companies appearing or incorporated by reference in this prospectus are the property of their respective holders.</w:t>
      </w:r>
    </w:p>
    <w:p>
      <w:pPr>
        <w:spacing w:after="0" w:line="19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Recent Developments</w:t>
      </w:r>
    </w:p>
    <w:p>
      <w:pPr>
        <w:spacing w:after="0" w:line="14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As of May 15, 2023, we have achieved ADAS design wins with 10 separate OEMs in 2023 year-to-</w:t>
      </w:r>
    </w:p>
    <w:p>
      <w:pPr>
        <w:spacing w:after="0" w:line="3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9739"/>
          </w:cols>
          <w:pgMar w:left="720" w:top="90" w:right="1440" w:bottom="1440" w:gutter="0" w:footer="0" w:header="0"/>
        </w:sectPr>
      </w:pPr>
    </w:p>
    <w:p>
      <w:pPr>
        <w:spacing w:after="0" w:line="399" w:lineRule="exact"/>
        <w:rPr>
          <w:sz w:val="20"/>
          <w:szCs w:val="20"/>
          <w:color w:val="auto"/>
        </w:rPr>
      </w:pPr>
    </w:p>
    <w:p>
      <w:pPr>
        <w:ind w:left="51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268605</wp:posOffset>
            </wp:positionV>
            <wp:extent cx="664400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327660</wp:posOffset>
            </wp:positionV>
            <wp:extent cx="5362575" cy="78079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62575" cy="780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40" w:right="559" w:firstLine="350"/>
        <w:spacing w:after="0" w:line="232" w:lineRule="auto"/>
        <w:rPr>
          <w:sz w:val="20"/>
          <w:szCs w:val="20"/>
          <w:color w:val="auto"/>
        </w:rPr>
      </w:pPr>
      <w:r>
        <w:rPr>
          <w:rFonts w:ascii="Arial" w:cs="Arial" w:eastAsia="Arial" w:hAnsi="Arial"/>
          <w:sz w:val="16"/>
          <w:szCs w:val="16"/>
          <w:color w:val="auto"/>
        </w:rPr>
        <w:t>On May 9, 2023, the sports car manufacturer Dr. Ing. h.c. F. Porsche AG (“Porsche”) announced that it had entered into a strategic collaboration for series production of premium ADAS solutions with Mobileye. In future models, Porsche plans to offer automated assistance and navigate-on -pilot functions based on the Mobileye SuperVision</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technology platform, an eyes-on hands-off premium ADAS solution (where driver remains responsible for monitoring the system) across a defined operational design domain. Mobileye’s SuperVision</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technology can also be used by other VW Group brands as a platform solution. With Mobileye SuperVision</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 cars can under a driver’s responsible monitoring, follow the navigations routes chosen by the driver, autonomously change lanes and automatically overtake slower vehicles on multi-lane roads. The system monitors the environment with eleven cameras and supporting radar fusion perception. Other components include high-resolution maps (‘Road Experience Management’) and the Mobileye EyeQ</w:t>
      </w:r>
      <w:r>
        <w:rPr>
          <w:rFonts w:ascii="Arial" w:cs="Arial" w:eastAsia="Arial" w:hAnsi="Arial"/>
          <w:sz w:val="24"/>
          <w:szCs w:val="24"/>
          <w:color w:val="auto"/>
          <w:vertAlign w:val="superscript"/>
        </w:rPr>
        <w:t>®</w:t>
      </w:r>
      <w:r>
        <w:rPr>
          <w:rFonts w:ascii="Arial" w:cs="Arial" w:eastAsia="Arial" w:hAnsi="Arial"/>
          <w:sz w:val="16"/>
          <w:szCs w:val="16"/>
          <w:color w:val="auto"/>
        </w:rPr>
        <w:t>6 High Systems-on-a-Chip (SoC). This highly efficient combination of software and hardware uses artificial intelligence to perform the driver assistance functions.</w:t>
      </w:r>
    </w:p>
    <w:p>
      <w:pPr>
        <w:spacing w:after="0" w:line="90" w:lineRule="exact"/>
        <w:rPr>
          <w:sz w:val="20"/>
          <w:szCs w:val="20"/>
          <w:color w:val="auto"/>
        </w:rPr>
      </w:pPr>
    </w:p>
    <w:p>
      <w:pPr>
        <w:ind w:left="1240" w:right="559" w:firstLine="350"/>
        <w:spacing w:after="0" w:line="211" w:lineRule="auto"/>
        <w:rPr>
          <w:sz w:val="20"/>
          <w:szCs w:val="20"/>
          <w:color w:val="auto"/>
        </w:rPr>
      </w:pPr>
      <w:r>
        <w:rPr>
          <w:rFonts w:ascii="Arial" w:cs="Arial" w:eastAsia="Arial" w:hAnsi="Arial"/>
          <w:sz w:val="17"/>
          <w:szCs w:val="17"/>
          <w:color w:val="auto"/>
        </w:rPr>
        <w:t>The addition of Porsche as a SuperVision</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customer is expected to result in the continued expansion of the number of OEMs that will be utilizing our Road Experience Management</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mapping technology. We now expect that vehicles from 9 OEMs will integrate REM technology by 2025.</w:t>
      </w:r>
    </w:p>
    <w:p>
      <w:pPr>
        <w:spacing w:after="0" w:line="121" w:lineRule="exact"/>
        <w:rPr>
          <w:sz w:val="20"/>
          <w:szCs w:val="20"/>
          <w:color w:val="auto"/>
        </w:rPr>
      </w:pPr>
    </w:p>
    <w:p>
      <w:pPr>
        <w:ind w:left="1240" w:right="559" w:firstLine="350"/>
        <w:spacing w:after="0"/>
        <w:rPr>
          <w:sz w:val="20"/>
          <w:szCs w:val="20"/>
          <w:color w:val="auto"/>
        </w:rPr>
      </w:pPr>
      <w:r>
        <w:rPr>
          <w:rFonts w:ascii="Arial" w:cs="Arial" w:eastAsia="Arial" w:hAnsi="Arial"/>
          <w:sz w:val="18"/>
          <w:szCs w:val="18"/>
          <w:color w:val="auto"/>
        </w:rPr>
        <w:t>On May 17, 2023, Mobileye and MAN Truck &amp; Bus SE announced a collaboration to explore autonomy in public transit, integrating state-of-the-art autonomous vehicle technology into the city buses of MAN, beginning with a pilot test phase that includes a safety driver. This builds on Mobileye’s strategy of working closely with vehicle manufacturers to integrate autonomous vehicle technology seamlessly across platforms.</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Risk Factor Summary</w:t>
      </w:r>
    </w:p>
    <w:p>
      <w:pPr>
        <w:spacing w:after="0" w:line="154" w:lineRule="exact"/>
        <w:rPr>
          <w:sz w:val="20"/>
          <w:szCs w:val="20"/>
          <w:color w:val="auto"/>
        </w:rPr>
      </w:pPr>
    </w:p>
    <w:p>
      <w:pPr>
        <w:ind w:left="1240" w:right="699" w:firstLine="350"/>
        <w:spacing w:after="0" w:line="239" w:lineRule="auto"/>
        <w:rPr>
          <w:sz w:val="20"/>
          <w:szCs w:val="20"/>
          <w:color w:val="auto"/>
        </w:rPr>
      </w:pPr>
      <w:r>
        <w:rPr>
          <w:rFonts w:ascii="Arial" w:cs="Arial" w:eastAsia="Arial" w:hAnsi="Arial"/>
          <w:sz w:val="18"/>
          <w:szCs w:val="18"/>
          <w:color w:val="auto"/>
        </w:rPr>
        <w:t>Our business is subject to a number of risks and uncertainties that you should understand before making an investment decision. These risks are discussed more fully in the section entitled “Risk Factors” in this prospectus and the section entitled “Item 1.A. Risk Factors” in our 2022 Form 10-K, which is incorporated by reference in this prospectus, and include:</w:t>
      </w:r>
    </w:p>
    <w:p>
      <w:pPr>
        <w:spacing w:after="0" w:line="82" w:lineRule="exact"/>
        <w:rPr>
          <w:sz w:val="20"/>
          <w:szCs w:val="20"/>
          <w:color w:val="auto"/>
        </w:rPr>
      </w:pPr>
    </w:p>
    <w:p>
      <w:pPr>
        <w:jc w:val="both"/>
        <w:ind w:left="1760" w:right="819" w:hanging="168"/>
        <w:spacing w:after="0" w:line="252" w:lineRule="auto"/>
        <w:tabs>
          <w:tab w:leader="none" w:pos="1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we are unable to develop and introduce new solutions and improve existing solutions in a cost-effective and timely manner, our business, results of operations, and financial condition would be adversely affected.</w:t>
      </w:r>
    </w:p>
    <w:p>
      <w:pPr>
        <w:spacing w:after="0" w:line="84" w:lineRule="exact"/>
        <w:rPr>
          <w:rFonts w:ascii="Arial" w:cs="Arial" w:eastAsia="Arial" w:hAnsi="Arial"/>
          <w:sz w:val="18"/>
          <w:szCs w:val="18"/>
          <w:color w:val="auto"/>
        </w:rPr>
      </w:pPr>
    </w:p>
    <w:p>
      <w:pPr>
        <w:ind w:left="1760" w:right="559" w:hanging="168"/>
        <w:spacing w:after="0" w:line="252" w:lineRule="auto"/>
        <w:tabs>
          <w:tab w:leader="none" w:pos="1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84" w:lineRule="exact"/>
        <w:rPr>
          <w:rFonts w:ascii="Arial" w:cs="Arial" w:eastAsia="Arial" w:hAnsi="Arial"/>
          <w:sz w:val="18"/>
          <w:szCs w:val="18"/>
          <w:color w:val="auto"/>
        </w:rPr>
      </w:pPr>
    </w:p>
    <w:p>
      <w:pPr>
        <w:ind w:left="1760" w:hanging="168"/>
        <w:spacing w:after="0"/>
        <w:tabs>
          <w:tab w:leader="none" w:pos="1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operate in a highly competitive market.</w:t>
      </w:r>
    </w:p>
    <w:p>
      <w:pPr>
        <w:spacing w:after="0" w:line="72" w:lineRule="exact"/>
        <w:rPr>
          <w:rFonts w:ascii="Arial" w:cs="Arial" w:eastAsia="Arial" w:hAnsi="Arial"/>
          <w:sz w:val="18"/>
          <w:szCs w:val="18"/>
          <w:color w:val="auto"/>
        </w:rPr>
      </w:pPr>
    </w:p>
    <w:p>
      <w:pPr>
        <w:ind w:left="1760" w:right="539" w:hanging="168"/>
        <w:spacing w:after="0" w:line="217" w:lineRule="auto"/>
        <w:tabs>
          <w:tab w:leader="none" w:pos="1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experienced and may continue to experience constraints in the supply of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or ECUs for our SuperVision</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systems as the result of the global semiconductor shortage, and future shortages in the supply of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ECUs for our SuperVision</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systems or other critical parts would adversely affect our business, results of operations, and financial condition.</w:t>
      </w:r>
    </w:p>
    <w:p>
      <w:pPr>
        <w:spacing w:after="0" w:line="93" w:lineRule="exact"/>
        <w:rPr>
          <w:rFonts w:ascii="Arial" w:cs="Arial" w:eastAsia="Arial" w:hAnsi="Arial"/>
          <w:sz w:val="16"/>
          <w:szCs w:val="16"/>
          <w:color w:val="auto"/>
        </w:rPr>
      </w:pPr>
    </w:p>
    <w:p>
      <w:pPr>
        <w:jc w:val="both"/>
        <w:ind w:left="1760" w:right="699" w:hanging="168"/>
        <w:spacing w:after="0" w:line="252" w:lineRule="auto"/>
        <w:tabs>
          <w:tab w:leader="none" w:pos="1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84" w:lineRule="exact"/>
        <w:rPr>
          <w:rFonts w:ascii="Arial" w:cs="Arial" w:eastAsia="Arial" w:hAnsi="Arial"/>
          <w:sz w:val="18"/>
          <w:szCs w:val="18"/>
          <w:color w:val="auto"/>
        </w:rPr>
      </w:pPr>
    </w:p>
    <w:p>
      <w:pPr>
        <w:ind w:left="1760" w:right="1259" w:hanging="168"/>
        <w:spacing w:after="0" w:line="324" w:lineRule="auto"/>
        <w:tabs>
          <w:tab w:leader="none" w:pos="1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Increases in costs of the materials and other components that we use in our solutions would adversely affect our business, results of operations, and financial condition.</w:t>
      </w:r>
    </w:p>
    <w:p>
      <w:pPr>
        <w:spacing w:after="0" w:line="28" w:lineRule="exact"/>
        <w:rPr>
          <w:rFonts w:ascii="Arial" w:cs="Arial" w:eastAsia="Arial" w:hAnsi="Arial"/>
          <w:sz w:val="16"/>
          <w:szCs w:val="16"/>
          <w:color w:val="auto"/>
        </w:rPr>
      </w:pPr>
    </w:p>
    <w:p>
      <w:pPr>
        <w:jc w:val="both"/>
        <w:ind w:left="1760" w:right="539" w:hanging="168"/>
        <w:spacing w:after="0" w:line="249" w:lineRule="auto"/>
        <w:tabs>
          <w:tab w:leader="none" w:pos="1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87" w:lineRule="exact"/>
        <w:rPr>
          <w:rFonts w:ascii="Arial" w:cs="Arial" w:eastAsia="Arial" w:hAnsi="Arial"/>
          <w:sz w:val="18"/>
          <w:szCs w:val="18"/>
          <w:color w:val="auto"/>
        </w:rPr>
      </w:pPr>
    </w:p>
    <w:p>
      <w:pPr>
        <w:jc w:val="both"/>
        <w:ind w:left="1760" w:right="619" w:hanging="168"/>
        <w:spacing w:after="0" w:line="290" w:lineRule="auto"/>
        <w:tabs>
          <w:tab w:leader="none" w:pos="1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34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327660</wp:posOffset>
            </wp:positionV>
            <wp:extent cx="5362575" cy="7749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62575" cy="7749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60" w:right="559" w:hanging="168"/>
        <w:spacing w:after="0" w:line="299" w:lineRule="auto"/>
        <w:tabs>
          <w:tab w:leader="none" w:pos="1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48" w:lineRule="exact"/>
        <w:rPr>
          <w:rFonts w:ascii="Arial" w:cs="Arial" w:eastAsia="Arial" w:hAnsi="Arial"/>
          <w:sz w:val="16"/>
          <w:szCs w:val="16"/>
          <w:color w:val="auto"/>
        </w:rPr>
      </w:pPr>
    </w:p>
    <w:p>
      <w:pPr>
        <w:ind w:left="1760" w:right="879" w:hanging="168"/>
        <w:spacing w:after="0" w:line="248" w:lineRule="auto"/>
        <w:tabs>
          <w:tab w:leader="none" w:pos="1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87" w:lineRule="exact"/>
        <w:rPr>
          <w:rFonts w:ascii="Arial" w:cs="Arial" w:eastAsia="Arial" w:hAnsi="Arial"/>
          <w:sz w:val="18"/>
          <w:szCs w:val="18"/>
          <w:color w:val="auto"/>
        </w:rPr>
      </w:pPr>
    </w:p>
    <w:p>
      <w:pPr>
        <w:ind w:left="1760" w:right="999" w:hanging="168"/>
        <w:spacing w:after="0" w:line="261" w:lineRule="auto"/>
        <w:tabs>
          <w:tab w:leader="none" w:pos="1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highly dependent on the services of Professor Amnon Shashua, our President and Chief Executive Officer.</w:t>
      </w:r>
    </w:p>
    <w:p>
      <w:pPr>
        <w:spacing w:after="0" w:line="75" w:lineRule="exact"/>
        <w:rPr>
          <w:rFonts w:ascii="Arial" w:cs="Arial" w:eastAsia="Arial" w:hAnsi="Arial"/>
          <w:sz w:val="18"/>
          <w:szCs w:val="18"/>
          <w:color w:val="auto"/>
        </w:rPr>
      </w:pPr>
    </w:p>
    <w:p>
      <w:pPr>
        <w:ind w:left="1760" w:right="1239" w:hanging="168"/>
        <w:spacing w:after="0" w:line="261" w:lineRule="auto"/>
        <w:tabs>
          <w:tab w:leader="none" w:pos="1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unable to attract, retain, and motivate key employees, then our business, results of operations, and financial condition would be adversely affected.</w:t>
      </w:r>
    </w:p>
    <w:p>
      <w:pPr>
        <w:spacing w:after="0" w:line="75" w:lineRule="exact"/>
        <w:rPr>
          <w:rFonts w:ascii="Arial" w:cs="Arial" w:eastAsia="Arial" w:hAnsi="Arial"/>
          <w:sz w:val="18"/>
          <w:szCs w:val="18"/>
          <w:color w:val="auto"/>
        </w:rPr>
      </w:pPr>
    </w:p>
    <w:p>
      <w:pPr>
        <w:ind w:left="1760" w:right="939" w:hanging="168"/>
        <w:spacing w:after="0" w:line="324" w:lineRule="auto"/>
        <w:tabs>
          <w:tab w:leader="none" w:pos="1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face integration risks and costs associated with companies, assets, employees, products, and technologies that we have or that we may acquire, including with our acquisition of Moovit.</w:t>
      </w:r>
    </w:p>
    <w:p>
      <w:pPr>
        <w:spacing w:after="0" w:line="28" w:lineRule="exact"/>
        <w:rPr>
          <w:rFonts w:ascii="Arial" w:cs="Arial" w:eastAsia="Arial" w:hAnsi="Arial"/>
          <w:sz w:val="16"/>
          <w:szCs w:val="16"/>
          <w:color w:val="auto"/>
        </w:rPr>
      </w:pPr>
    </w:p>
    <w:p>
      <w:pPr>
        <w:ind w:left="1760" w:right="599" w:hanging="168"/>
        <w:spacing w:after="0" w:line="261" w:lineRule="auto"/>
        <w:tabs>
          <w:tab w:leader="none" w:pos="1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Interruptions to our information technology systems and networks and cybersecurity incidents could adversely affect our business, results of operations, and financial condition.</w:t>
      </w:r>
    </w:p>
    <w:p>
      <w:pPr>
        <w:spacing w:after="0" w:line="75" w:lineRule="exact"/>
        <w:rPr>
          <w:rFonts w:ascii="Arial" w:cs="Arial" w:eastAsia="Arial" w:hAnsi="Arial"/>
          <w:sz w:val="18"/>
          <w:szCs w:val="18"/>
          <w:color w:val="auto"/>
        </w:rPr>
      </w:pPr>
    </w:p>
    <w:p>
      <w:pPr>
        <w:ind w:left="1760" w:right="699" w:hanging="168"/>
        <w:spacing w:after="0" w:line="261" w:lineRule="auto"/>
        <w:tabs>
          <w:tab w:leader="none" w:pos="1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Security breaches and other disruptions of our in-vehicle systems and related data could impact the safety of our end users and reduce confidence in us and our solutions.</w:t>
      </w:r>
    </w:p>
    <w:p>
      <w:pPr>
        <w:spacing w:after="0" w:line="75" w:lineRule="exact"/>
        <w:rPr>
          <w:rFonts w:ascii="Arial" w:cs="Arial" w:eastAsia="Arial" w:hAnsi="Arial"/>
          <w:sz w:val="18"/>
          <w:szCs w:val="18"/>
          <w:color w:val="auto"/>
        </w:rPr>
      </w:pPr>
    </w:p>
    <w:p>
      <w:pPr>
        <w:ind w:left="1760" w:right="559" w:hanging="168"/>
        <w:spacing w:after="0" w:line="261" w:lineRule="auto"/>
        <w:tabs>
          <w:tab w:leader="none" w:pos="1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current uncertain economic environment and inflationary conditions may adversely affect global vehicle production and demand for our solutions.</w:t>
      </w:r>
    </w:p>
    <w:p>
      <w:pPr>
        <w:spacing w:after="0" w:line="75" w:lineRule="exact"/>
        <w:rPr>
          <w:rFonts w:ascii="Arial" w:cs="Arial" w:eastAsia="Arial" w:hAnsi="Arial"/>
          <w:sz w:val="18"/>
          <w:szCs w:val="18"/>
          <w:color w:val="auto"/>
        </w:rPr>
      </w:pPr>
    </w:p>
    <w:p>
      <w:pPr>
        <w:ind w:left="1760" w:right="519" w:hanging="168"/>
        <w:spacing w:after="0" w:line="324" w:lineRule="auto"/>
        <w:tabs>
          <w:tab w:leader="none" w:pos="1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OEMs are unable to maintain and increase consumer acceptance of ADAS and autonomous driving technology, our business, results of operations, and financial condition would be adversely affected.</w:t>
      </w:r>
    </w:p>
    <w:p>
      <w:pPr>
        <w:spacing w:after="0" w:line="28" w:lineRule="exact"/>
        <w:rPr>
          <w:rFonts w:ascii="Arial" w:cs="Arial" w:eastAsia="Arial" w:hAnsi="Arial"/>
          <w:sz w:val="16"/>
          <w:szCs w:val="16"/>
          <w:color w:val="auto"/>
        </w:rPr>
      </w:pPr>
    </w:p>
    <w:p>
      <w:pPr>
        <w:ind w:left="1760" w:right="619" w:hanging="168"/>
        <w:spacing w:after="0" w:line="252" w:lineRule="auto"/>
        <w:tabs>
          <w:tab w:leader="none" w:pos="1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results of operations, and financial condition may be adversely affected by changes in automotive safety regulations or concerns that could increase our costs or delay or halt adoption of our solutions.</w:t>
      </w:r>
    </w:p>
    <w:p>
      <w:pPr>
        <w:spacing w:after="0" w:line="84" w:lineRule="exact"/>
        <w:rPr>
          <w:rFonts w:ascii="Arial" w:cs="Arial" w:eastAsia="Arial" w:hAnsi="Arial"/>
          <w:sz w:val="18"/>
          <w:szCs w:val="18"/>
          <w:color w:val="auto"/>
        </w:rPr>
      </w:pPr>
    </w:p>
    <w:p>
      <w:pPr>
        <w:ind w:left="1760" w:right="519" w:hanging="168"/>
        <w:spacing w:after="0" w:line="248" w:lineRule="auto"/>
        <w:tabs>
          <w:tab w:leader="none" w:pos="1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Intel, and Intel will beneficially own all shares of our Class B common stock, representing a majority of the shares of our common stock and approximately 98.7% of the voting power of our outstanding common stock following this offering. This will limit or preclude your ability to influence corporate matters.</w:t>
      </w:r>
    </w:p>
    <w:p>
      <w:pPr>
        <w:spacing w:after="0" w:line="87" w:lineRule="exact"/>
        <w:rPr>
          <w:rFonts w:ascii="Arial" w:cs="Arial" w:eastAsia="Arial" w:hAnsi="Arial"/>
          <w:sz w:val="18"/>
          <w:szCs w:val="18"/>
          <w:color w:val="auto"/>
        </w:rPr>
      </w:pPr>
    </w:p>
    <w:p>
      <w:pPr>
        <w:ind w:left="1760" w:right="799" w:hanging="168"/>
        <w:spacing w:after="0" w:line="279" w:lineRule="auto"/>
        <w:tabs>
          <w:tab w:leader="none" w:pos="1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may have conflicts of interest with Intel, and because of (i) certain provisions in our amended and restated certificate of incorporation relating to related person transactions and corporate opportunities, (ii) agreements we have with Intel in connection with the Mobileye IPO, and</w:t>
      </w:r>
    </w:p>
    <w:p>
      <w:pPr>
        <w:spacing w:after="0" w:line="1" w:lineRule="exact"/>
        <w:rPr>
          <w:rFonts w:ascii="Arial" w:cs="Arial" w:eastAsia="Arial" w:hAnsi="Arial"/>
          <w:sz w:val="16"/>
          <w:szCs w:val="16"/>
          <w:color w:val="auto"/>
        </w:rPr>
      </w:pPr>
    </w:p>
    <w:p>
      <w:pPr>
        <w:ind w:left="1760" w:right="679" w:firstLine="7"/>
        <w:spacing w:after="0" w:line="247" w:lineRule="auto"/>
        <w:tabs>
          <w:tab w:leader="none" w:pos="2088" w:val="left"/>
        </w:tabs>
        <w:numPr>
          <w:ilvl w:val="1"/>
          <w:numId w:val="2"/>
        </w:numPr>
        <w:rPr>
          <w:rFonts w:ascii="Arial" w:cs="Arial" w:eastAsia="Arial" w:hAnsi="Arial"/>
          <w:sz w:val="18"/>
          <w:szCs w:val="18"/>
          <w:color w:val="auto"/>
        </w:rPr>
      </w:pPr>
      <w:r>
        <w:rPr>
          <w:rFonts w:ascii="Arial" w:cs="Arial" w:eastAsia="Arial" w:hAnsi="Arial"/>
          <w:sz w:val="18"/>
          <w:szCs w:val="18"/>
          <w:color w:val="auto"/>
        </w:rPr>
        <w:t>Intel’s controlling beneficial ownership interest in our company, we may not be able to resolve such conflicts on terms favorable to us.</w:t>
      </w:r>
    </w:p>
    <w:p>
      <w:pPr>
        <w:spacing w:after="0" w:line="87" w:lineRule="exact"/>
        <w:rPr>
          <w:rFonts w:ascii="Arial" w:cs="Arial" w:eastAsia="Arial" w:hAnsi="Arial"/>
          <w:sz w:val="18"/>
          <w:szCs w:val="18"/>
          <w:color w:val="auto"/>
        </w:rPr>
      </w:pPr>
    </w:p>
    <w:p>
      <w:pPr>
        <w:ind w:left="1760" w:right="839" w:hanging="168"/>
        <w:spacing w:after="0" w:line="249" w:lineRule="auto"/>
        <w:tabs>
          <w:tab w:leader="none" w:pos="1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of a substantial number of shares of our Class A common stock in the public market, or the perception in the market that the holders of a large number of shares intend to sell shares, could cause the market price of our Class A common stock to drop significantly, even if our business is doing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664400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7" w:name="page8"/>
    <w:bookmarkEnd w:id="7"/>
    <w:p>
      <w:pPr>
        <w:spacing w:after="0"/>
        <w:rPr>
          <w:sz w:val="20"/>
          <w:szCs w:val="20"/>
          <w:color w:val="auto"/>
        </w:rPr>
      </w:pPr>
      <w:r>
        <w:rPr>
          <w:rFonts w:ascii="Arial" w:cs="Arial" w:eastAsia="Arial" w:hAnsi="Arial"/>
          <w:sz w:val="11"/>
          <w:szCs w:val="11"/>
          <w:color w:val="003366"/>
        </w:rPr>
        <w:t>TABLE OF CONTENTS</w:t>
      </w:r>
      <w:r>
        <w:rPr>
          <w:rFonts w:ascii="Arial" w:cs="Arial" w:eastAsia="Arial" w:hAnsi="Arial"/>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349885</wp:posOffset>
            </wp:positionV>
            <wp:extent cx="5362575" cy="7858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62575" cy="7858125"/>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Issuer</w:t>
      </w:r>
    </w:p>
    <w:p>
      <w:pPr>
        <w:spacing w:after="0" w:line="108" w:lineRule="exact"/>
        <w:rPr>
          <w:sz w:val="20"/>
          <w:szCs w:val="20"/>
          <w:color w:val="auto"/>
        </w:rPr>
      </w:pPr>
    </w:p>
    <w:p>
      <w:pPr>
        <w:ind w:left="1420" w:right="360" w:hanging="174"/>
        <w:spacing w:after="0" w:line="261" w:lineRule="auto"/>
        <w:rPr>
          <w:sz w:val="20"/>
          <w:szCs w:val="20"/>
          <w:color w:val="auto"/>
        </w:rPr>
      </w:pPr>
      <w:r>
        <w:rPr>
          <w:rFonts w:ascii="Arial" w:cs="Arial" w:eastAsia="Arial" w:hAnsi="Arial"/>
          <w:sz w:val="18"/>
          <w:szCs w:val="18"/>
          <w:color w:val="auto"/>
        </w:rPr>
        <w:t>Class A common stock offered by the selling stockholder</w:t>
      </w:r>
    </w:p>
    <w:p>
      <w:pPr>
        <w:spacing w:after="0" w:line="76" w:lineRule="exact"/>
        <w:rPr>
          <w:sz w:val="20"/>
          <w:szCs w:val="20"/>
          <w:color w:val="auto"/>
        </w:rPr>
      </w:pPr>
    </w:p>
    <w:p>
      <w:pPr>
        <w:ind w:left="1420" w:right="240" w:hanging="174"/>
        <w:spacing w:after="0" w:line="261" w:lineRule="auto"/>
        <w:rPr>
          <w:sz w:val="20"/>
          <w:szCs w:val="20"/>
          <w:color w:val="auto"/>
        </w:rPr>
      </w:pPr>
      <w:r>
        <w:rPr>
          <w:rFonts w:ascii="Arial" w:cs="Arial" w:eastAsia="Arial" w:hAnsi="Arial"/>
          <w:sz w:val="18"/>
          <w:szCs w:val="18"/>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20" w:right="120" w:hanging="174"/>
        <w:spacing w:after="0" w:line="261" w:lineRule="auto"/>
        <w:rPr>
          <w:sz w:val="20"/>
          <w:szCs w:val="20"/>
          <w:color w:val="auto"/>
        </w:rPr>
      </w:pPr>
      <w:r>
        <w:rPr>
          <w:rFonts w:ascii="Arial" w:cs="Arial" w:eastAsia="Arial" w:hAnsi="Arial"/>
          <w:sz w:val="18"/>
          <w:szCs w:val="18"/>
          <w:color w:val="auto"/>
        </w:rPr>
        <w:t>Class A common stock to be outstanding after this offering</w:t>
      </w:r>
    </w:p>
    <w:p>
      <w:pPr>
        <w:spacing w:after="0" w:line="200" w:lineRule="exact"/>
        <w:rPr>
          <w:sz w:val="20"/>
          <w:szCs w:val="20"/>
          <w:color w:val="auto"/>
        </w:rPr>
      </w:pPr>
    </w:p>
    <w:p>
      <w:pPr>
        <w:spacing w:after="0" w:line="296" w:lineRule="exact"/>
        <w:rPr>
          <w:sz w:val="20"/>
          <w:szCs w:val="20"/>
          <w:color w:val="auto"/>
        </w:rPr>
      </w:pPr>
    </w:p>
    <w:p>
      <w:pPr>
        <w:ind w:left="1420" w:right="120" w:hanging="174"/>
        <w:spacing w:after="0" w:line="261" w:lineRule="auto"/>
        <w:rPr>
          <w:sz w:val="20"/>
          <w:szCs w:val="20"/>
          <w:color w:val="auto"/>
        </w:rPr>
      </w:pPr>
      <w:r>
        <w:rPr>
          <w:rFonts w:ascii="Arial" w:cs="Arial" w:eastAsia="Arial" w:hAnsi="Arial"/>
          <w:sz w:val="18"/>
          <w:szCs w:val="18"/>
          <w:color w:val="auto"/>
        </w:rPr>
        <w:t>Class B common stock to be outstanding after this offering</w:t>
      </w:r>
    </w:p>
    <w:p>
      <w:pPr>
        <w:spacing w:after="0" w:line="200" w:lineRule="exact"/>
        <w:rPr>
          <w:sz w:val="20"/>
          <w:szCs w:val="20"/>
          <w:color w:val="auto"/>
        </w:rPr>
      </w:pPr>
    </w:p>
    <w:p>
      <w:pPr>
        <w:spacing w:after="0" w:line="296" w:lineRule="exact"/>
        <w:rPr>
          <w:sz w:val="20"/>
          <w:szCs w:val="20"/>
          <w:color w:val="auto"/>
        </w:rPr>
      </w:pPr>
    </w:p>
    <w:p>
      <w:pPr>
        <w:ind w:left="1420" w:right="520" w:hanging="174"/>
        <w:spacing w:after="0" w:line="324" w:lineRule="auto"/>
        <w:rPr>
          <w:sz w:val="20"/>
          <w:szCs w:val="20"/>
          <w:color w:val="auto"/>
        </w:rPr>
      </w:pPr>
      <w:r>
        <w:rPr>
          <w:rFonts w:ascii="Arial" w:cs="Arial" w:eastAsia="Arial" w:hAnsi="Arial"/>
          <w:sz w:val="16"/>
          <w:szCs w:val="16"/>
          <w:color w:val="auto"/>
        </w:rPr>
        <w:t>Total shares of common stock to be outstanding after this offering</w:t>
      </w:r>
    </w:p>
    <w:p>
      <w:pPr>
        <w:spacing w:after="0" w:line="2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420" w:hanging="174"/>
        <w:spacing w:after="0" w:line="252" w:lineRule="auto"/>
        <w:rPr>
          <w:sz w:val="20"/>
          <w:szCs w:val="20"/>
          <w:color w:val="auto"/>
        </w:rPr>
      </w:pPr>
      <w:r>
        <w:rPr>
          <w:rFonts w:ascii="Arial" w:cs="Arial" w:eastAsia="Arial" w:hAnsi="Arial"/>
          <w:sz w:val="18"/>
          <w:szCs w:val="18"/>
          <w:color w:val="auto"/>
        </w:rPr>
        <w:t>Voting power held by holders of Class A common stock after giving effect to this offering</w:t>
      </w:r>
    </w:p>
    <w:p>
      <w:pPr>
        <w:spacing w:after="0" w:line="200" w:lineRule="exact"/>
        <w:rPr>
          <w:sz w:val="20"/>
          <w:szCs w:val="20"/>
          <w:color w:val="auto"/>
        </w:rPr>
      </w:pPr>
    </w:p>
    <w:p>
      <w:pPr>
        <w:spacing w:after="0" w:line="305" w:lineRule="exact"/>
        <w:rPr>
          <w:sz w:val="20"/>
          <w:szCs w:val="20"/>
          <w:color w:val="auto"/>
        </w:rPr>
      </w:pPr>
    </w:p>
    <w:p>
      <w:pPr>
        <w:ind w:left="1420" w:hanging="174"/>
        <w:spacing w:after="0" w:line="252" w:lineRule="auto"/>
        <w:rPr>
          <w:sz w:val="20"/>
          <w:szCs w:val="20"/>
          <w:color w:val="auto"/>
        </w:rPr>
      </w:pPr>
      <w:r>
        <w:rPr>
          <w:rFonts w:ascii="Arial" w:cs="Arial" w:eastAsia="Arial" w:hAnsi="Arial"/>
          <w:sz w:val="18"/>
          <w:szCs w:val="18"/>
          <w:color w:val="auto"/>
        </w:rPr>
        <w:t>Voting power held by holders of Class B common stock after giving effect to this offering</w:t>
      </w:r>
    </w:p>
    <w:p>
      <w:pPr>
        <w:spacing w:after="0" w:line="200" w:lineRule="exact"/>
        <w:rPr>
          <w:sz w:val="20"/>
          <w:szCs w:val="20"/>
          <w:color w:val="auto"/>
        </w:rPr>
      </w:pP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Conversion of Class B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Mobileye Global Inc.</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35,000,000 shares</w:t>
      </w:r>
    </w:p>
    <w:p>
      <w:pPr>
        <w:spacing w:after="0" w:line="319" w:lineRule="exact"/>
        <w:rPr>
          <w:sz w:val="20"/>
          <w:szCs w:val="20"/>
          <w:color w:val="auto"/>
        </w:rPr>
      </w:pPr>
    </w:p>
    <w:p>
      <w:pPr>
        <w:ind w:left="240" w:right="579"/>
        <w:spacing w:after="0" w:line="248" w:lineRule="auto"/>
        <w:rPr>
          <w:sz w:val="20"/>
          <w:szCs w:val="20"/>
          <w:color w:val="auto"/>
        </w:rPr>
      </w:pPr>
      <w:r>
        <w:rPr>
          <w:rFonts w:ascii="Arial" w:cs="Arial" w:eastAsia="Arial" w:hAnsi="Arial"/>
          <w:sz w:val="18"/>
          <w:szCs w:val="18"/>
          <w:color w:val="auto"/>
        </w:rPr>
        <w:t>The selling stockholder has granted the underwriters an option to purchase up to 5,250,000 additional shares of Class A common stock. The underwriters may exercise this option at any time within 30 days from the date of this prospectus. See “Underwriting.”</w:t>
      </w:r>
    </w:p>
    <w:p>
      <w:pPr>
        <w:spacing w:after="0" w:line="298" w:lineRule="exact"/>
        <w:rPr>
          <w:sz w:val="20"/>
          <w:szCs w:val="20"/>
          <w:color w:val="auto"/>
        </w:rPr>
      </w:pPr>
    </w:p>
    <w:p>
      <w:pPr>
        <w:ind w:left="240" w:right="559"/>
        <w:spacing w:after="0" w:line="252" w:lineRule="auto"/>
        <w:rPr>
          <w:sz w:val="20"/>
          <w:szCs w:val="20"/>
          <w:color w:val="auto"/>
        </w:rPr>
      </w:pPr>
      <w:r>
        <w:rPr>
          <w:rFonts w:ascii="Arial" w:cs="Arial" w:eastAsia="Arial" w:hAnsi="Arial"/>
          <w:sz w:val="18"/>
          <w:szCs w:val="18"/>
          <w:color w:val="auto"/>
        </w:rPr>
        <w:t>90,662,090 shares (or 95,912,090 shares if the underwriters exercise their option to purchase additional shares of Class A common stock in full).</w:t>
      </w:r>
    </w:p>
    <w:p>
      <w:pPr>
        <w:spacing w:after="0" w:line="294" w:lineRule="exact"/>
        <w:rPr>
          <w:sz w:val="20"/>
          <w:szCs w:val="20"/>
          <w:color w:val="auto"/>
        </w:rPr>
      </w:pPr>
    </w:p>
    <w:p>
      <w:pPr>
        <w:ind w:left="240" w:right="779"/>
        <w:spacing w:after="0" w:line="252" w:lineRule="auto"/>
        <w:rPr>
          <w:sz w:val="20"/>
          <w:szCs w:val="20"/>
          <w:color w:val="auto"/>
        </w:rPr>
      </w:pPr>
      <w:r>
        <w:rPr>
          <w:rFonts w:ascii="Arial" w:cs="Arial" w:eastAsia="Arial" w:hAnsi="Arial"/>
          <w:sz w:val="18"/>
          <w:szCs w:val="18"/>
          <w:color w:val="auto"/>
        </w:rPr>
        <w:t>715,000,000 shares (or 709,750,000 shares if the underwriters exercise their option to purchase additional shares of Class A common stock in full).</w:t>
      </w:r>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805,662,090 shares</w:t>
      </w:r>
    </w:p>
    <w:p>
      <w:pPr>
        <w:spacing w:after="0" w:line="108" w:lineRule="exact"/>
        <w:rPr>
          <w:sz w:val="20"/>
          <w:szCs w:val="20"/>
          <w:color w:val="auto"/>
        </w:rPr>
      </w:pPr>
    </w:p>
    <w:p>
      <w:pPr>
        <w:ind w:left="240" w:right="579"/>
        <w:spacing w:after="0" w:line="290" w:lineRule="auto"/>
        <w:rPr>
          <w:sz w:val="20"/>
          <w:szCs w:val="20"/>
          <w:color w:val="auto"/>
        </w:rPr>
      </w:pPr>
      <w:r>
        <w:rPr>
          <w:rFonts w:ascii="Arial" w:cs="Arial" w:eastAsia="Arial" w:hAnsi="Arial"/>
          <w:sz w:val="16"/>
          <w:szCs w:val="16"/>
          <w:color w:val="auto"/>
        </w:rPr>
        <w:t>We will not receive any proceeds from the sale of the shares of our Class A common stock in this offering (including any sales pursuant to the underwriters’ option to purchase additional shares from the selling stockholder).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“Use of Proceeds.”</w:t>
      </w:r>
    </w:p>
    <w:p>
      <w:pPr>
        <w:spacing w:after="0" w:line="200" w:lineRule="exact"/>
        <w:rPr>
          <w:sz w:val="20"/>
          <w:szCs w:val="20"/>
          <w:color w:val="auto"/>
        </w:rPr>
      </w:pPr>
    </w:p>
    <w:p>
      <w:pPr>
        <w:spacing w:after="0" w:line="329" w:lineRule="exact"/>
        <w:rPr>
          <w:sz w:val="20"/>
          <w:szCs w:val="20"/>
          <w:color w:val="auto"/>
        </w:rPr>
      </w:pPr>
    </w:p>
    <w:p>
      <w:pPr>
        <w:jc w:val="both"/>
        <w:ind w:left="240" w:right="839"/>
        <w:spacing w:after="0" w:line="252" w:lineRule="auto"/>
        <w:rPr>
          <w:sz w:val="20"/>
          <w:szCs w:val="20"/>
          <w:color w:val="auto"/>
        </w:rPr>
      </w:pPr>
      <w:r>
        <w:rPr>
          <w:rFonts w:ascii="Arial" w:cs="Arial" w:eastAsia="Arial" w:hAnsi="Arial"/>
          <w:sz w:val="18"/>
          <w:szCs w:val="18"/>
          <w:color w:val="auto"/>
        </w:rPr>
        <w:t>1.3% (or 1.3% if the underwriters exercise their right to purchase additional shares of Class A common stock in full).</w:t>
      </w:r>
    </w:p>
    <w:p>
      <w:pPr>
        <w:spacing w:after="0" w:line="200" w:lineRule="exact"/>
        <w:rPr>
          <w:sz w:val="20"/>
          <w:szCs w:val="20"/>
          <w:color w:val="auto"/>
        </w:rPr>
      </w:pPr>
    </w:p>
    <w:p>
      <w:pPr>
        <w:spacing w:after="0" w:line="305" w:lineRule="exact"/>
        <w:rPr>
          <w:sz w:val="20"/>
          <w:szCs w:val="20"/>
          <w:color w:val="auto"/>
        </w:rPr>
      </w:pPr>
    </w:p>
    <w:p>
      <w:pPr>
        <w:ind w:left="240" w:right="639"/>
        <w:spacing w:after="0" w:line="252" w:lineRule="auto"/>
        <w:rPr>
          <w:sz w:val="20"/>
          <w:szCs w:val="20"/>
          <w:color w:val="auto"/>
        </w:rPr>
      </w:pPr>
      <w:r>
        <w:rPr>
          <w:rFonts w:ascii="Arial" w:cs="Arial" w:eastAsia="Arial" w:hAnsi="Arial"/>
          <w:sz w:val="18"/>
          <w:szCs w:val="18"/>
          <w:color w:val="auto"/>
        </w:rPr>
        <w:t>98.7% (or 98.7% if the underwriters exercise their right to purchase additional shares of Class A common stock in full).</w:t>
      </w:r>
    </w:p>
    <w:p>
      <w:pPr>
        <w:spacing w:after="0" w:line="84" w:lineRule="exact"/>
        <w:rPr>
          <w:sz w:val="20"/>
          <w:szCs w:val="20"/>
          <w:color w:val="auto"/>
        </w:rPr>
      </w:pPr>
    </w:p>
    <w:p>
      <w:pPr>
        <w:ind w:left="240" w:right="539"/>
        <w:spacing w:after="0" w:line="252" w:lineRule="auto"/>
        <w:rPr>
          <w:sz w:val="20"/>
          <w:szCs w:val="20"/>
          <w:color w:val="auto"/>
        </w:rPr>
      </w:pPr>
      <w:r>
        <w:rPr>
          <w:rFonts w:ascii="Arial" w:cs="Arial" w:eastAsia="Arial" w:hAnsi="Arial"/>
          <w:sz w:val="18"/>
          <w:szCs w:val="18"/>
          <w:color w:val="auto"/>
        </w:rPr>
        <w:t>Each share of our Class A common stock is entitled to one vote. Each share of our Class B common stock is entitled to ten votes.</w:t>
      </w:r>
    </w:p>
    <w:p>
      <w:pPr>
        <w:spacing w:after="0" w:line="110" w:lineRule="exact"/>
        <w:rPr>
          <w:sz w:val="20"/>
          <w:szCs w:val="20"/>
          <w:color w:val="auto"/>
        </w:rPr>
      </w:pPr>
    </w:p>
    <w:p>
      <w:pPr>
        <w:ind w:left="240" w:right="659"/>
        <w:spacing w:after="0" w:line="286" w:lineRule="auto"/>
        <w:rPr>
          <w:sz w:val="20"/>
          <w:szCs w:val="20"/>
          <w:color w:val="auto"/>
        </w:rPr>
      </w:pPr>
      <w:r>
        <w:rPr>
          <w:rFonts w:ascii="Arial" w:cs="Arial" w:eastAsia="Arial" w:hAnsi="Arial"/>
          <w:sz w:val="16"/>
          <w:szCs w:val="16"/>
          <w:color w:val="auto"/>
        </w:rPr>
        <w:t>The holders of our Class A common stock and Class B common stock generally vote together as a single class on all matters submitted to a vote of our stockholders unless otherwise required by Delaware law or our amended and restated certificate of incorporation.</w:t>
      </w:r>
    </w:p>
    <w:p>
      <w:pPr>
        <w:spacing w:after="0" w:line="60" w:lineRule="exact"/>
        <w:rPr>
          <w:sz w:val="20"/>
          <w:szCs w:val="20"/>
          <w:color w:val="auto"/>
        </w:rPr>
      </w:pPr>
    </w:p>
    <w:p>
      <w:pPr>
        <w:ind w:left="240" w:right="619"/>
        <w:spacing w:after="0" w:line="284" w:lineRule="auto"/>
        <w:rPr>
          <w:sz w:val="20"/>
          <w:szCs w:val="20"/>
          <w:color w:val="auto"/>
        </w:rPr>
      </w:pPr>
      <w:r>
        <w:rPr>
          <w:rFonts w:ascii="Arial" w:cs="Arial" w:eastAsia="Arial" w:hAnsi="Arial"/>
          <w:sz w:val="16"/>
          <w:szCs w:val="16"/>
          <w:color w:val="auto"/>
        </w:rPr>
        <w:t>The shares of Class A common stock being sold hereunder by the selling stockholder (including any shares the underwriters may purchase pursuant to their option to purchase additional shares) will be issued upon the automatic conversion of an equivalent number of shares of Class B common stock upon the transfer of such shares</w:t>
      </w:r>
    </w:p>
    <w:p>
      <w:pPr>
        <w:spacing w:after="0" w:line="200" w:lineRule="exact"/>
        <w:rPr>
          <w:sz w:val="20"/>
          <w:szCs w:val="20"/>
          <w:color w:val="auto"/>
        </w:rPr>
      </w:pPr>
    </w:p>
    <w:p>
      <w:pPr>
        <w:sectPr>
          <w:pgSz w:w="11900" w:h="16838" w:orient="portrait"/>
          <w:cols w:equalWidth="0" w:num="2">
            <w:col w:w="4360" w:space="220"/>
            <w:col w:w="5159"/>
          </w:cols>
          <w:pgMar w:left="720" w:top="90" w:right="1440" w:bottom="1440" w:gutter="0" w:footer="0" w:header="0"/>
          <w:type w:val="continuous"/>
        </w:sectPr>
      </w:pPr>
    </w:p>
    <w:p>
      <w:pPr>
        <w:spacing w:after="0" w:line="163" w:lineRule="exact"/>
        <w:rPr>
          <w:sz w:val="20"/>
          <w:szCs w:val="20"/>
          <w:color w:val="auto"/>
        </w:rPr>
      </w:pPr>
    </w:p>
    <w:p>
      <w:pPr>
        <w:ind w:left="51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268605</wp:posOffset>
            </wp:positionV>
            <wp:extent cx="664400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327660</wp:posOffset>
            </wp:positionV>
            <wp:extent cx="5362575" cy="77495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62575" cy="7749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and, accordingly, purchasers will receive shares of Class A</w:t>
      </w:r>
    </w:p>
    <w:p>
      <w:pPr>
        <w:spacing w:after="0" w:line="3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common stock.</w:t>
      </w:r>
    </w:p>
    <w:p>
      <w:pPr>
        <w:sectPr>
          <w:pgSz w:w="11900" w:h="16838" w:orient="portrait"/>
          <w:cols w:equalWidth="0" w:num="1">
            <w:col w:w="9739"/>
          </w:cols>
          <w:pgMar w:left="720" w:top="90" w:right="1440" w:bottom="1440" w:gutter="0" w:footer="0" w:header="0"/>
        </w:sectPr>
      </w:pPr>
    </w:p>
    <w:p>
      <w:pPr>
        <w:spacing w:after="0" w:line="97"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Concentration of ownership</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579"/>
        <w:spacing w:after="0" w:line="282" w:lineRule="auto"/>
        <w:rPr>
          <w:sz w:val="20"/>
          <w:szCs w:val="20"/>
          <w:color w:val="auto"/>
        </w:rPr>
      </w:pPr>
      <w:r>
        <w:rPr>
          <w:rFonts w:ascii="Arial" w:cs="Arial" w:eastAsia="Arial" w:hAnsi="Arial"/>
          <w:sz w:val="16"/>
          <w:szCs w:val="16"/>
          <w:color w:val="auto"/>
        </w:rPr>
        <w:t>Intel, which beneficially owns all of the outstanding shares of our Class B common stock prior to this offering, will beneficially own approximately 98.7% of the voting power of our common stock (or approximately 98.7% if the underwriters exercise their option to purchase additional shares of Class A common stock in full) after the completion of this offering.</w:t>
      </w:r>
    </w:p>
    <w:p>
      <w:pPr>
        <w:spacing w:after="0" w:line="103" w:lineRule="exact"/>
        <w:rPr>
          <w:sz w:val="20"/>
          <w:szCs w:val="20"/>
          <w:color w:val="auto"/>
        </w:rPr>
      </w:pPr>
    </w:p>
    <w:p>
      <w:pPr>
        <w:sectPr>
          <w:pgSz w:w="11900" w:h="16838" w:orient="portrait"/>
          <w:cols w:equalWidth="0" w:num="2">
            <w:col w:w="4100" w:space="720"/>
            <w:col w:w="4919"/>
          </w:cols>
          <w:pgMar w:left="720" w:top="90" w:right="1440" w:bottom="1440" w:gutter="0" w:footer="0" w:header="0"/>
          <w:type w:val="continuous"/>
        </w:sectPr>
      </w:pPr>
    </w:p>
    <w:p>
      <w:pPr>
        <w:ind w:left="4820"/>
        <w:spacing w:after="0"/>
        <w:rPr>
          <w:sz w:val="20"/>
          <w:szCs w:val="20"/>
          <w:color w:val="auto"/>
        </w:rPr>
      </w:pPr>
      <w:r>
        <w:rPr>
          <w:rFonts w:ascii="Arial" w:cs="Arial" w:eastAsia="Arial" w:hAnsi="Arial"/>
          <w:sz w:val="16"/>
          <w:szCs w:val="16"/>
          <w:color w:val="auto"/>
        </w:rPr>
        <w:t>We are, and will continue to be immediately following this</w:t>
      </w:r>
    </w:p>
    <w:p>
      <w:pPr>
        <w:spacing w:after="0" w:line="38"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offering, a “controlled company” within the meaning of the</w:t>
      </w:r>
    </w:p>
    <w:p>
      <w:pPr>
        <w:spacing w:after="0" w:line="26"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corporate governance standards of Nasdaq. See “Item 10.</w:t>
      </w:r>
    </w:p>
    <w:p>
      <w:pPr>
        <w:spacing w:after="0" w:line="26"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Directors, Executive Officers and Corporate Governance”</w:t>
      </w:r>
    </w:p>
    <w:p>
      <w:pPr>
        <w:spacing w:after="0" w:line="2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in our 2022 Form 10-K.</w:t>
      </w:r>
    </w:p>
    <w:p>
      <w:pPr>
        <w:sectPr>
          <w:pgSz w:w="11900" w:h="16838" w:orient="portrait"/>
          <w:cols w:equalWidth="0" w:num="1">
            <w:col w:w="9739"/>
          </w:cols>
          <w:pgMar w:left="720" w:top="90" w:right="1440" w:bottom="1440" w:gutter="0" w:footer="0" w:header="0"/>
          <w:type w:val="continuous"/>
        </w:sectPr>
      </w:pPr>
    </w:p>
    <w:p>
      <w:pPr>
        <w:spacing w:after="0" w:line="97"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Nasdaq symbol</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“MBLY”</w:t>
      </w:r>
    </w:p>
    <w:p>
      <w:pPr>
        <w:spacing w:after="0" w:line="108" w:lineRule="exact"/>
        <w:rPr>
          <w:sz w:val="20"/>
          <w:szCs w:val="20"/>
          <w:color w:val="auto"/>
        </w:rPr>
      </w:pPr>
    </w:p>
    <w:p>
      <w:pPr>
        <w:sectPr>
          <w:pgSz w:w="11900" w:h="16838" w:orient="portrait"/>
          <w:cols w:equalWidth="0" w:num="2">
            <w:col w:w="4100" w:space="720"/>
            <w:col w:w="4919"/>
          </w:cols>
          <w:pgMar w:left="720" w:top="90" w:right="1440" w:bottom="1440" w:gutter="0" w:footer="0" w:header="0"/>
          <w:type w:val="continuous"/>
        </w:sectPr>
      </w:pPr>
    </w:p>
    <w:p>
      <w:pPr>
        <w:ind w:left="12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679"/>
        <w:spacing w:after="0" w:line="290" w:lineRule="auto"/>
        <w:rPr>
          <w:sz w:val="20"/>
          <w:szCs w:val="20"/>
          <w:color w:val="auto"/>
        </w:rPr>
      </w:pPr>
      <w:r>
        <w:rPr>
          <w:rFonts w:ascii="Arial" w:cs="Arial" w:eastAsia="Arial" w:hAnsi="Arial"/>
          <w:sz w:val="16"/>
          <w:szCs w:val="16"/>
          <w:color w:val="auto"/>
        </w:rPr>
        <w:t>See “Risk Factors” and the other information included in and incorporated by reference into this prospectus for a discussion of factors you should carefully consider before deciding to invest in our Class A common stock.</w:t>
      </w:r>
    </w:p>
    <w:p>
      <w:pPr>
        <w:spacing w:after="0" w:line="83" w:lineRule="exact"/>
        <w:rPr>
          <w:sz w:val="20"/>
          <w:szCs w:val="20"/>
          <w:color w:val="auto"/>
        </w:rPr>
      </w:pPr>
    </w:p>
    <w:p>
      <w:pPr>
        <w:sectPr>
          <w:pgSz w:w="11900" w:h="16838" w:orient="portrait"/>
          <w:cols w:equalWidth="0" w:num="2">
            <w:col w:w="4100" w:space="720"/>
            <w:col w:w="4919"/>
          </w:cols>
          <w:pgMar w:left="720" w:top="90" w:right="1440" w:bottom="1440" w:gutter="0" w:footer="0" w:header="0"/>
          <w:type w:val="continuous"/>
        </w:sectPr>
      </w:pPr>
    </w:p>
    <w:p>
      <w:pPr>
        <w:ind w:left="1600"/>
        <w:spacing w:after="0"/>
        <w:rPr>
          <w:sz w:val="20"/>
          <w:szCs w:val="20"/>
          <w:color w:val="auto"/>
        </w:rPr>
      </w:pPr>
      <w:r>
        <w:rPr>
          <w:rFonts w:ascii="Arial" w:cs="Arial" w:eastAsia="Arial" w:hAnsi="Arial"/>
          <w:sz w:val="18"/>
          <w:szCs w:val="18"/>
          <w:color w:val="auto"/>
        </w:rPr>
        <w:t>The number of shares of our common stock to be outstanding immediately after this offering:</w:t>
      </w:r>
    </w:p>
    <w:p>
      <w:pPr>
        <w:spacing w:after="0" w:line="108" w:lineRule="exact"/>
        <w:rPr>
          <w:sz w:val="20"/>
          <w:szCs w:val="20"/>
          <w:color w:val="auto"/>
        </w:rPr>
      </w:pPr>
    </w:p>
    <w:p>
      <w:pPr>
        <w:ind w:left="1760" w:right="679" w:hanging="168"/>
        <w:spacing w:after="0" w:line="261" w:lineRule="auto"/>
        <w:tabs>
          <w:tab w:leader="none" w:pos="1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based on 55,662,090 shares of our Class A common stock and 750,000,000 shares of our Class B common stock outstanding as of May 15, 2023;</w:t>
      </w:r>
    </w:p>
    <w:p>
      <w:pPr>
        <w:spacing w:after="0" w:line="75" w:lineRule="exact"/>
        <w:rPr>
          <w:rFonts w:ascii="Arial" w:cs="Arial" w:eastAsia="Arial" w:hAnsi="Arial"/>
          <w:sz w:val="18"/>
          <w:szCs w:val="18"/>
          <w:color w:val="auto"/>
        </w:rPr>
      </w:pPr>
    </w:p>
    <w:p>
      <w:pPr>
        <w:ind w:left="1760" w:right="899" w:hanging="168"/>
        <w:spacing w:after="0" w:line="261" w:lineRule="auto"/>
        <w:tabs>
          <w:tab w:leader="none" w:pos="1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excludes 26,951,903 shares of our Class A common stock reserved for future issuance under our equity incentive plan as of May 15, 2023; and</w:t>
      </w:r>
    </w:p>
    <w:p>
      <w:pPr>
        <w:spacing w:after="0" w:line="75" w:lineRule="exact"/>
        <w:rPr>
          <w:rFonts w:ascii="Arial" w:cs="Arial" w:eastAsia="Arial" w:hAnsi="Arial"/>
          <w:sz w:val="18"/>
          <w:szCs w:val="18"/>
          <w:color w:val="auto"/>
        </w:rPr>
      </w:pPr>
    </w:p>
    <w:p>
      <w:pPr>
        <w:ind w:left="1760" w:right="879" w:hanging="168"/>
        <w:spacing w:after="0" w:line="324" w:lineRule="auto"/>
        <w:tabs>
          <w:tab w:leader="none" w:pos="1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9,393,507 shares of our Class A common stock issuable upon vesting and settlement of RSU awards outstanding under our equity incentive plan as of May 15, 2023.</w:t>
      </w:r>
    </w:p>
    <w:p>
      <w:pPr>
        <w:spacing w:after="0" w:line="68" w:lineRule="exact"/>
        <w:rPr>
          <w:sz w:val="20"/>
          <w:szCs w:val="20"/>
          <w:color w:val="auto"/>
        </w:rPr>
      </w:pPr>
    </w:p>
    <w:p>
      <w:pPr>
        <w:ind w:left="1240" w:right="559" w:firstLine="350"/>
        <w:spacing w:after="0" w:line="261" w:lineRule="auto"/>
        <w:rPr>
          <w:sz w:val="20"/>
          <w:szCs w:val="20"/>
          <w:color w:val="auto"/>
        </w:rPr>
      </w:pPr>
      <w:r>
        <w:rPr>
          <w:rFonts w:ascii="Arial" w:cs="Arial" w:eastAsia="Arial" w:hAnsi="Arial"/>
          <w:sz w:val="18"/>
          <w:szCs w:val="18"/>
          <w:color w:val="auto"/>
        </w:rPr>
        <w:t>Unless otherwise indicated, the information in this prospectus assumes no exercise of the underwriters’ option to purchase additional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664400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327660</wp:posOffset>
            </wp:positionV>
            <wp:extent cx="5362575" cy="7999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62575" cy="799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SUMMARY CONSOLIDATED FINANCIAL INFORMATION</w:t>
      </w:r>
    </w:p>
    <w:p>
      <w:pPr>
        <w:spacing w:after="0" w:line="154" w:lineRule="exact"/>
        <w:rPr>
          <w:sz w:val="20"/>
          <w:szCs w:val="20"/>
          <w:color w:val="auto"/>
        </w:rPr>
      </w:pPr>
    </w:p>
    <w:p>
      <w:pPr>
        <w:ind w:left="1240" w:right="859" w:firstLine="350"/>
        <w:spacing w:after="0" w:line="286" w:lineRule="auto"/>
        <w:rPr>
          <w:sz w:val="20"/>
          <w:szCs w:val="20"/>
          <w:color w:val="auto"/>
        </w:rPr>
      </w:pPr>
      <w:r>
        <w:rPr>
          <w:rFonts w:ascii="Arial" w:cs="Arial" w:eastAsia="Arial" w:hAnsi="Arial"/>
          <w:sz w:val="16"/>
          <w:szCs w:val="16"/>
          <w:color w:val="auto"/>
        </w:rPr>
        <w:t>Set forth below is summary consolidated financial information. The summary consolidated balance sheet information as of April 1, 2023, December 31, 2022 and December 25, 2021, and the summary consolidated statements of operations information for the three months ended April 1, 2023 and April 2, 2022 and the years ended December 31, 2022, December 25, 2021 and December 26, 2020 have been derived from our consolidated financial statements incorporated by reference in this prospectus.</w:t>
      </w:r>
    </w:p>
    <w:p>
      <w:pPr>
        <w:spacing w:after="0" w:line="87" w:lineRule="exact"/>
        <w:rPr>
          <w:sz w:val="20"/>
          <w:szCs w:val="20"/>
          <w:color w:val="auto"/>
        </w:rPr>
      </w:pPr>
    </w:p>
    <w:p>
      <w:pPr>
        <w:ind w:left="1240" w:right="519" w:firstLine="350"/>
        <w:spacing w:after="0" w:line="277" w:lineRule="auto"/>
        <w:rPr>
          <w:sz w:val="20"/>
          <w:szCs w:val="20"/>
          <w:color w:val="auto"/>
        </w:rPr>
      </w:pPr>
      <w:r>
        <w:rPr>
          <w:rFonts w:ascii="Arial" w:cs="Arial" w:eastAsia="Arial" w:hAnsi="Arial"/>
          <w:sz w:val="16"/>
          <w:szCs w:val="16"/>
          <w:color w:val="auto"/>
        </w:rPr>
        <w:t>The summary consolidated financial information may not be indicative of our future performance. You should read the summary financial information presented below in conjunction with the information included in the sections entitled “Management’s Discussion and Analysis of Financial Condition and Results of Operations” and our consolidated financial statements and the accompanying notes included in our 2022 Form 10-K and our Quarterly Report on Form 10-Q filed on May 11, 2023 (the “Q1 Quarterly Report”), which are incorporated by reference in this prospectus.</w:t>
      </w:r>
    </w:p>
    <w:p>
      <w:pPr>
        <w:spacing w:after="0" w:line="1" w:lineRule="exact"/>
        <w:rPr>
          <w:sz w:val="20"/>
          <w:szCs w:val="20"/>
          <w:color w:val="auto"/>
        </w:rPr>
      </w:pPr>
    </w:p>
    <w:tbl>
      <w:tblPr>
        <w:tblLayout w:type="fixed"/>
        <w:tblInd w:w="1240" w:type="dxa"/>
        <w:tblCellMar>
          <w:top w:w="0" w:type="dxa"/>
          <w:left w:w="0" w:type="dxa"/>
          <w:bottom w:w="0" w:type="dxa"/>
          <w:right w:w="0" w:type="dxa"/>
        </w:tblCellMar>
      </w:tblPr>
      <w:tr>
        <w:trPr>
          <w:trHeight w:val="368"/>
        </w:trPr>
        <w:tc>
          <w:tcPr>
            <w:tcW w:w="3340" w:type="dxa"/>
            <w:vAlign w:val="bottom"/>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8"/>
          </w:tcPr>
          <w:p>
            <w:pPr>
              <w:ind w:left="20"/>
              <w:spacing w:after="0"/>
              <w:rPr>
                <w:sz w:val="20"/>
                <w:szCs w:val="20"/>
                <w:color w:val="auto"/>
              </w:rPr>
            </w:pPr>
            <w:r>
              <w:rPr>
                <w:rFonts w:ascii="Arial" w:cs="Arial" w:eastAsia="Arial" w:hAnsi="Arial"/>
                <w:sz w:val="28"/>
                <w:szCs w:val="28"/>
                <w:b w:val="1"/>
                <w:bCs w:val="1"/>
                <w:color w:val="auto"/>
                <w:w w:val="96"/>
                <w:vertAlign w:val="subscript"/>
              </w:rPr>
              <w:t>​</w:t>
            </w:r>
            <w:r>
              <w:rPr>
                <w:rFonts w:ascii="Arial" w:cs="Arial" w:eastAsia="Arial" w:hAnsi="Arial"/>
                <w:sz w:val="14"/>
                <w:szCs w:val="14"/>
                <w:b w:val="1"/>
                <w:bCs w:val="1"/>
                <w:color w:val="auto"/>
                <w:w w:val="96"/>
              </w:rPr>
              <w:t xml:space="preserve"> Three Months Ended </w:t>
            </w:r>
            <w:r>
              <w:rPr>
                <w:rFonts w:ascii="Arial" w:cs="Arial" w:eastAsia="Arial" w:hAnsi="Arial"/>
                <w:sz w:val="28"/>
                <w:szCs w:val="28"/>
                <w:b w:val="1"/>
                <w:bCs w:val="1"/>
                <w:color w:val="auto"/>
                <w:w w:val="96"/>
                <w:vertAlign w:val="subscript"/>
              </w:rPr>
              <w:t>​ ​</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April 1,</w:t>
            </w: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6"/>
              </w:rPr>
              <w:t>April 2,</w:t>
            </w:r>
          </w:p>
        </w:tc>
        <w:tc>
          <w:tcPr>
            <w:tcW w:w="200" w:type="dxa"/>
            <w:vAlign w:val="bottom"/>
          </w:tcPr>
          <w:p>
            <w:pPr>
              <w:spacing w:after="0"/>
              <w:rPr>
                <w:sz w:val="14"/>
                <w:szCs w:val="14"/>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December 25,</w:t>
            </w: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85"/>
              </w:rPr>
              <w:t>December 26,</w:t>
            </w:r>
          </w:p>
        </w:tc>
        <w:tc>
          <w:tcPr>
            <w:tcW w:w="40" w:type="dxa"/>
            <w:vAlign w:val="bottom"/>
          </w:tcPr>
          <w:p>
            <w:pPr>
              <w:spacing w:after="0"/>
              <w:rPr>
                <w:sz w:val="14"/>
                <w:szCs w:val="14"/>
                <w:color w:val="auto"/>
              </w:rPr>
            </w:pPr>
          </w:p>
        </w:tc>
      </w:tr>
      <w:tr>
        <w:trPr>
          <w:trHeight w:val="220"/>
        </w:trPr>
        <w:tc>
          <w:tcPr>
            <w:tcW w:w="3340" w:type="dxa"/>
            <w:vAlign w:val="bottom"/>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3"/>
          </w:tcPr>
          <w:p>
            <w:pPr>
              <w:ind w:left="20"/>
              <w:spacing w:after="0" w:line="220"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2023</w:t>
            </w:r>
          </w:p>
        </w:tc>
        <w:tc>
          <w:tcPr>
            <w:tcW w:w="3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 ​</w:t>
            </w:r>
          </w:p>
        </w:tc>
        <w:tc>
          <w:tcPr>
            <w:tcW w:w="600" w:type="dxa"/>
            <w:vAlign w:val="bottom"/>
            <w:gridSpan w:val="3"/>
          </w:tcPr>
          <w:p>
            <w:pPr>
              <w:spacing w:after="0" w:line="220" w:lineRule="exact"/>
              <w:rPr>
                <w:sz w:val="20"/>
                <w:szCs w:val="20"/>
                <w:color w:val="auto"/>
              </w:rPr>
            </w:pPr>
            <w:r>
              <w:rPr>
                <w:rFonts w:ascii="Arial" w:cs="Arial" w:eastAsia="Arial" w:hAnsi="Arial"/>
                <w:sz w:val="13"/>
                <w:szCs w:val="13"/>
                <w:b w:val="1"/>
                <w:bCs w:val="1"/>
                <w:color w:val="auto"/>
              </w:rPr>
              <w:t xml:space="preserve">2022   </w:t>
            </w:r>
            <w:r>
              <w:rPr>
                <w:rFonts w:ascii="Arial" w:cs="Arial" w:eastAsia="Arial" w:hAnsi="Arial"/>
                <w:sz w:val="25"/>
                <w:szCs w:val="25"/>
                <w:b w:val="1"/>
                <w:bCs w:val="1"/>
                <w:color w:val="auto"/>
                <w:vertAlign w:val="subscript"/>
              </w:rPr>
              <w:t>​ ​</w:t>
            </w:r>
          </w:p>
        </w:tc>
        <w:tc>
          <w:tcPr>
            <w:tcW w:w="8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2021</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3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ind w:left="20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7"/>
          </w:tcPr>
          <w:p>
            <w:pPr>
              <w:jc w:val="right"/>
              <w:ind w:right="32"/>
              <w:spacing w:after="0"/>
              <w:rPr>
                <w:sz w:val="20"/>
                <w:szCs w:val="20"/>
                <w:color w:val="auto"/>
              </w:rPr>
            </w:pPr>
            <w:r>
              <w:rPr>
                <w:rFonts w:ascii="Arial" w:cs="Arial" w:eastAsia="Arial" w:hAnsi="Arial"/>
                <w:sz w:val="14"/>
                <w:szCs w:val="14"/>
                <w:b w:val="1"/>
                <w:bCs w:val="1"/>
                <w:color w:val="auto"/>
                <w:w w:val="94"/>
              </w:rPr>
              <w:t>(in millions, except per share data)</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6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 ​​ ​</w:t>
            </w:r>
          </w:p>
        </w:tc>
        <w:tc>
          <w:tcPr>
            <w:tcW w:w="8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​$1,869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​$1,386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​$ 967</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63"/>
        </w:trPr>
        <w:tc>
          <w:tcPr>
            <w:tcW w:w="334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3"/>
          </w:tcPr>
          <w:p>
            <w:pPr>
              <w:ind w:left="20"/>
              <w:spacing w:after="0"/>
              <w:rPr>
                <w:sz w:val="20"/>
                <w:szCs w:val="20"/>
                <w:color w:val="auto"/>
              </w:rPr>
            </w:pPr>
            <w:r>
              <w:rPr>
                <w:rFonts w:ascii="Arial" w:cs="Arial" w:eastAsia="Arial" w:hAnsi="Arial"/>
                <w:sz w:val="18"/>
                <w:szCs w:val="18"/>
                <w:color w:val="auto"/>
              </w:rPr>
              <w:t>​ ​ ​ 207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 176 ​​ ​</w:t>
            </w:r>
          </w:p>
        </w:tc>
        <w:tc>
          <w:tcPr>
            <w:tcW w:w="340" w:type="dxa"/>
            <w:vAlign w:val="bottom"/>
          </w:tcPr>
          <w:p>
            <w:pPr>
              <w:ind w:left="160"/>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w w:val="93"/>
              </w:rPr>
              <w:t>922</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ind w:left="160"/>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w w:val="93"/>
              </w:rPr>
              <w:t>655</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ind w:left="160"/>
              <w:spacing w:after="0"/>
              <w:rPr>
                <w:sz w:val="20"/>
                <w:szCs w:val="20"/>
                <w:color w:val="auto"/>
              </w:rPr>
            </w:pPr>
            <w:r>
              <w:rPr>
                <w:rFonts w:ascii="Arial" w:cs="Arial" w:eastAsia="Arial" w:hAnsi="Arial"/>
                <w:sz w:val="18"/>
                <w:szCs w:val="18"/>
                <w:color w:val="auto"/>
              </w:rPr>
              <w:t>​ ​ 376</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6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 ​</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 ​ ​</w:t>
            </w:r>
          </w:p>
        </w:tc>
        <w:tc>
          <w:tcPr>
            <w:tcW w:w="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​(213)</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63"/>
        </w:trPr>
        <w:tc>
          <w:tcPr>
            <w:tcW w:w="334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 ​ ​</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(79)​​ ​ ​</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340" w:type="dxa"/>
            <w:vAlign w:val="bottom"/>
          </w:tcPr>
          <w:p>
            <w:pPr>
              <w:ind w:left="160"/>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ind w:left="160"/>
              <w:spacing w:after="0"/>
              <w:rPr>
                <w:sz w:val="20"/>
                <w:szCs w:val="20"/>
                <w:color w:val="auto"/>
              </w:rPr>
            </w:pPr>
            <w:r>
              <w:rPr>
                <w:rFonts w:ascii="Arial" w:cs="Arial" w:eastAsia="Arial" w:hAnsi="Arial"/>
                <w:sz w:val="18"/>
                <w:szCs w:val="18"/>
                <w:color w:val="auto"/>
              </w:rPr>
              <w:t>​ ​</w:t>
            </w: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ind w:left="160"/>
              <w:spacing w:after="0"/>
              <w:rPr>
                <w:sz w:val="20"/>
                <w:szCs w:val="20"/>
                <w:color w:val="auto"/>
              </w:rPr>
            </w:pPr>
            <w:r>
              <w:rPr>
                <w:rFonts w:ascii="Arial" w:cs="Arial" w:eastAsia="Arial" w:hAnsi="Arial"/>
                <w:sz w:val="18"/>
                <w:szCs w:val="18"/>
                <w:color w:val="auto"/>
              </w:rPr>
              <w:t>​ ​(196)</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8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2"/>
                <w:szCs w:val="22"/>
                <w:color w:val="auto"/>
                <w:vertAlign w:val="superscript"/>
              </w:rPr>
              <w:t>(1)</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 ​ 115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120 ​​ ​</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3"/>
              </w:rPr>
              <w:t>605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3"/>
              </w:rPr>
              <w:t>474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 289</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89"/>
        </w:trPr>
        <w:tc>
          <w:tcPr>
            <w:tcW w:w="3340" w:type="dxa"/>
            <w:vAlign w:val="bottom"/>
          </w:tcPr>
          <w:p>
            <w:pPr>
              <w:spacing w:after="0"/>
              <w:rPr>
                <w:sz w:val="20"/>
                <w:szCs w:val="20"/>
                <w:color w:val="auto"/>
              </w:rPr>
            </w:pPr>
            <w:r>
              <w:rPr>
                <w:rFonts w:ascii="Arial" w:cs="Arial" w:eastAsia="Arial" w:hAnsi="Arial"/>
                <w:sz w:val="18"/>
                <w:szCs w:val="18"/>
                <w:color w:val="auto"/>
                <w:w w:val="95"/>
              </w:rPr>
              <w:t>Earnings (loss) per share, basic and diluted</w:t>
            </w: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5"/>
          </w:tcPr>
          <w:p>
            <w:pPr>
              <w:ind w:left="20"/>
              <w:spacing w:after="0"/>
              <w:rPr>
                <w:sz w:val="20"/>
                <w:szCs w:val="20"/>
                <w:color w:val="auto"/>
              </w:rPr>
            </w:pPr>
            <w:r>
              <w:rPr>
                <w:rFonts w:ascii="Arial" w:cs="Arial" w:eastAsia="Arial" w:hAnsi="Arial"/>
                <w:sz w:val="18"/>
                <w:szCs w:val="18"/>
                <w:color w:val="auto"/>
              </w:rPr>
              <w:t>​ ​ ​(0.10)​​ ​ ​</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​(0.08)​​ ​</w:t>
            </w:r>
          </w:p>
        </w:tc>
        <w:tc>
          <w:tcPr>
            <w:tcW w:w="800" w:type="dxa"/>
            <w:vAlign w:val="bottom"/>
            <w:gridSpan w:val="2"/>
          </w:tcPr>
          <w:p>
            <w:pPr>
              <w:jc w:val="right"/>
              <w:ind w:right="12"/>
              <w:spacing w:after="0"/>
              <w:rPr>
                <w:sz w:val="20"/>
                <w:szCs w:val="20"/>
                <w:color w:val="auto"/>
              </w:rPr>
            </w:pPr>
            <w:r>
              <w:rPr>
                <w:rFonts w:ascii="Arial" w:cs="Arial" w:eastAsia="Arial" w:hAnsi="Arial"/>
                <w:sz w:val="18"/>
                <w:szCs w:val="18"/>
                <w:color w:val="auto"/>
              </w:rPr>
              <w:t>​ ​(0.11)</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12"/>
              <w:spacing w:after="0"/>
              <w:rPr>
                <w:sz w:val="20"/>
                <w:szCs w:val="20"/>
                <w:color w:val="auto"/>
              </w:rPr>
            </w:pPr>
            <w:r>
              <w:rPr>
                <w:rFonts w:ascii="Arial" w:cs="Arial" w:eastAsia="Arial" w:hAnsi="Arial"/>
                <w:sz w:val="18"/>
                <w:szCs w:val="18"/>
                <w:color w:val="auto"/>
              </w:rPr>
              <w:t>​ ​(0.10)</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ind w:left="160"/>
              <w:spacing w:after="0"/>
              <w:rPr>
                <w:sz w:val="20"/>
                <w:szCs w:val="20"/>
                <w:color w:val="auto"/>
              </w:rPr>
            </w:pPr>
            <w:r>
              <w:rPr>
                <w:rFonts w:ascii="Arial" w:cs="Arial" w:eastAsia="Arial" w:hAnsi="Arial"/>
                <w:sz w:val="18"/>
                <w:szCs w:val="18"/>
                <w:color w:val="auto"/>
              </w:rPr>
              <w:t>​ ​(0.26)</w:t>
            </w:r>
          </w:p>
        </w:tc>
        <w:tc>
          <w:tcPr>
            <w:tcW w:w="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304" w:lineRule="exact"/>
        <w:rPr>
          <w:sz w:val="20"/>
          <w:szCs w:val="20"/>
          <w:color w:val="auto"/>
        </w:rPr>
      </w:pPr>
    </w:p>
    <w:p>
      <w:pPr>
        <w:ind w:left="1600" w:right="939" w:hanging="358"/>
        <w:spacing w:after="0" w:line="261" w:lineRule="auto"/>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Net Income is a non-GAAP financial measure. See “— Non-GAAP Financial Measures” below for a reconciliation of Adjusted Net Income to net income (loss).</w:t>
      </w:r>
    </w:p>
    <w:p>
      <w:pPr>
        <w:spacing w:after="0" w:line="118" w:lineRule="exact"/>
        <w:rPr>
          <w:sz w:val="20"/>
          <w:szCs w:val="20"/>
          <w:color w:val="auto"/>
        </w:rPr>
      </w:pPr>
    </w:p>
    <w:tbl>
      <w:tblPr>
        <w:tblLayout w:type="fixed"/>
        <w:tblInd w:w="1580" w:type="dxa"/>
        <w:tblCellMar>
          <w:top w:w="0" w:type="dxa"/>
          <w:left w:w="0" w:type="dxa"/>
          <w:bottom w:w="0" w:type="dxa"/>
          <w:right w:w="0" w:type="dxa"/>
        </w:tblCellMar>
      </w:tblPr>
      <w:tr>
        <w:trPr>
          <w:trHeight w:val="220"/>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ind w:left="128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36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81"/>
        </w:trPr>
        <w:tc>
          <w:tcPr>
            <w:tcW w:w="3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April 1,</w:t>
            </w:r>
          </w:p>
        </w:tc>
        <w:tc>
          <w:tcPr>
            <w:tcW w:w="8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85"/>
              </w:rPr>
              <w:t>December 31,</w:t>
            </w: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w w:val="83"/>
              </w:rPr>
              <w:t>December 25,</w:t>
            </w:r>
          </w:p>
        </w:tc>
        <w:tc>
          <w:tcPr>
            <w:tcW w:w="40" w:type="dxa"/>
            <w:vAlign w:val="bottom"/>
          </w:tcPr>
          <w:p>
            <w:pPr>
              <w:spacing w:after="0"/>
              <w:rPr>
                <w:sz w:val="15"/>
                <w:szCs w:val="15"/>
                <w:color w:val="auto"/>
              </w:rPr>
            </w:pPr>
          </w:p>
        </w:tc>
      </w:tr>
      <w:tr>
        <w:trPr>
          <w:trHeight w:val="220"/>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ind w:left="134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3"/>
          </w:tcPr>
          <w:p>
            <w:pPr>
              <w:ind w:left="60"/>
              <w:spacing w:after="0" w:line="220"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2023   </w:t>
            </w:r>
            <w:r>
              <w:rPr>
                <w:rFonts w:ascii="Arial" w:cs="Arial" w:eastAsia="Arial" w:hAnsi="Arial"/>
                <w:sz w:val="25"/>
                <w:szCs w:val="25"/>
                <w:b w:val="1"/>
                <w:bCs w:val="1"/>
                <w:color w:val="auto"/>
                <w:vertAlign w:val="subscript"/>
              </w:rPr>
              <w:t>​ ​</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3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ind w:left="12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6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​​$ 1,161​​ ​</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​$ 1,024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616</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89"/>
        </w:trPr>
        <w:tc>
          <w:tcPr>
            <w:tcW w:w="3220" w:type="dxa"/>
            <w:vAlign w:val="bottom"/>
          </w:tcPr>
          <w:p>
            <w:pPr>
              <w:ind w:left="20"/>
              <w:spacing w:after="0"/>
              <w:rPr>
                <w:sz w:val="20"/>
                <w:szCs w:val="20"/>
                <w:color w:val="auto"/>
              </w:rPr>
            </w:pPr>
            <w:r>
              <w:rPr>
                <w:rFonts w:ascii="Arial" w:cs="Arial" w:eastAsia="Arial" w:hAnsi="Arial"/>
                <w:sz w:val="18"/>
                <w:szCs w:val="18"/>
                <w:color w:val="auto"/>
              </w:rPr>
              <w:t>Total assets</w:t>
            </w:r>
            <w:r>
              <w:rPr>
                <w:rFonts w:ascii="Arial" w:cs="Arial" w:eastAsia="Arial" w:hAnsi="Arial"/>
                <w:sz w:val="22"/>
                <w:szCs w:val="22"/>
                <w:color w:val="auto"/>
                <w:vertAlign w:val="superscript"/>
              </w:rPr>
              <w:t>(1)</w:t>
            </w:r>
          </w:p>
        </w:tc>
        <w:tc>
          <w:tcPr>
            <w:tcW w:w="1380" w:type="dxa"/>
            <w:vAlign w:val="bottom"/>
          </w:tcPr>
          <w:p>
            <w:pPr>
              <w:ind w:left="1340"/>
              <w:spacing w:after="0"/>
              <w:rPr>
                <w:sz w:val="20"/>
                <w:szCs w:val="20"/>
                <w:color w:val="auto"/>
              </w:rPr>
            </w:pPr>
            <w:r>
              <w:rPr>
                <w:rFonts w:ascii="Arial" w:cs="Arial" w:eastAsia="Arial" w:hAnsi="Arial"/>
                <w:sz w:val="18"/>
                <w:szCs w:val="18"/>
                <w:color w:val="auto"/>
              </w:rPr>
              <w:t>​</w:t>
            </w:r>
          </w:p>
        </w:tc>
        <w:tc>
          <w:tcPr>
            <w:tcW w:w="900" w:type="dxa"/>
            <w:vAlign w:val="bottom"/>
            <w:gridSpan w:val="3"/>
          </w:tcPr>
          <w:p>
            <w:pPr>
              <w:ind w:left="60"/>
              <w:spacing w:after="0"/>
              <w:rPr>
                <w:sz w:val="20"/>
                <w:szCs w:val="20"/>
                <w:color w:val="auto"/>
              </w:rPr>
            </w:pPr>
            <w:r>
              <w:rPr>
                <w:rFonts w:ascii="Arial" w:cs="Arial" w:eastAsia="Arial" w:hAnsi="Arial"/>
                <w:sz w:val="18"/>
                <w:szCs w:val="18"/>
                <w:color w:val="auto"/>
              </w:rPr>
              <w:t>​​ ​15,462​​ ​</w:t>
            </w:r>
          </w:p>
        </w:tc>
        <w:tc>
          <w:tcPr>
            <w:tcW w:w="800" w:type="dxa"/>
            <w:vAlign w:val="bottom"/>
          </w:tcPr>
          <w:p>
            <w:pPr>
              <w:jc w:val="center"/>
              <w:spacing w:after="0"/>
              <w:rPr>
                <w:sz w:val="20"/>
                <w:szCs w:val="20"/>
                <w:color w:val="auto"/>
              </w:rPr>
            </w:pPr>
            <w:r>
              <w:rPr>
                <w:rFonts w:ascii="Arial" w:cs="Arial" w:eastAsia="Arial" w:hAnsi="Arial"/>
                <w:sz w:val="18"/>
                <w:szCs w:val="18"/>
                <w:color w:val="auto"/>
                <w:w w:val="96"/>
              </w:rPr>
              <w:t>​ ​15,441</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 ​16,655</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6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3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​14,787​​ ​</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​14,794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​15,889</w:t>
            </w:r>
          </w:p>
        </w:tc>
        <w:tc>
          <w:tcPr>
            <w:tcW w:w="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329" w:lineRule="exact"/>
        <w:rPr>
          <w:sz w:val="20"/>
          <w:szCs w:val="20"/>
          <w:color w:val="auto"/>
        </w:rPr>
      </w:pPr>
    </w:p>
    <w:p>
      <w:pPr>
        <w:ind w:left="1600" w:right="779" w:hanging="358"/>
        <w:spacing w:after="0" w:line="324" w:lineRule="auto"/>
        <w:tabs>
          <w:tab w:leader="none" w:pos="1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goodwill and intangible assets, net, in the amounts of $13,289 million, $13,422 million and $13,966 million as of April 1, 2023, December 31, 2022 and December 25, 2021, respectively.</w:t>
      </w:r>
    </w:p>
    <w:p>
      <w:pPr>
        <w:spacing w:after="0" w:line="12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Non-GAAP Financial Measures</w:t>
      </w:r>
    </w:p>
    <w:p>
      <w:pPr>
        <w:spacing w:after="0" w:line="141" w:lineRule="exact"/>
        <w:rPr>
          <w:sz w:val="20"/>
          <w:szCs w:val="20"/>
          <w:color w:val="auto"/>
        </w:rPr>
      </w:pPr>
    </w:p>
    <w:p>
      <w:pPr>
        <w:ind w:left="1240" w:right="539" w:firstLine="350"/>
        <w:spacing w:after="0" w:line="267" w:lineRule="auto"/>
        <w:rPr>
          <w:sz w:val="20"/>
          <w:szCs w:val="20"/>
          <w:color w:val="auto"/>
        </w:rPr>
      </w:pPr>
      <w:r>
        <w:rPr>
          <w:rFonts w:ascii="Arial" w:cs="Arial" w:eastAsia="Arial" w:hAnsi="Arial"/>
          <w:sz w:val="16"/>
          <w:szCs w:val="16"/>
          <w:color w:val="auto"/>
        </w:rPr>
        <w:t>In addition to our financial results determined in accordance with GAAP, our management uses Adjusted Net Income, a non-GAAP measure, as a key measure in operating our business. We use Adjusted Net Income to make strategic decisions, establish business plans and forecasts, identify trends affecting our business, and evaluate performance. For example, we use Adjusted Net Income to assess our pricing and sourcing strategy, in the preparation of our annual operating budget, and as a measure of our operating performance. Adjusted Net Income is presented for supplemental informational purposes only, should not be considered a substitute for financial information presented in accordance with GAAP, and may be different from similarly titled non-GAAP measures used by other companies. A reconciliation is provided below for Adjusted Net Income to the most directly comparable financial measure presented in accordance with GAAP. Investors are encouraged to review the related GAAP financial measure and the reconciliation of Adjusted Net Income to its most directly comparable GAAP financial measure, as well as our consolidated financial statements and related notes in our 2022 Form 10-K and our Q1 Quarterly Report, which are incorporated by reference herein.</w:t>
      </w:r>
    </w:p>
    <w:p>
      <w:pPr>
        <w:sectPr>
          <w:pgSz w:w="11900" w:h="16838" w:orient="portrait"/>
          <w:cols w:equalWidth="0" w:num="1">
            <w:col w:w="9739"/>
          </w:cols>
          <w:pgMar w:left="720" w:top="90"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1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268605</wp:posOffset>
            </wp:positionV>
            <wp:extent cx="664400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327660</wp:posOffset>
            </wp:positionV>
            <wp:extent cx="5362575" cy="7749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62575" cy="7749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148" w:lineRule="exact"/>
        <w:rPr>
          <w:sz w:val="20"/>
          <w:szCs w:val="20"/>
          <w:color w:val="auto"/>
        </w:rPr>
      </w:pPr>
    </w:p>
    <w:p>
      <w:pPr>
        <w:ind w:left="1240" w:right="599" w:firstLine="350"/>
        <w:spacing w:after="0" w:line="279" w:lineRule="auto"/>
        <w:rPr>
          <w:sz w:val="20"/>
          <w:szCs w:val="20"/>
          <w:color w:val="auto"/>
        </w:rPr>
      </w:pPr>
      <w:r>
        <w:rPr>
          <w:rFonts w:ascii="Arial" w:cs="Arial" w:eastAsia="Arial" w:hAnsi="Arial"/>
          <w:sz w:val="16"/>
          <w:szCs w:val="16"/>
          <w:color w:val="auto"/>
        </w:rPr>
        <w:t>We define Adjusted Net Income as net income (loss) presented in accordance with GAAP, adjusted to exclude amortization of acquisition related intangibles, share-based compensation expense and expenses related to the Mobileye IPO,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We exclude amortization charges for our acquisition-related intangible assets for purposes of calculating Adjusted Net Income,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w:t>
      </w:r>
    </w:p>
    <w:p>
      <w:pPr>
        <w:spacing w:after="0" w:line="92" w:lineRule="exact"/>
        <w:rPr>
          <w:sz w:val="20"/>
          <w:szCs w:val="20"/>
          <w:color w:val="auto"/>
        </w:rPr>
      </w:pPr>
    </w:p>
    <w:p>
      <w:pPr>
        <w:ind w:left="1240" w:right="519" w:firstLine="350"/>
        <w:spacing w:after="0" w:line="246" w:lineRule="auto"/>
        <w:rPr>
          <w:sz w:val="20"/>
          <w:szCs w:val="20"/>
          <w:color w:val="auto"/>
        </w:rPr>
      </w:pPr>
      <w:r>
        <w:rPr>
          <w:rFonts w:ascii="Arial" w:cs="Arial" w:eastAsia="Arial" w:hAnsi="Arial"/>
          <w:sz w:val="18"/>
          <w:szCs w:val="18"/>
          <w:color w:val="auto"/>
        </w:rPr>
        <w:t>We believe that the exclusion of share-based compensation expense from Adjusted Net Income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Adjusted Net Income, equity compensation has been, and will continue to be, an important part of our future compensation strategy and a significant component of our future expenses, and may increase in future periods.</w:t>
      </w:r>
    </w:p>
    <w:p>
      <w:pPr>
        <w:spacing w:after="0" w:line="130" w:lineRule="exact"/>
        <w:rPr>
          <w:sz w:val="20"/>
          <w:szCs w:val="20"/>
          <w:color w:val="auto"/>
        </w:rPr>
      </w:pPr>
    </w:p>
    <w:p>
      <w:pPr>
        <w:ind w:left="1240" w:right="559" w:firstLine="350"/>
        <w:spacing w:after="0" w:line="249" w:lineRule="auto"/>
        <w:rPr>
          <w:sz w:val="20"/>
          <w:szCs w:val="20"/>
          <w:color w:val="auto"/>
        </w:rPr>
      </w:pPr>
      <w:r>
        <w:rPr>
          <w:rFonts w:ascii="Arial" w:cs="Arial" w:eastAsia="Arial" w:hAnsi="Arial"/>
          <w:sz w:val="18"/>
          <w:szCs w:val="18"/>
          <w:color w:val="auto"/>
        </w:rPr>
        <w:t>We believe that the exclusion of expenses related to the Mobileye IPO is appropriate as they represent items that management believes are not indicative of our ongoing operating performance. These expenses are primarily composed of legal, accounting and professional fees incurred in connection with the Mobileye IPO that were included within general and administrative expenses.</w:t>
      </w:r>
    </w:p>
    <w:p>
      <w:pPr>
        <w:spacing w:after="0" w:line="12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Set forth below is the reconciliation of net income (loss) to Adjusted Net Income:</w:t>
      </w:r>
    </w:p>
    <w:p>
      <w:pPr>
        <w:spacing w:after="0" w:line="16" w:lineRule="exact"/>
        <w:rPr>
          <w:sz w:val="20"/>
          <w:szCs w:val="20"/>
          <w:color w:val="auto"/>
        </w:rPr>
      </w:pPr>
    </w:p>
    <w:tbl>
      <w:tblPr>
        <w:tblLayout w:type="fixed"/>
        <w:tblInd w:w="1240" w:type="dxa"/>
        <w:tblCellMar>
          <w:top w:w="0" w:type="dxa"/>
          <w:left w:w="0" w:type="dxa"/>
          <w:bottom w:w="0" w:type="dxa"/>
          <w:right w:w="0" w:type="dxa"/>
        </w:tblCellMar>
      </w:tblPr>
      <w:tr>
        <w:trPr>
          <w:trHeight w:val="354"/>
        </w:trPr>
        <w:tc>
          <w:tcPr>
            <w:tcW w:w="354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9"/>
          </w:tcPr>
          <w:p>
            <w:pPr>
              <w:jc w:val="right"/>
              <w:spacing w:after="0"/>
              <w:rPr>
                <w:sz w:val="20"/>
                <w:szCs w:val="20"/>
                <w:color w:val="auto"/>
              </w:rPr>
            </w:pPr>
            <w:r>
              <w:rPr>
                <w:rFonts w:ascii="Arial" w:cs="Arial" w:eastAsia="Arial" w:hAnsi="Arial"/>
                <w:sz w:val="28"/>
                <w:szCs w:val="28"/>
                <w:b w:val="1"/>
                <w:bCs w:val="1"/>
                <w:color w:val="auto"/>
                <w:w w:val="96"/>
                <w:vertAlign w:val="subscript"/>
              </w:rPr>
              <w:t>​</w:t>
            </w:r>
            <w:r>
              <w:rPr>
                <w:rFonts w:ascii="Arial" w:cs="Arial" w:eastAsia="Arial" w:hAnsi="Arial"/>
                <w:sz w:val="14"/>
                <w:szCs w:val="14"/>
                <w:b w:val="1"/>
                <w:bCs w:val="1"/>
                <w:color w:val="auto"/>
                <w:w w:val="96"/>
              </w:rPr>
              <w:t xml:space="preserve"> Three Months Ended </w:t>
            </w:r>
            <w:r>
              <w:rPr>
                <w:rFonts w:ascii="Arial" w:cs="Arial" w:eastAsia="Arial" w:hAnsi="Arial"/>
                <w:sz w:val="28"/>
                <w:szCs w:val="28"/>
                <w:b w:val="1"/>
                <w:bCs w:val="1"/>
                <w:color w:val="auto"/>
                <w:w w:val="96"/>
                <w:vertAlign w:val="subscript"/>
              </w:rPr>
              <w:t>​ ​</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April 1,</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2"/>
              </w:rPr>
              <w:t>April 2,</w:t>
            </w:r>
          </w:p>
        </w:tc>
        <w:tc>
          <w:tcPr>
            <w:tcW w:w="220" w:type="dxa"/>
            <w:vAlign w:val="bottom"/>
          </w:tcPr>
          <w:p>
            <w:pPr>
              <w:spacing w:after="0"/>
              <w:rPr>
                <w:sz w:val="16"/>
                <w:szCs w:val="16"/>
                <w:color w:val="auto"/>
              </w:rPr>
            </w:pPr>
          </w:p>
        </w:tc>
        <w:tc>
          <w:tcPr>
            <w:tcW w:w="8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25,</w:t>
            </w: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w w:val="85"/>
              </w:rPr>
              <w:t>December 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4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9"/>
                <w:szCs w:val="19"/>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580" w:type="dxa"/>
            <w:vAlign w:val="bottom"/>
            <w:tcBorders>
              <w:bottom w:val="single" w:sz="8" w:color="auto"/>
            </w:tcBorders>
            <w:gridSpan w:val="2"/>
          </w:tcPr>
          <w:p>
            <w:pPr>
              <w:jc w:val="center"/>
              <w:ind w:left="163"/>
              <w:spacing w:after="0"/>
              <w:rPr>
                <w:sz w:val="20"/>
                <w:szCs w:val="20"/>
                <w:color w:val="auto"/>
              </w:rPr>
            </w:pPr>
            <w:r>
              <w:rPr>
                <w:rFonts w:ascii="Arial" w:cs="Arial" w:eastAsia="Arial" w:hAnsi="Arial"/>
                <w:sz w:val="14"/>
                <w:szCs w:val="14"/>
                <w:b w:val="1"/>
                <w:bCs w:val="1"/>
                <w:color w:val="auto"/>
                <w:w w:val="83"/>
              </w:rPr>
              <w:t>2021</w:t>
            </w:r>
          </w:p>
        </w:tc>
        <w:tc>
          <w:tcPr>
            <w:tcW w:w="220" w:type="dxa"/>
            <w:vAlign w:val="bottom"/>
            <w:tcBorders>
              <w:bottom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6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6"/>
          </w:tcPr>
          <w:p>
            <w:pPr>
              <w:ind w:left="120"/>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Net income (loss)</w:t>
            </w: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76"/>
              </w:rPr>
              <w:t>$ (79)</w:t>
            </w:r>
          </w:p>
        </w:tc>
        <w:tc>
          <w:tcPr>
            <w:tcW w:w="8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ind w:left="80"/>
              <w:spacing w:after="0" w:line="197" w:lineRule="exact"/>
              <w:rPr>
                <w:sz w:val="20"/>
                <w:szCs w:val="20"/>
                <w:color w:val="auto"/>
              </w:rPr>
            </w:pPr>
            <w:r>
              <w:rPr>
                <w:rFonts w:ascii="Arial" w:cs="Arial" w:eastAsia="Arial" w:hAnsi="Arial"/>
                <w:sz w:val="18"/>
                <w:szCs w:val="18"/>
                <w:color w:val="auto"/>
                <w:w w:val="84"/>
              </w:rPr>
              <w:t>$ (60)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3"/>
            <w:shd w:val="clear" w:color="auto" w:fill="CCEEFF"/>
          </w:tcPr>
          <w:p>
            <w:pPr>
              <w:ind w:left="220"/>
              <w:spacing w:after="0" w:line="197" w:lineRule="exact"/>
              <w:rPr>
                <w:sz w:val="20"/>
                <w:szCs w:val="20"/>
                <w:color w:val="auto"/>
              </w:rPr>
            </w:pPr>
            <w:r>
              <w:rPr>
                <w:rFonts w:ascii="Arial" w:cs="Arial" w:eastAsia="Arial" w:hAnsi="Arial"/>
                <w:sz w:val="18"/>
                <w:szCs w:val="18"/>
                <w:color w:val="auto"/>
              </w:rPr>
              <w:t>$ (82)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3"/>
            <w:shd w:val="clear" w:color="auto" w:fill="CCEEFF"/>
          </w:tcPr>
          <w:p>
            <w:pPr>
              <w:ind w:left="220"/>
              <w:spacing w:after="0" w:line="197" w:lineRule="exact"/>
              <w:rPr>
                <w:sz w:val="20"/>
                <w:szCs w:val="20"/>
                <w:color w:val="auto"/>
              </w:rPr>
            </w:pPr>
            <w:r>
              <w:rPr>
                <w:rFonts w:ascii="Arial" w:cs="Arial" w:eastAsia="Arial" w:hAnsi="Arial"/>
                <w:sz w:val="18"/>
                <w:szCs w:val="18"/>
                <w:color w:val="auto"/>
              </w:rPr>
              <w:t>$ (75)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4"/>
            <w:shd w:val="clear" w:color="auto" w:fill="CCEEFF"/>
          </w:tcPr>
          <w:p>
            <w:pPr>
              <w:ind w:left="180"/>
              <w:spacing w:after="0" w:line="197" w:lineRule="exact"/>
              <w:rPr>
                <w:sz w:val="20"/>
                <w:szCs w:val="20"/>
                <w:color w:val="auto"/>
              </w:rPr>
            </w:pPr>
            <w:r>
              <w:rPr>
                <w:rFonts w:ascii="Arial" w:cs="Arial" w:eastAsia="Arial" w:hAnsi="Arial"/>
                <w:sz w:val="18"/>
                <w:szCs w:val="18"/>
                <w:color w:val="auto"/>
              </w:rPr>
              <w:t>$(196)</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6"/>
        </w:trPr>
        <w:tc>
          <w:tcPr>
            <w:tcW w:w="35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500" w:type="dxa"/>
            <w:vAlign w:val="bottom"/>
            <w:gridSpan w:val="3"/>
            <w:shd w:val="clear" w:color="auto" w:fill="CCEEFF"/>
          </w:tcPr>
          <w:p>
            <w:pPr>
              <w:ind w:left="20"/>
              <w:spacing w:after="0" w:line="66" w:lineRule="exact"/>
              <w:rPr>
                <w:sz w:val="20"/>
                <w:szCs w:val="20"/>
                <w:color w:val="auto"/>
              </w:rPr>
            </w:pPr>
            <w:r>
              <w:rPr>
                <w:rFonts w:ascii="Arial" w:cs="Arial" w:eastAsia="Arial" w:hAnsi="Arial"/>
                <w:sz w:val="7"/>
                <w:szCs w:val="7"/>
                <w:color w:val="auto"/>
              </w:rPr>
              <w:t>​ ​</w:t>
            </w:r>
          </w:p>
        </w:tc>
        <w:tc>
          <w:tcPr>
            <w:tcW w:w="780" w:type="dxa"/>
            <w:vAlign w:val="bottom"/>
            <w:tcBorders>
              <w:left w:val="single" w:sz="8" w:color="CCEEFF"/>
            </w:tcBorders>
            <w:gridSpan w:val="5"/>
            <w:shd w:val="clear" w:color="auto" w:fill="CCEEFF"/>
          </w:tcPr>
          <w:p>
            <w:pPr>
              <w:ind w:left="60"/>
              <w:spacing w:after="0" w:line="66" w:lineRule="exact"/>
              <w:rPr>
                <w:sz w:val="20"/>
                <w:szCs w:val="20"/>
                <w:color w:val="auto"/>
              </w:rPr>
            </w:pPr>
            <w:r>
              <w:rPr>
                <w:rFonts w:ascii="Arial" w:cs="Arial" w:eastAsia="Arial" w:hAnsi="Arial"/>
                <w:sz w:val="7"/>
                <w:szCs w:val="7"/>
                <w:color w:val="auto"/>
              </w:rPr>
              <w:t>​​ ​ ​</w:t>
            </w:r>
          </w:p>
        </w:tc>
        <w:tc>
          <w:tcPr>
            <w:tcW w:w="2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80" w:type="dxa"/>
            <w:vAlign w:val="bottom"/>
            <w:gridSpan w:val="2"/>
            <w:shd w:val="clear" w:color="auto" w:fill="CCEEFF"/>
          </w:tcPr>
          <w:p>
            <w:pPr>
              <w:spacing w:after="0" w:line="66" w:lineRule="exact"/>
              <w:rPr>
                <w:sz w:val="20"/>
                <w:szCs w:val="20"/>
                <w:color w:val="auto"/>
              </w:rPr>
            </w:pPr>
            <w:r>
              <w:rPr>
                <w:rFonts w:ascii="Arial" w:cs="Arial" w:eastAsia="Arial" w:hAnsi="Arial"/>
                <w:sz w:val="7"/>
                <w:szCs w:val="7"/>
                <w:color w:val="auto"/>
              </w:rPr>
              <w:t>​</w:t>
            </w:r>
          </w:p>
        </w:tc>
        <w:tc>
          <w:tcPr>
            <w:tcW w:w="2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80" w:type="dxa"/>
            <w:vAlign w:val="bottom"/>
            <w:gridSpan w:val="2"/>
            <w:shd w:val="clear" w:color="auto" w:fill="CCEEFF"/>
          </w:tcPr>
          <w:p>
            <w:pPr>
              <w:spacing w:after="0" w:line="66" w:lineRule="exact"/>
              <w:rPr>
                <w:sz w:val="20"/>
                <w:szCs w:val="20"/>
                <w:color w:val="auto"/>
              </w:rPr>
            </w:pPr>
            <w:r>
              <w:rPr>
                <w:rFonts w:ascii="Arial" w:cs="Arial" w:eastAsia="Arial" w:hAnsi="Arial"/>
                <w:sz w:val="7"/>
                <w:szCs w:val="7"/>
                <w:color w:val="auto"/>
              </w:rPr>
              <w:t>​</w:t>
            </w:r>
          </w:p>
        </w:tc>
        <w:tc>
          <w:tcPr>
            <w:tcW w:w="220" w:type="dxa"/>
            <w:vAlign w:val="bottom"/>
            <w:vMerge w:val="continue"/>
            <w:shd w:val="clear" w:color="auto" w:fill="CCEEFF"/>
          </w:tcPr>
          <w:p>
            <w:pPr>
              <w:spacing w:after="0"/>
              <w:rPr>
                <w:sz w:val="5"/>
                <w:szCs w:val="5"/>
                <w:color w:val="auto"/>
              </w:rPr>
            </w:pPr>
          </w:p>
        </w:tc>
        <w:tc>
          <w:tcPr>
            <w:tcW w:w="380" w:type="dxa"/>
            <w:vAlign w:val="bottom"/>
            <w:gridSpan w:val="2"/>
            <w:shd w:val="clear" w:color="auto" w:fill="CCEEFF"/>
          </w:tcPr>
          <w:p>
            <w:pPr>
              <w:ind w:left="180"/>
              <w:spacing w:after="0" w:line="66" w:lineRule="exact"/>
              <w:rPr>
                <w:sz w:val="20"/>
                <w:szCs w:val="20"/>
                <w:color w:val="auto"/>
              </w:rPr>
            </w:pPr>
            <w:r>
              <w:rPr>
                <w:rFonts w:ascii="Arial" w:cs="Arial" w:eastAsia="Arial" w:hAnsi="Arial"/>
                <w:sz w:val="7"/>
                <w:szCs w:val="7"/>
                <w:color w:val="auto"/>
              </w:rPr>
              <w:t>​</w:t>
            </w:r>
          </w:p>
        </w:tc>
        <w:tc>
          <w:tcPr>
            <w:tcW w:w="2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0"/>
                <w:szCs w:val="20"/>
                <w:color w:val="auto"/>
              </w:rPr>
            </w:pPr>
            <w:r>
              <w:rPr>
                <w:rFonts w:ascii="Arial" w:cs="Arial" w:eastAsia="Arial" w:hAnsi="Arial"/>
                <w:sz w:val="18"/>
                <w:szCs w:val="18"/>
                <w:color w:val="auto"/>
                <w:w w:val="93"/>
              </w:rPr>
              <w:t>Add: Amortization of acquired intangible assets</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1"/>
              </w:rPr>
              <w:t>​ ​133</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500" w:type="dxa"/>
            <w:vAlign w:val="bottom"/>
            <w:gridSpan w:val="3"/>
          </w:tcPr>
          <w:p>
            <w:pPr>
              <w:ind w:left="80"/>
              <w:spacing w:after="0"/>
              <w:rPr>
                <w:sz w:val="20"/>
                <w:szCs w:val="20"/>
                <w:color w:val="auto"/>
              </w:rPr>
            </w:pPr>
            <w:r>
              <w:rPr>
                <w:rFonts w:ascii="Arial" w:cs="Arial" w:eastAsia="Arial" w:hAnsi="Arial"/>
                <w:sz w:val="18"/>
                <w:szCs w:val="18"/>
                <w:color w:val="auto"/>
              </w:rPr>
              <w:t>​ ​149</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 544​</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 509​</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4"/>
          </w:tcPr>
          <w:p>
            <w:pPr>
              <w:ind w:left="180"/>
              <w:spacing w:after="0"/>
              <w:rPr>
                <w:sz w:val="20"/>
                <w:szCs w:val="20"/>
                <w:color w:val="auto"/>
              </w:rPr>
            </w:pPr>
            <w:r>
              <w:rPr>
                <w:rFonts w:ascii="Arial" w:cs="Arial" w:eastAsia="Arial" w:hAnsi="Arial"/>
                <w:sz w:val="18"/>
                <w:szCs w:val="18"/>
                <w:color w:val="auto"/>
              </w:rPr>
              <w:t>​ ​450</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 ​ 72</w:t>
            </w:r>
          </w:p>
        </w:tc>
        <w:tc>
          <w:tcPr>
            <w:tcW w:w="28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 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174​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 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85</w:t>
            </w:r>
          </w:p>
        </w:tc>
        <w:tc>
          <w:tcPr>
            <w:tcW w:w="200" w:type="dxa"/>
            <w:vAlign w:val="bottom"/>
            <w:shd w:val="clear" w:color="auto" w:fill="CCEEFF"/>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0"/>
                <w:szCs w:val="20"/>
                <w:color w:val="auto"/>
              </w:rPr>
            </w:pPr>
            <w:r>
              <w:rPr>
                <w:rFonts w:ascii="Arial" w:cs="Arial" w:eastAsia="Arial" w:hAnsi="Arial"/>
                <w:sz w:val="18"/>
                <w:szCs w:val="18"/>
                <w:color w:val="auto"/>
              </w:rPr>
              <w:t>Add: Expenses related to the Mobileye IPO</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 ​ —</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 ​ — ​​ ​</w:t>
            </w:r>
          </w:p>
        </w:tc>
        <w:tc>
          <w:tcPr>
            <w:tcW w:w="22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 ​  4</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 ​ —</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Less: Income tax effects</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line="288" w:lineRule="exact"/>
              <w:rPr>
                <w:sz w:val="20"/>
                <w:szCs w:val="20"/>
                <w:color w:val="auto"/>
              </w:rPr>
            </w:pPr>
            <w:r>
              <w:rPr>
                <w:rFonts w:ascii="Arial" w:cs="Arial" w:eastAsia="Arial" w:hAnsi="Arial"/>
                <w:sz w:val="33"/>
                <w:szCs w:val="33"/>
                <w:color w:val="auto"/>
                <w:w w:val="91"/>
                <w:vertAlign w:val="subscript"/>
              </w:rPr>
              <w:t>​</w:t>
            </w:r>
            <w:r>
              <w:rPr>
                <w:rFonts w:ascii="Arial" w:cs="Arial" w:eastAsia="Arial" w:hAnsi="Arial"/>
                <w:sz w:val="17"/>
                <w:szCs w:val="17"/>
                <w:color w:val="auto"/>
                <w:w w:val="91"/>
              </w:rPr>
              <w:t xml:space="preserve"> ​(11)</w:t>
            </w:r>
          </w:p>
        </w:tc>
        <w:tc>
          <w:tcPr>
            <w:tcW w:w="28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720" w:type="dxa"/>
            <w:vAlign w:val="bottom"/>
            <w:gridSpan w:val="4"/>
            <w:shd w:val="clear" w:color="auto" w:fill="CCEEFF"/>
          </w:tcPr>
          <w:p>
            <w:pPr>
              <w:jc w:val="right"/>
              <w:spacing w:after="0" w:line="288"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 xml:space="preserve"> ​ (9) </w:t>
            </w:r>
            <w:r>
              <w:rPr>
                <w:rFonts w:ascii="Arial" w:cs="Arial" w:eastAsia="Arial" w:hAnsi="Arial"/>
                <w:sz w:val="33"/>
                <w:szCs w:val="33"/>
                <w:color w:val="auto"/>
                <w:vertAlign w:val="subscript"/>
              </w:rPr>
              <w:t>​​ ​</w:t>
            </w:r>
          </w:p>
        </w:tc>
        <w:tc>
          <w:tcPr>
            <w:tcW w:w="2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spacing w:after="0" w:line="288"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 xml:space="preserve"> ​(35)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spacing w:after="0" w:line="288"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 xml:space="preserve"> ​(57)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4"/>
            <w:shd w:val="clear" w:color="auto" w:fill="CCEEFF"/>
          </w:tcPr>
          <w:p>
            <w:pPr>
              <w:ind w:left="180"/>
              <w:spacing w:after="0" w:line="288"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 xml:space="preserve"> ​ (50)</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Arial" w:cs="Arial" w:eastAsia="Arial" w:hAnsi="Arial"/>
                <w:sz w:val="18"/>
                <w:szCs w:val="18"/>
                <w:b w:val="1"/>
                <w:bCs w:val="1"/>
                <w:color w:val="auto"/>
              </w:rPr>
              <w:t>Adjusted net income</w:t>
            </w:r>
          </w:p>
        </w:tc>
        <w:tc>
          <w:tcPr>
            <w:tcW w:w="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Arial" w:cs="Arial" w:eastAsia="Arial" w:hAnsi="Arial"/>
                <w:sz w:val="18"/>
                <w:szCs w:val="18"/>
                <w:b w:val="1"/>
                <w:bCs w:val="1"/>
                <w:color w:val="auto"/>
                <w:w w:val="79"/>
              </w:rPr>
              <w:t>$115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3"/>
          </w:tcPr>
          <w:p>
            <w:pPr>
              <w:ind w:left="80"/>
              <w:spacing w:after="0" w:line="203" w:lineRule="exact"/>
              <w:rPr>
                <w:sz w:val="20"/>
                <w:szCs w:val="20"/>
                <w:color w:val="auto"/>
              </w:rPr>
            </w:pPr>
            <w:r>
              <w:rPr>
                <w:rFonts w:ascii="Arial" w:cs="Arial" w:eastAsia="Arial" w:hAnsi="Arial"/>
                <w:sz w:val="18"/>
                <w:szCs w:val="18"/>
                <w:b w:val="1"/>
                <w:bCs w:val="1"/>
                <w:color w:val="auto"/>
                <w:w w:val="99"/>
              </w:rPr>
              <w:t>$120</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580" w:type="dxa"/>
            <w:vAlign w:val="bottom"/>
            <w:gridSpan w:val="2"/>
          </w:tcPr>
          <w:p>
            <w:pPr>
              <w:ind w:left="220"/>
              <w:spacing w:after="0" w:line="203" w:lineRule="exact"/>
              <w:rPr>
                <w:sz w:val="20"/>
                <w:szCs w:val="20"/>
                <w:color w:val="auto"/>
              </w:rPr>
            </w:pPr>
            <w:r>
              <w:rPr>
                <w:rFonts w:ascii="Arial" w:cs="Arial" w:eastAsia="Arial" w:hAnsi="Arial"/>
                <w:sz w:val="18"/>
                <w:szCs w:val="18"/>
                <w:b w:val="1"/>
                <w:bCs w:val="1"/>
                <w:color w:val="auto"/>
                <w:w w:val="84"/>
              </w:rPr>
              <w:t>$605</w:t>
            </w:r>
          </w:p>
        </w:tc>
        <w:tc>
          <w:tcPr>
            <w:tcW w:w="22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580" w:type="dxa"/>
            <w:vAlign w:val="bottom"/>
            <w:gridSpan w:val="2"/>
          </w:tcPr>
          <w:p>
            <w:pPr>
              <w:ind w:left="220"/>
              <w:spacing w:after="0" w:line="203" w:lineRule="exact"/>
              <w:rPr>
                <w:sz w:val="20"/>
                <w:szCs w:val="20"/>
                <w:color w:val="auto"/>
              </w:rPr>
            </w:pPr>
            <w:r>
              <w:rPr>
                <w:rFonts w:ascii="Arial" w:cs="Arial" w:eastAsia="Arial" w:hAnsi="Arial"/>
                <w:sz w:val="18"/>
                <w:szCs w:val="18"/>
                <w:b w:val="1"/>
                <w:bCs w:val="1"/>
                <w:color w:val="auto"/>
                <w:w w:val="84"/>
              </w:rPr>
              <w:t>$474</w:t>
            </w:r>
          </w:p>
        </w:tc>
        <w:tc>
          <w:tcPr>
            <w:tcW w:w="22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600" w:type="dxa"/>
            <w:vAlign w:val="bottom"/>
            <w:gridSpan w:val="3"/>
          </w:tcPr>
          <w:p>
            <w:pPr>
              <w:ind w:left="180"/>
              <w:spacing w:after="0" w:line="203" w:lineRule="exact"/>
              <w:rPr>
                <w:sz w:val="20"/>
                <w:szCs w:val="20"/>
                <w:color w:val="auto"/>
              </w:rPr>
            </w:pPr>
            <w:r>
              <w:rPr>
                <w:rFonts w:ascii="Arial" w:cs="Arial" w:eastAsia="Arial" w:hAnsi="Arial"/>
                <w:sz w:val="18"/>
                <w:szCs w:val="18"/>
                <w:b w:val="1"/>
                <w:bCs w:val="1"/>
                <w:color w:val="auto"/>
                <w:w w:val="88"/>
              </w:rPr>
              <w:t>$ 289</w:t>
            </w:r>
          </w:p>
        </w:tc>
        <w:tc>
          <w:tcPr>
            <w:tcW w:w="20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79"/>
        </w:trPr>
        <w:tc>
          <w:tcPr>
            <w:tcW w:w="35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500" w:type="dxa"/>
            <w:vAlign w:val="bottom"/>
            <w:gridSpan w:val="3"/>
          </w:tcPr>
          <w:p>
            <w:pPr>
              <w:ind w:left="20"/>
              <w:spacing w:after="0" w:line="79" w:lineRule="exact"/>
              <w:rPr>
                <w:sz w:val="20"/>
                <w:szCs w:val="20"/>
                <w:color w:val="auto"/>
              </w:rPr>
            </w:pPr>
            <w:r>
              <w:rPr>
                <w:rFonts w:ascii="Arial" w:cs="Arial" w:eastAsia="Arial" w:hAnsi="Arial"/>
                <w:sz w:val="9"/>
                <w:szCs w:val="9"/>
                <w:b w:val="1"/>
                <w:bCs w:val="1"/>
                <w:color w:val="auto"/>
              </w:rPr>
              <w:t>​ ​</w:t>
            </w:r>
          </w:p>
        </w:tc>
        <w:tc>
          <w:tcPr>
            <w:tcW w:w="780" w:type="dxa"/>
            <w:vAlign w:val="bottom"/>
            <w:gridSpan w:val="5"/>
          </w:tcPr>
          <w:p>
            <w:pPr>
              <w:ind w:left="60"/>
              <w:spacing w:after="0" w:line="79" w:lineRule="exact"/>
              <w:rPr>
                <w:sz w:val="20"/>
                <w:szCs w:val="20"/>
                <w:color w:val="auto"/>
              </w:rPr>
            </w:pPr>
            <w:r>
              <w:rPr>
                <w:rFonts w:ascii="Arial" w:cs="Arial" w:eastAsia="Arial" w:hAnsi="Arial"/>
                <w:sz w:val="9"/>
                <w:szCs w:val="9"/>
                <w:b w:val="1"/>
                <w:bCs w:val="1"/>
                <w:color w:val="auto"/>
              </w:rPr>
              <w:t>​​ ​ ​</w:t>
            </w:r>
          </w:p>
        </w:tc>
        <w:tc>
          <w:tcPr>
            <w:tcW w:w="2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gridSpan w:val="2"/>
          </w:tcPr>
          <w:p>
            <w:pPr>
              <w:spacing w:after="0" w:line="79" w:lineRule="exact"/>
              <w:rPr>
                <w:sz w:val="20"/>
                <w:szCs w:val="20"/>
                <w:color w:val="auto"/>
              </w:rPr>
            </w:pPr>
            <w:r>
              <w:rPr>
                <w:rFonts w:ascii="Arial" w:cs="Arial" w:eastAsia="Arial" w:hAnsi="Arial"/>
                <w:sz w:val="9"/>
                <w:szCs w:val="9"/>
                <w:b w:val="1"/>
                <w:bCs w:val="1"/>
                <w:color w:val="auto"/>
              </w:rPr>
              <w:t>​</w:t>
            </w:r>
          </w:p>
        </w:tc>
        <w:tc>
          <w:tcPr>
            <w:tcW w:w="2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gridSpan w:val="2"/>
          </w:tcPr>
          <w:p>
            <w:pPr>
              <w:spacing w:after="0" w:line="79" w:lineRule="exact"/>
              <w:rPr>
                <w:sz w:val="20"/>
                <w:szCs w:val="20"/>
                <w:color w:val="auto"/>
              </w:rPr>
            </w:pPr>
            <w:r>
              <w:rPr>
                <w:rFonts w:ascii="Arial" w:cs="Arial" w:eastAsia="Arial" w:hAnsi="Arial"/>
                <w:sz w:val="9"/>
                <w:szCs w:val="9"/>
                <w:b w:val="1"/>
                <w:bCs w:val="1"/>
                <w:color w:val="auto"/>
              </w:rPr>
              <w:t>​</w:t>
            </w:r>
          </w:p>
        </w:tc>
        <w:tc>
          <w:tcPr>
            <w:tcW w:w="220" w:type="dxa"/>
            <w:vAlign w:val="bottom"/>
            <w:vMerge w:val="continue"/>
          </w:tcPr>
          <w:p>
            <w:pPr>
              <w:spacing w:after="0"/>
              <w:rPr>
                <w:sz w:val="6"/>
                <w:szCs w:val="6"/>
                <w:color w:val="auto"/>
              </w:rPr>
            </w:pPr>
          </w:p>
        </w:tc>
        <w:tc>
          <w:tcPr>
            <w:tcW w:w="380" w:type="dxa"/>
            <w:vAlign w:val="bottom"/>
            <w:gridSpan w:val="2"/>
          </w:tcPr>
          <w:p>
            <w:pPr>
              <w:ind w:left="180"/>
              <w:spacing w:after="0" w:line="79" w:lineRule="exact"/>
              <w:rPr>
                <w:sz w:val="20"/>
                <w:szCs w:val="20"/>
                <w:color w:val="auto"/>
              </w:rPr>
            </w:pPr>
            <w:r>
              <w:rPr>
                <w:rFonts w:ascii="Arial" w:cs="Arial" w:eastAsia="Arial" w:hAnsi="Arial"/>
                <w:sz w:val="9"/>
                <w:szCs w:val="9"/>
                <w:b w:val="1"/>
                <w:bCs w:val="1"/>
                <w:color w:val="auto"/>
              </w:rPr>
              <w:t>​</w:t>
            </w: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664400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RISK FACTORS</w:t>
      </w:r>
    </w:p>
    <w:p>
      <w:pPr>
        <w:spacing w:after="0" w:line="154" w:lineRule="exact"/>
        <w:rPr>
          <w:sz w:val="20"/>
          <w:szCs w:val="20"/>
          <w:color w:val="auto"/>
        </w:rPr>
      </w:pPr>
    </w:p>
    <w:p>
      <w:pPr>
        <w:ind w:left="1220" w:right="539" w:firstLine="350"/>
        <w:spacing w:after="0" w:line="278" w:lineRule="auto"/>
        <w:rPr>
          <w:sz w:val="20"/>
          <w:szCs w:val="20"/>
          <w:color w:val="auto"/>
        </w:rPr>
      </w:pPr>
      <w:r>
        <w:rPr>
          <w:rFonts w:ascii="Arial" w:cs="Arial" w:eastAsia="Arial" w:hAnsi="Arial"/>
          <w:sz w:val="16"/>
          <w:szCs w:val="16"/>
          <w:i w:val="1"/>
          <w:iCs w:val="1"/>
          <w:color w:val="auto"/>
        </w:rPr>
        <w:t>An investment in our Class A common stock involves a high degree of risk. You should carefully consider the risks described below together with other information set forth in this prospectus or incorporated by reference herein, including the sections titled “Risk Factors,” which includes risk factors related to our business and Class A common stock, and “Management’s Discussion and Analysis of Financial Condition and Results of Operations,” and our financial statements and related notes, incorporated by reference herein from our 2022 Form 10-K and our Q1 Quarterly Report before deciding to invest in our Class A common stock. If any of the following risks or uncertainties actually occur, our business, financial condition, prospects, results of operations, and cash flow could be materially and adversely affected. In that case, the market price of our Class A common stock could decline and you may lose all or a part of your investment. The risks discussed below or incorporated by reference are not the only risks we face.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 Please also see the section titled “Cautionary Note Regarding Forward-Looking Statements” in this prospectus.</w:t>
      </w:r>
    </w:p>
    <w:p>
      <w:pPr>
        <w:spacing w:after="0" w:line="375"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Risks Related to this Offering and Our Class A Common Stock</w:t>
      </w:r>
    </w:p>
    <w:p>
      <w:pPr>
        <w:spacing w:after="0" w:line="220" w:lineRule="exact"/>
        <w:rPr>
          <w:sz w:val="20"/>
          <w:szCs w:val="20"/>
          <w:color w:val="auto"/>
        </w:rPr>
      </w:pPr>
    </w:p>
    <w:p>
      <w:pPr>
        <w:ind w:left="1220" w:right="639"/>
        <w:spacing w:after="0" w:line="299" w:lineRule="auto"/>
        <w:rPr>
          <w:sz w:val="20"/>
          <w:szCs w:val="20"/>
          <w:color w:val="auto"/>
        </w:rPr>
      </w:pPr>
      <w:r>
        <w:rPr>
          <w:rFonts w:ascii="Arial" w:cs="Arial" w:eastAsia="Arial" w:hAnsi="Arial"/>
          <w:sz w:val="16"/>
          <w:szCs w:val="16"/>
          <w:b w:val="1"/>
          <w:bCs w:val="1"/>
          <w:i w:val="1"/>
          <w:iCs w:val="1"/>
          <w:color w:val="auto"/>
        </w:rPr>
        <w:t>Sales of a substantial number of shares of our Class A common stock in the public market, or the perception in the market that the holders of a large number of shares intend to sell shares, could cause the market price of our Class A common stock to drop significantly, even if our business is doing well.</w:t>
      </w:r>
    </w:p>
    <w:p>
      <w:pPr>
        <w:spacing w:after="0" w:line="88" w:lineRule="exact"/>
        <w:rPr>
          <w:sz w:val="20"/>
          <w:szCs w:val="20"/>
          <w:color w:val="auto"/>
        </w:rPr>
      </w:pPr>
    </w:p>
    <w:p>
      <w:pPr>
        <w:ind w:left="1220" w:right="539" w:firstLine="350"/>
        <w:spacing w:after="0" w:line="276"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in the market that the holders of a large number of shares intend to sell shares, could reduce the market price of our Class A common stock. As of May 15, 2023, we had outstanding 55,662,090 shares of Class A common stock and 750,000,000 shares of Class B common stock. The 47,150,000 shares of Class A common stock that were sold by us in the Mobileye IPO and the 35,000,000 shares of Class B common stock that will be converted into the 35,000,000 shares of Class A common stock that the selling stockholder is selling in this offering, may be resold in the public market immediately without restriction, unless purchased by our affiliates. The remaining shares of Class A common stock (including Class A common stock issuable upon the conversion of Class B common stock and the 4,761,905 shares of Class A common stock that were sold in a private placement concurrently with the Mobileye IPO), are subject to restrictions pursuant to Rule 144 under the Securities Act of 1933, as amended (the “Securities Act”), which generally permitted their resale beginning in April 2023 subject, in the case of our affiliates, to manner of sale and volume limits. In addition, in connection with this offering, we and the selling stockholder have agreed or will agree pursuant to a lock-up agreement with the underwriters in this offering that, through and including the 90th day after the date of this prospectus, subject to certain exceptions, we and the selling stockholder will not, without the prior written consent of Goldman Sachs &amp; Co. LLC and Morgan Stanley &amp; Co. LLC, sell shares (other than, with respect to the selling stockholder, the shares to be sold by it in this offering) of Class A common stock (including, with respect to the selling stockholder, Class A common stock issuable upon the conversion of Class B common stock). Moreover, following the expiration of this 90-day period, the selling stockholder will have the right, subject to specified conditions, to require us to file registration statements covering their shares (upon conversion into Class A common stock) or to include their shares in registration statements that we may file for ourselves or other stockholders. We have also registered all shares of Class A common stock that we may issue under our equity compensation plans, which can be freely sold in the public market upon issuance, subject to volume limitations applicable to affiliates and the lock-up agreements entered into in connection with the Mobileye IPO.</w:t>
      </w:r>
    </w:p>
    <w:p>
      <w:pPr>
        <w:spacing w:after="0" w:line="384"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Risks Related to Our Business</w:t>
      </w:r>
    </w:p>
    <w:p>
      <w:pPr>
        <w:spacing w:after="0" w:line="141" w:lineRule="exact"/>
        <w:rPr>
          <w:sz w:val="20"/>
          <w:szCs w:val="20"/>
          <w:color w:val="auto"/>
        </w:rPr>
      </w:pPr>
    </w:p>
    <w:p>
      <w:pPr>
        <w:ind w:left="1220" w:right="779" w:firstLine="350"/>
        <w:spacing w:after="0" w:line="261" w:lineRule="auto"/>
        <w:rPr>
          <w:sz w:val="20"/>
          <w:szCs w:val="20"/>
          <w:color w:val="auto"/>
        </w:rPr>
      </w:pPr>
      <w:r>
        <w:rPr>
          <w:rFonts w:ascii="Arial" w:cs="Arial" w:eastAsia="Arial" w:hAnsi="Arial"/>
          <w:sz w:val="18"/>
          <w:szCs w:val="18"/>
          <w:color w:val="auto"/>
        </w:rPr>
        <w:t>Please see Item 1.A. in our 2022 Form 10-K incorporated by reference herein for risks related to our business.</w:t>
      </w:r>
    </w:p>
    <w:p>
      <w:pPr>
        <w:spacing w:after="0" w:line="36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54" w:lineRule="exact"/>
        <w:rPr>
          <w:sz w:val="20"/>
          <w:szCs w:val="20"/>
          <w:color w:val="auto"/>
        </w:rPr>
      </w:pPr>
    </w:p>
    <w:p>
      <w:pPr>
        <w:ind w:left="1220" w:right="599" w:firstLine="350"/>
        <w:spacing w:after="0" w:line="267"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01" w:lineRule="exact"/>
        <w:rPr>
          <w:sz w:val="20"/>
          <w:szCs w:val="20"/>
          <w:color w:val="auto"/>
        </w:rPr>
      </w:pPr>
    </w:p>
    <w:p>
      <w:pPr>
        <w:ind w:left="1220" w:right="639" w:firstLine="350"/>
        <w:spacing w:after="0" w:line="237" w:lineRule="auto"/>
        <w:rPr>
          <w:sz w:val="20"/>
          <w:szCs w:val="20"/>
          <w:color w:val="auto"/>
        </w:rPr>
      </w:pPr>
      <w:r>
        <w:rPr>
          <w:rFonts w:ascii="Arial" w:cs="Arial" w:eastAsia="Arial" w:hAnsi="Arial"/>
          <w:sz w:val="18"/>
          <w:szCs w:val="18"/>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126" w:lineRule="exact"/>
        <w:rPr>
          <w:sz w:val="20"/>
          <w:szCs w:val="20"/>
          <w:color w:val="auto"/>
        </w:rPr>
      </w:pPr>
    </w:p>
    <w:p>
      <w:pPr>
        <w:ind w:left="1220" w:right="759" w:firstLine="350"/>
        <w:spacing w:after="0" w:line="246" w:lineRule="auto"/>
        <w:rPr>
          <w:sz w:val="20"/>
          <w:szCs w:val="20"/>
          <w:color w:val="auto"/>
        </w:rPr>
      </w:pPr>
      <w:r>
        <w:rPr>
          <w:rFonts w:ascii="Arial" w:cs="Arial" w:eastAsia="Arial" w:hAnsi="Arial"/>
          <w:sz w:val="18"/>
          <w:szCs w:val="18"/>
          <w:color w:val="auto"/>
        </w:rPr>
        <w:t>Forward-looking statements contained in this prospectus or the documents incorporated by reference herein may include, but are not limited to, statements about:</w:t>
      </w:r>
    </w:p>
    <w:p>
      <w:pPr>
        <w:spacing w:after="0" w:line="75" w:lineRule="exact"/>
        <w:rPr>
          <w:sz w:val="20"/>
          <w:szCs w:val="20"/>
          <w:color w:val="auto"/>
        </w:rPr>
      </w:pPr>
    </w:p>
    <w:p>
      <w:pPr>
        <w:ind w:left="1760" w:hanging="181"/>
        <w:spacing w:after="0"/>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business, social and environmental performance, goals and measures;</w:t>
      </w:r>
    </w:p>
    <w:p>
      <w:pPr>
        <w:spacing w:after="0" w:line="108" w:lineRule="exact"/>
        <w:rPr>
          <w:rFonts w:ascii="Arial" w:cs="Arial" w:eastAsia="Arial" w:hAnsi="Arial"/>
          <w:sz w:val="18"/>
          <w:szCs w:val="18"/>
          <w:color w:val="auto"/>
        </w:rPr>
      </w:pPr>
    </w:p>
    <w:p>
      <w:pPr>
        <w:ind w:left="1760" w:hanging="181"/>
        <w:spacing w:after="0"/>
        <w:tabs>
          <w:tab w:leader="none" w:pos="1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anticipated growth prospects and trends in markets and industries relevant to our business;</w:t>
      </w:r>
    </w:p>
    <w:p>
      <w:pPr>
        <w:spacing w:after="0" w:line="118" w:lineRule="exact"/>
        <w:rPr>
          <w:rFonts w:ascii="Arial" w:cs="Arial" w:eastAsia="Arial" w:hAnsi="Arial"/>
          <w:sz w:val="16"/>
          <w:szCs w:val="16"/>
          <w:color w:val="auto"/>
        </w:rPr>
      </w:pPr>
    </w:p>
    <w:p>
      <w:pPr>
        <w:ind w:left="1760" w:hanging="181"/>
        <w:spacing w:after="0"/>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and investment plans;</w:t>
      </w:r>
    </w:p>
    <w:p>
      <w:pPr>
        <w:spacing w:after="0" w:line="108" w:lineRule="exact"/>
        <w:rPr>
          <w:rFonts w:ascii="Arial" w:cs="Arial" w:eastAsia="Arial" w:hAnsi="Arial"/>
          <w:sz w:val="18"/>
          <w:szCs w:val="18"/>
          <w:color w:val="auto"/>
        </w:rPr>
      </w:pPr>
    </w:p>
    <w:p>
      <w:pPr>
        <w:ind w:left="1760" w:right="579" w:hanging="181"/>
        <w:spacing w:after="0" w:line="261"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about our ability to maintain or enhance our leadership position in the markets in which we participate;</w:t>
      </w:r>
    </w:p>
    <w:p>
      <w:pPr>
        <w:spacing w:after="0" w:line="75" w:lineRule="exact"/>
        <w:rPr>
          <w:rFonts w:ascii="Arial" w:cs="Arial" w:eastAsia="Arial" w:hAnsi="Arial"/>
          <w:sz w:val="18"/>
          <w:szCs w:val="18"/>
          <w:color w:val="auto"/>
        </w:rPr>
      </w:pPr>
    </w:p>
    <w:p>
      <w:pPr>
        <w:ind w:left="1760" w:hanging="181"/>
        <w:spacing w:after="0"/>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consumer demand and behavior;</w:t>
      </w:r>
    </w:p>
    <w:p>
      <w:pPr>
        <w:spacing w:after="0" w:line="108" w:lineRule="exact"/>
        <w:rPr>
          <w:rFonts w:ascii="Arial" w:cs="Arial" w:eastAsia="Arial" w:hAnsi="Arial"/>
          <w:sz w:val="18"/>
          <w:szCs w:val="18"/>
          <w:color w:val="auto"/>
        </w:rPr>
      </w:pPr>
    </w:p>
    <w:p>
      <w:pPr>
        <w:ind w:left="1760" w:right="999" w:hanging="181"/>
        <w:spacing w:after="0" w:line="261"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products and technology, and the expected availability and benefits of such products and technology;</w:t>
      </w:r>
    </w:p>
    <w:p>
      <w:pPr>
        <w:spacing w:after="0" w:line="75" w:lineRule="exact"/>
        <w:rPr>
          <w:rFonts w:ascii="Arial" w:cs="Arial" w:eastAsia="Arial" w:hAnsi="Arial"/>
          <w:sz w:val="18"/>
          <w:szCs w:val="18"/>
          <w:color w:val="auto"/>
        </w:rPr>
      </w:pPr>
    </w:p>
    <w:p>
      <w:pPr>
        <w:ind w:left="1760" w:hanging="181"/>
        <w:spacing w:after="0"/>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 of regulatory frameworks for current and future technology;</w:t>
      </w:r>
    </w:p>
    <w:p>
      <w:pPr>
        <w:spacing w:after="0" w:line="108" w:lineRule="exact"/>
        <w:rPr>
          <w:rFonts w:ascii="Arial" w:cs="Arial" w:eastAsia="Arial" w:hAnsi="Arial"/>
          <w:sz w:val="18"/>
          <w:szCs w:val="18"/>
          <w:color w:val="auto"/>
        </w:rPr>
      </w:pPr>
    </w:p>
    <w:p>
      <w:pPr>
        <w:ind w:left="1760" w:hanging="181"/>
        <w:spacing w:after="0"/>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projected cost and pricing trends;</w:t>
      </w:r>
    </w:p>
    <w:p>
      <w:pPr>
        <w:spacing w:after="0" w:line="95" w:lineRule="exact"/>
        <w:rPr>
          <w:rFonts w:ascii="Arial" w:cs="Arial" w:eastAsia="Arial" w:hAnsi="Arial"/>
          <w:sz w:val="18"/>
          <w:szCs w:val="18"/>
          <w:color w:val="auto"/>
        </w:rPr>
      </w:pPr>
    </w:p>
    <w:p>
      <w:pPr>
        <w:ind w:left="1760" w:hanging="181"/>
        <w:spacing w:after="0"/>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production capacity and product supply;</w:t>
      </w:r>
    </w:p>
    <w:p>
      <w:pPr>
        <w:spacing w:after="0" w:line="108" w:lineRule="exact"/>
        <w:rPr>
          <w:rFonts w:ascii="Arial" w:cs="Arial" w:eastAsia="Arial" w:hAnsi="Arial"/>
          <w:sz w:val="18"/>
          <w:szCs w:val="18"/>
          <w:color w:val="auto"/>
        </w:rPr>
      </w:pPr>
    </w:p>
    <w:p>
      <w:pPr>
        <w:ind w:left="1760" w:right="1399" w:hanging="181"/>
        <w:spacing w:after="0" w:line="261"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future benefits and competitive advantages associated with our technologies and architecture and the data we have accumulated;</w:t>
      </w:r>
    </w:p>
    <w:p>
      <w:pPr>
        <w:spacing w:after="0" w:line="75" w:lineRule="exact"/>
        <w:rPr>
          <w:rFonts w:ascii="Arial" w:cs="Arial" w:eastAsia="Arial" w:hAnsi="Arial"/>
          <w:sz w:val="18"/>
          <w:szCs w:val="18"/>
          <w:color w:val="auto"/>
        </w:rPr>
      </w:pPr>
    </w:p>
    <w:p>
      <w:pPr>
        <w:ind w:left="1760" w:right="959" w:hanging="181"/>
        <w:spacing w:after="0" w:line="261"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future purchase, use and availability of products, components and services supplied by third parties, including third-party IP and manufacturing services;</w:t>
      </w:r>
    </w:p>
    <w:p>
      <w:pPr>
        <w:spacing w:after="0" w:line="75" w:lineRule="exact"/>
        <w:rPr>
          <w:rFonts w:ascii="Arial" w:cs="Arial" w:eastAsia="Arial" w:hAnsi="Arial"/>
          <w:sz w:val="18"/>
          <w:szCs w:val="18"/>
          <w:color w:val="auto"/>
        </w:rPr>
      </w:pPr>
    </w:p>
    <w:p>
      <w:pPr>
        <w:ind w:left="1760" w:right="759" w:hanging="181"/>
        <w:spacing w:after="0" w:line="252"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84" w:lineRule="exact"/>
        <w:rPr>
          <w:rFonts w:ascii="Arial" w:cs="Arial" w:eastAsia="Arial" w:hAnsi="Arial"/>
          <w:sz w:val="18"/>
          <w:szCs w:val="18"/>
          <w:color w:val="auto"/>
        </w:rPr>
      </w:pPr>
    </w:p>
    <w:p>
      <w:pPr>
        <w:ind w:left="1760" w:hanging="181"/>
        <w:spacing w:after="0"/>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responses to and effects of the COVID-19 pandemic;</w:t>
      </w:r>
    </w:p>
    <w:p>
      <w:pPr>
        <w:spacing w:after="0" w:line="108" w:lineRule="exact"/>
        <w:rPr>
          <w:rFonts w:ascii="Arial" w:cs="Arial" w:eastAsia="Arial" w:hAnsi="Arial"/>
          <w:sz w:val="18"/>
          <w:szCs w:val="18"/>
          <w:color w:val="auto"/>
        </w:rPr>
      </w:pPr>
    </w:p>
    <w:p>
      <w:pPr>
        <w:ind w:left="1760" w:right="639" w:hanging="181"/>
        <w:spacing w:after="0" w:line="261"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uses, sufficiency and cost of capital and capital resources, including expected returns to stockholders such as dividends, and the expected timing of future dividends;</w:t>
      </w:r>
    </w:p>
    <w:p>
      <w:pPr>
        <w:spacing w:after="0" w:line="75" w:lineRule="exact"/>
        <w:rPr>
          <w:rFonts w:ascii="Arial" w:cs="Arial" w:eastAsia="Arial" w:hAnsi="Arial"/>
          <w:sz w:val="18"/>
          <w:szCs w:val="18"/>
          <w:color w:val="auto"/>
        </w:rPr>
      </w:pPr>
    </w:p>
    <w:p>
      <w:pPr>
        <w:ind w:left="1760" w:hanging="181"/>
        <w:spacing w:after="0"/>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and accounting-related expectations; and</w:t>
      </w:r>
    </w:p>
    <w:p>
      <w:pPr>
        <w:spacing w:after="0" w:line="95" w:lineRule="exact"/>
        <w:rPr>
          <w:rFonts w:ascii="Arial" w:cs="Arial" w:eastAsia="Arial" w:hAnsi="Arial"/>
          <w:sz w:val="18"/>
          <w:szCs w:val="18"/>
          <w:color w:val="auto"/>
        </w:rPr>
      </w:pPr>
    </w:p>
    <w:p>
      <w:pPr>
        <w:ind w:left="1760" w:right="559" w:hanging="181"/>
        <w:spacing w:after="0" w:line="324" w:lineRule="auto"/>
        <w:tabs>
          <w:tab w:leader="none" w:pos="1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statements described herein under the section entitled “Risk Factors” and in our 2022 Form 10-K and Q1 Quarterly Report incorporated by reference herein, including under the sections</w:t>
      </w:r>
    </w:p>
    <w:p>
      <w:pPr>
        <w:spacing w:after="0" w:line="31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760" w:right="599"/>
        <w:spacing w:after="0" w:line="261" w:lineRule="auto"/>
        <w:rPr>
          <w:sz w:val="20"/>
          <w:szCs w:val="20"/>
          <w:color w:val="auto"/>
        </w:rPr>
      </w:pPr>
      <w:r>
        <w:rPr>
          <w:rFonts w:ascii="Arial" w:cs="Arial" w:eastAsia="Arial" w:hAnsi="Arial"/>
          <w:sz w:val="18"/>
          <w:szCs w:val="18"/>
          <w:color w:val="auto"/>
        </w:rPr>
        <w:t>entitled “Risk Factors,” “Management’s Discussion and Analysis of Financial Condition and Results of Operations” and “Business,” as applicable.</w:t>
      </w:r>
    </w:p>
    <w:p>
      <w:pPr>
        <w:spacing w:after="0" w:line="115" w:lineRule="exact"/>
        <w:rPr>
          <w:sz w:val="20"/>
          <w:szCs w:val="20"/>
          <w:color w:val="auto"/>
        </w:rPr>
      </w:pPr>
    </w:p>
    <w:p>
      <w:pPr>
        <w:ind w:left="1220" w:right="679" w:firstLine="350"/>
        <w:spacing w:after="0" w:line="248" w:lineRule="auto"/>
        <w:rPr>
          <w:sz w:val="20"/>
          <w:szCs w:val="20"/>
          <w:color w:val="auto"/>
        </w:rPr>
      </w:pPr>
      <w:r>
        <w:rPr>
          <w:rFonts w:ascii="Arial" w:cs="Arial" w:eastAsia="Arial" w:hAnsi="Arial"/>
          <w:sz w:val="18"/>
          <w:szCs w:val="18"/>
          <w:color w:val="auto"/>
        </w:rPr>
        <w:t>The risk factors discussed under the section entitled “Risk Factors” included herein, and the section entitled “Item 1A. Risk Factors” in our 2022 Form 10-K incorporated by reference herein, could cause our results to differ materially from those expressed in the forward-looking statements made in this prospectus or the documents incorporated by reference herein. There also may be other risks that are currently unknown to us or that we are unable to predict at this time.</w:t>
      </w:r>
    </w:p>
    <w:p>
      <w:pPr>
        <w:spacing w:after="0" w:line="127" w:lineRule="exact"/>
        <w:rPr>
          <w:sz w:val="20"/>
          <w:szCs w:val="20"/>
          <w:color w:val="auto"/>
        </w:rPr>
      </w:pPr>
    </w:p>
    <w:p>
      <w:pPr>
        <w:ind w:left="1220" w:right="639" w:firstLine="350"/>
        <w:spacing w:after="0" w:line="286"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DILUTION</w:t>
      </w:r>
    </w:p>
    <w:p>
      <w:pPr>
        <w:spacing w:after="0" w:line="154" w:lineRule="exact"/>
        <w:rPr>
          <w:sz w:val="20"/>
          <w:szCs w:val="20"/>
          <w:color w:val="auto"/>
        </w:rPr>
      </w:pPr>
    </w:p>
    <w:p>
      <w:pPr>
        <w:ind w:left="1220" w:right="599" w:firstLine="350"/>
        <w:spacing w:after="0" w:line="248" w:lineRule="auto"/>
        <w:rPr>
          <w:sz w:val="20"/>
          <w:szCs w:val="20"/>
          <w:color w:val="auto"/>
        </w:rPr>
      </w:pPr>
      <w:r>
        <w:rPr>
          <w:rFonts w:ascii="Arial" w:cs="Arial" w:eastAsia="Arial" w:hAnsi="Arial"/>
          <w:sz w:val="18"/>
          <w:szCs w:val="18"/>
          <w:color w:val="auto"/>
        </w:rPr>
        <w:t>If you invest in our Class A common stock, your interest will be diluted to the extent of the difference between the public offering price per share and the net tangible book value per share. Our net tangible book value (deficit) as of April 1, 2023 was $1,498 million, or $1.87 per share. Our net tangible book value per share represents total tangible assets less total liabilities divided by the number of shares of our common stock outstanding as of April 1, 2023.</w:t>
      </w:r>
    </w:p>
    <w:p>
      <w:pPr>
        <w:spacing w:after="0" w:line="127" w:lineRule="exact"/>
        <w:rPr>
          <w:sz w:val="20"/>
          <w:szCs w:val="20"/>
          <w:color w:val="auto"/>
        </w:rPr>
      </w:pPr>
    </w:p>
    <w:p>
      <w:pPr>
        <w:ind w:left="1220" w:right="719" w:firstLine="350"/>
        <w:spacing w:after="0" w:line="324" w:lineRule="auto"/>
        <w:rPr>
          <w:sz w:val="20"/>
          <w:szCs w:val="20"/>
          <w:color w:val="auto"/>
        </w:rPr>
      </w:pPr>
      <w:r>
        <w:rPr>
          <w:rFonts w:ascii="Arial" w:cs="Arial" w:eastAsia="Arial" w:hAnsi="Arial"/>
          <w:sz w:val="16"/>
          <w:szCs w:val="16"/>
          <w:color w:val="auto"/>
        </w:rPr>
        <w:t>We determine dilution by subtracting the net tangible book value per share from the amount of cash that a new investor paid for a share of Class A common stock. The following table illustrates this dilution:</w:t>
      </w:r>
    </w:p>
    <w:p>
      <w:pPr>
        <w:spacing w:after="0" w:line="95" w:lineRule="exact"/>
        <w:rPr>
          <w:sz w:val="20"/>
          <w:szCs w:val="20"/>
          <w:color w:val="auto"/>
        </w:rPr>
      </w:pPr>
    </w:p>
    <w:tbl>
      <w:tblPr>
        <w:tblLayout w:type="fixed"/>
        <w:tblInd w:w="1580" w:type="dxa"/>
        <w:tblCellMar>
          <w:top w:w="0" w:type="dxa"/>
          <w:left w:w="0" w:type="dxa"/>
          <w:bottom w:w="0" w:type="dxa"/>
          <w:right w:w="0" w:type="dxa"/>
        </w:tblCellMar>
      </w:tblPr>
      <w:tr>
        <w:trPr>
          <w:trHeight w:val="210"/>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 ​​$</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620" w:type="dxa"/>
            <w:vAlign w:val="bottom"/>
          </w:tcPr>
          <w:p>
            <w:pPr>
              <w:ind w:left="80"/>
              <w:spacing w:after="0"/>
              <w:rPr>
                <w:sz w:val="20"/>
                <w:szCs w:val="20"/>
                <w:color w:val="auto"/>
              </w:rPr>
            </w:pPr>
            <w:r>
              <w:rPr>
                <w:rFonts w:ascii="Arial" w:cs="Arial" w:eastAsia="Arial" w:hAnsi="Arial"/>
                <w:sz w:val="18"/>
                <w:szCs w:val="18"/>
                <w:color w:val="auto"/>
              </w:rPr>
              <w:t>Net tangible book value (deficit) per share as of April 1, 2023</w:t>
            </w:r>
          </w:p>
        </w:tc>
        <w:tc>
          <w:tcPr>
            <w:tcW w:w="1620" w:type="dxa"/>
            <w:vAlign w:val="bottom"/>
            <w:gridSpan w:val="3"/>
          </w:tcPr>
          <w:p>
            <w:pPr>
              <w:jc w:val="right"/>
              <w:spacing w:after="0" w:line="276"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6"/>
                <w:szCs w:val="16"/>
                <w:u w:val="single" w:color="auto"/>
                <w:color w:val="auto"/>
              </w:rPr>
              <w:t>$</w:t>
            </w:r>
            <w:r>
              <w:rPr>
                <w:rFonts w:ascii="Arial" w:cs="Arial" w:eastAsia="Arial" w:hAnsi="Arial"/>
                <w:sz w:val="16"/>
                <w:szCs w:val="16"/>
                <w:color w:val="auto"/>
              </w:rPr>
              <w:t>1.87</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20"/>
        </w:trPr>
        <w:tc>
          <w:tcPr>
            <w:tcW w:w="5720" w:type="dxa"/>
            <w:vAlign w:val="bottom"/>
            <w:gridSpan w:val="2"/>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20" w:type="dxa"/>
            <w:vAlign w:val="bottom"/>
            <w:gridSpan w:val="2"/>
            <w:shd w:val="clear" w:color="auto" w:fill="CCEEFF"/>
          </w:tcPr>
          <w:p>
            <w:pPr>
              <w:spacing w:after="0" w:line="190" w:lineRule="exact"/>
              <w:rPr>
                <w:sz w:val="20"/>
                <w:szCs w:val="20"/>
                <w:color w:val="auto"/>
              </w:rPr>
            </w:pPr>
            <w:r>
              <w:rPr>
                <w:rFonts w:ascii="Arial" w:cs="Arial" w:eastAsia="Arial" w:hAnsi="Arial"/>
                <w:sz w:val="18"/>
                <w:szCs w:val="18"/>
                <w:color w:val="auto"/>
              </w:rPr>
              <w:t>Dilution per share to new investors participating in this offering</w:t>
            </w:r>
          </w:p>
        </w:tc>
        <w:tc>
          <w:tcPr>
            <w:tcW w:w="1580" w:type="dxa"/>
            <w:vAlign w:val="bottom"/>
            <w:gridSpan w:val="2"/>
            <w:shd w:val="clear" w:color="auto" w:fill="CCEEFF"/>
          </w:tcPr>
          <w:p>
            <w:pPr>
              <w:jc w:val="right"/>
              <w:ind w:right="320"/>
              <w:spacing w:after="0" w:line="190"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9"/>
        </w:trPr>
        <w:tc>
          <w:tcPr>
            <w:tcW w:w="100" w:type="dxa"/>
            <w:vAlign w:val="bottom"/>
            <w:shd w:val="clear" w:color="auto" w:fill="CCEEFF"/>
          </w:tcPr>
          <w:p>
            <w:pPr>
              <w:spacing w:after="0" w:line="79" w:lineRule="exact"/>
              <w:rPr>
                <w:sz w:val="20"/>
                <w:szCs w:val="20"/>
                <w:color w:val="auto"/>
              </w:rPr>
            </w:pPr>
            <w:r>
              <w:rPr>
                <w:rFonts w:ascii="Arial" w:cs="Arial" w:eastAsia="Arial" w:hAnsi="Arial"/>
                <w:sz w:val="9"/>
                <w:szCs w:val="9"/>
                <w:color w:val="auto"/>
              </w:rPr>
              <w:t>​</w:t>
            </w:r>
          </w:p>
        </w:tc>
        <w:tc>
          <w:tcPr>
            <w:tcW w:w="5620" w:type="dxa"/>
            <w:vAlign w:val="bottom"/>
            <w:shd w:val="clear" w:color="auto" w:fill="CCEEFF"/>
          </w:tcPr>
          <w:p>
            <w:pPr>
              <w:spacing w:after="0"/>
              <w:rPr>
                <w:sz w:val="6"/>
                <w:szCs w:val="6"/>
                <w:color w:val="auto"/>
              </w:rPr>
            </w:pPr>
          </w:p>
        </w:tc>
        <w:tc>
          <w:tcPr>
            <w:tcW w:w="1580" w:type="dxa"/>
            <w:vAlign w:val="bottom"/>
            <w:gridSpan w:val="2"/>
            <w:shd w:val="clear" w:color="auto" w:fill="CCEEFF"/>
          </w:tcPr>
          <w:p>
            <w:pPr>
              <w:jc w:val="right"/>
              <w:ind w:right="360"/>
              <w:spacing w:after="0" w:line="79" w:lineRule="exact"/>
              <w:rPr>
                <w:sz w:val="20"/>
                <w:szCs w:val="20"/>
                <w:color w:val="auto"/>
              </w:rPr>
            </w:pPr>
            <w:r>
              <w:rPr>
                <w:rFonts w:ascii="Arial" w:cs="Arial" w:eastAsia="Arial" w:hAnsi="Arial"/>
                <w:sz w:val="9"/>
                <w:szCs w:val="9"/>
                <w:color w:val="auto"/>
              </w:rPr>
              <w:t>​ ​​</w:t>
            </w: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-191135</wp:posOffset>
            </wp:positionV>
            <wp:extent cx="4381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81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USE OF PROCEEDS</w:t>
      </w:r>
    </w:p>
    <w:p>
      <w:pPr>
        <w:spacing w:after="0" w:line="154" w:lineRule="exact"/>
        <w:rPr>
          <w:sz w:val="20"/>
          <w:szCs w:val="20"/>
          <w:color w:val="auto"/>
        </w:rPr>
      </w:pPr>
    </w:p>
    <w:p>
      <w:pPr>
        <w:jc w:val="both"/>
        <w:ind w:left="1220" w:right="659" w:firstLine="350"/>
        <w:spacing w:after="0" w:line="299" w:lineRule="auto"/>
        <w:rPr>
          <w:sz w:val="20"/>
          <w:szCs w:val="20"/>
          <w:color w:val="auto"/>
        </w:rPr>
      </w:pPr>
      <w:r>
        <w:rPr>
          <w:rFonts w:ascii="Arial" w:cs="Arial" w:eastAsia="Arial" w:hAnsi="Arial"/>
          <w:sz w:val="16"/>
          <w:szCs w:val="16"/>
          <w:color w:val="auto"/>
        </w:rPr>
        <w:t>All shares being sold in this offering are being sold by the selling stockholder, and we will not receive any proceeds from the sale of the shares of our Class A common stock in this offering, including from any exercise by the underwriters of their option to purchase additional shares from the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PRINCIPAL AND SELLING STOCKHOLDERS</w:t>
      </w:r>
    </w:p>
    <w:p>
      <w:pPr>
        <w:spacing w:after="0" w:line="154" w:lineRule="exact"/>
        <w:rPr>
          <w:sz w:val="20"/>
          <w:szCs w:val="20"/>
          <w:color w:val="auto"/>
        </w:rPr>
      </w:pPr>
    </w:p>
    <w:p>
      <w:pPr>
        <w:ind w:left="1220" w:right="1180" w:firstLine="350"/>
        <w:spacing w:after="0" w:line="261"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May 15, 2023 by:</w:t>
      </w:r>
    </w:p>
    <w:p>
      <w:pPr>
        <w:spacing w:after="0" w:line="76" w:lineRule="exact"/>
        <w:rPr>
          <w:sz w:val="20"/>
          <w:szCs w:val="20"/>
          <w:color w:val="auto"/>
        </w:rPr>
      </w:pPr>
    </w:p>
    <w:p>
      <w:pPr>
        <w:ind w:left="1760" w:hanging="181"/>
        <w:spacing w:after="0"/>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selling stockholder;</w:t>
      </w:r>
    </w:p>
    <w:p>
      <w:pPr>
        <w:spacing w:after="0" w:line="108" w:lineRule="exact"/>
        <w:rPr>
          <w:rFonts w:ascii="Arial" w:cs="Arial" w:eastAsia="Arial" w:hAnsi="Arial"/>
          <w:sz w:val="18"/>
          <w:szCs w:val="18"/>
          <w:color w:val="auto"/>
        </w:rPr>
      </w:pPr>
    </w:p>
    <w:p>
      <w:pPr>
        <w:ind w:left="1760" w:right="1100" w:hanging="181"/>
        <w:spacing w:after="0" w:line="261" w:lineRule="auto"/>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the outstanding shares of any class of our common stock;</w:t>
      </w:r>
    </w:p>
    <w:p>
      <w:pPr>
        <w:spacing w:after="0" w:line="75" w:lineRule="exact"/>
        <w:rPr>
          <w:rFonts w:ascii="Arial" w:cs="Arial" w:eastAsia="Arial" w:hAnsi="Arial"/>
          <w:sz w:val="18"/>
          <w:szCs w:val="18"/>
          <w:color w:val="auto"/>
        </w:rPr>
      </w:pPr>
    </w:p>
    <w:p>
      <w:pPr>
        <w:ind w:left="1760" w:hanging="181"/>
        <w:spacing w:after="0"/>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individually; and</w:t>
      </w:r>
    </w:p>
    <w:p>
      <w:pPr>
        <w:spacing w:after="0" w:line="108" w:lineRule="exact"/>
        <w:rPr>
          <w:rFonts w:ascii="Arial" w:cs="Arial" w:eastAsia="Arial" w:hAnsi="Arial"/>
          <w:sz w:val="18"/>
          <w:szCs w:val="18"/>
          <w:color w:val="auto"/>
        </w:rPr>
      </w:pPr>
    </w:p>
    <w:p>
      <w:pPr>
        <w:ind w:left="1760" w:hanging="181"/>
        <w:spacing w:after="0"/>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48" w:lineRule="exact"/>
        <w:rPr>
          <w:sz w:val="20"/>
          <w:szCs w:val="20"/>
          <w:color w:val="auto"/>
        </w:rPr>
      </w:pPr>
    </w:p>
    <w:p>
      <w:pPr>
        <w:ind w:left="1220" w:right="860" w:firstLine="350"/>
        <w:spacing w:after="0" w:line="280" w:lineRule="auto"/>
        <w:rPr>
          <w:sz w:val="20"/>
          <w:szCs w:val="20"/>
          <w:color w:val="auto"/>
        </w:rPr>
      </w:pPr>
      <w:r>
        <w:rPr>
          <w:rFonts w:ascii="Arial" w:cs="Arial" w:eastAsia="Arial" w:hAnsi="Arial"/>
          <w:sz w:val="16"/>
          <w:szCs w:val="16"/>
          <w:color w:val="auto"/>
        </w:rPr>
        <w:t>The number of shares of common stock outstanding before this offering and the corresponding percentage of beneficial ownership are based on 55,662,090 shares of our Class A common stock and 750,000,000 shares of our Class B common stock outstanding as of May 15, 2023. The number of shares of common stock outstanding after this offering and the corresponding percentage of beneficial ownership are based on the number of shares of common stock issued and outstanding as of May 15, 2023, and are shown assuming no exercise of the underwriters’ option to purchase additional shares. If the underwriters exercise their option to purchase additional shares from the selling stockholder in full, the selling stockholder would hold shares representing approximately 98.7% of the voting power of our common stock following the completion of the offering.</w:t>
      </w:r>
    </w:p>
    <w:p>
      <w:pPr>
        <w:spacing w:after="0" w:line="92" w:lineRule="exact"/>
        <w:rPr>
          <w:sz w:val="20"/>
          <w:szCs w:val="20"/>
          <w:color w:val="auto"/>
        </w:rPr>
      </w:pPr>
    </w:p>
    <w:p>
      <w:pPr>
        <w:ind w:left="1220" w:right="780" w:firstLine="350"/>
        <w:spacing w:after="0" w:line="279"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equity awards or other rights held by such person that are currently exercisable or will become exercisable within 60 days after May 15, 2023 are considered outstanding, although these shares are not considered outstanding for purposes of computing the percentage ownership of any other person. Each of the stockholders listed has sole voting and investment power with respect to the shares beneficially owned by the stockholder unless noted otherwise, subject to community property laws where applicable.</w:t>
      </w:r>
    </w:p>
    <w:p>
      <w:pPr>
        <w:spacing w:after="0" w:line="161"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14"/>
          </w:tcPr>
          <w:p>
            <w:pPr>
              <w:jc w:val="center"/>
              <w:ind w:left="70"/>
              <w:spacing w:after="0"/>
              <w:rPr>
                <w:sz w:val="20"/>
                <w:szCs w:val="20"/>
                <w:color w:val="auto"/>
              </w:rPr>
            </w:pPr>
            <w:r>
              <w:rPr>
                <w:rFonts w:ascii="Arial" w:cs="Arial" w:eastAsia="Arial" w:hAnsi="Arial"/>
                <w:sz w:val="14"/>
                <w:szCs w:val="14"/>
                <w:b w:val="1"/>
                <w:bCs w:val="1"/>
                <w:color w:val="auto"/>
                <w:w w:val="85"/>
              </w:rPr>
              <w:t>Shares of Common Stock Beneficially Owned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gridSpan w:val="15"/>
          </w:tcPr>
          <w:p>
            <w:pPr>
              <w:jc w:val="center"/>
              <w:ind w:left="211"/>
              <w:spacing w:after="0"/>
              <w:rPr>
                <w:sz w:val="20"/>
                <w:szCs w:val="20"/>
                <w:color w:val="auto"/>
              </w:rPr>
            </w:pPr>
            <w:r>
              <w:rPr>
                <w:rFonts w:ascii="Arial" w:cs="Arial" w:eastAsia="Arial" w:hAnsi="Arial"/>
                <w:sz w:val="14"/>
                <w:szCs w:val="14"/>
                <w:b w:val="1"/>
                <w:bCs w:val="1"/>
                <w:color w:val="auto"/>
                <w:w w:val="85"/>
              </w:rPr>
              <w:t>Shares of Common Stock Beneficially Owned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64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Before this Offering</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After this Offering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 of Total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 of 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Voting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Voting</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Power Pre-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5"/>
              </w:rPr>
              <w:t>PowerPost-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64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740" w:type="dxa"/>
            <w:vAlign w:val="bottom"/>
            <w:gridSpan w:val="3"/>
          </w:tcPr>
          <w:p>
            <w:pPr>
              <w:ind w:left="260"/>
              <w:spacing w:after="0"/>
              <w:rPr>
                <w:sz w:val="20"/>
                <w:szCs w:val="20"/>
                <w:color w:val="auto"/>
              </w:rPr>
            </w:pPr>
            <w:r>
              <w:rPr>
                <w:rFonts w:ascii="Arial" w:cs="Arial" w:eastAsia="Arial" w:hAnsi="Arial"/>
                <w:sz w:val="14"/>
                <w:szCs w:val="14"/>
                <w:b w:val="1"/>
                <w:bCs w:val="1"/>
                <w:color w:val="auto"/>
                <w:w w:val="89"/>
              </w:rPr>
              <w:t>Class A</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Shares of Class</w:t>
            </w: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8"/>
              </w:rPr>
              <w:t>Common A</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ind w:right="170"/>
              <w:spacing w:after="0" w:line="158" w:lineRule="exact"/>
              <w:rPr>
                <w:sz w:val="20"/>
                <w:szCs w:val="20"/>
                <w:color w:val="auto"/>
              </w:rPr>
            </w:pPr>
            <w:r>
              <w:rPr>
                <w:rFonts w:ascii="Arial" w:cs="Arial" w:eastAsia="Arial" w:hAnsi="Arial"/>
                <w:sz w:val="14"/>
                <w:szCs w:val="14"/>
                <w:b w:val="1"/>
                <w:bCs w:val="1"/>
                <w:color w:val="auto"/>
                <w:w w:val="88"/>
              </w:rPr>
              <w:t>Common</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4"/>
          </w:tcPr>
          <w:p>
            <w:pPr>
              <w:jc w:val="right"/>
              <w:ind w:right="53"/>
              <w:spacing w:after="0" w:line="158" w:lineRule="exact"/>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Stock Offered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4"/>
              </w:rPr>
              <w:t>%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3"/>
          </w:tcPr>
          <w:p>
            <w:pPr>
              <w:jc w:val="right"/>
              <w:ind w:right="10"/>
              <w:spacing w:after="0" w:line="158" w:lineRule="exact"/>
              <w:rPr>
                <w:sz w:val="20"/>
                <w:szCs w:val="20"/>
                <w:color w:val="auto"/>
              </w:rPr>
            </w:pPr>
            <w:r>
              <w:rPr>
                <w:rFonts w:ascii="Arial" w:cs="Arial" w:eastAsia="Arial" w:hAnsi="Arial"/>
                <w:sz w:val="14"/>
                <w:szCs w:val="14"/>
                <w:b w:val="1"/>
                <w:bCs w:val="1"/>
                <w:color w:val="auto"/>
                <w:w w:val="94"/>
              </w:rPr>
              <w:t>% of</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640" w:type="dxa"/>
            <w:vAlign w:val="bottom"/>
          </w:tcPr>
          <w:p>
            <w:pPr>
              <w:spacing w:after="0"/>
              <w:rPr>
                <w:sz w:val="20"/>
                <w:szCs w:val="20"/>
                <w:color w:val="auto"/>
              </w:rPr>
            </w:pPr>
            <w:r>
              <w:rPr>
                <w:rFonts w:ascii="Arial" w:cs="Arial" w:eastAsia="Arial" w:hAnsi="Arial"/>
                <w:sz w:val="14"/>
                <w:szCs w:val="14"/>
                <w:b w:val="1"/>
                <w:bCs w:val="1"/>
                <w:color w:val="auto"/>
                <w:w w:val="93"/>
              </w:rPr>
              <w:t>Name of Beneficial Owner</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4"/>
                <w:szCs w:val="14"/>
                <w:b w:val="1"/>
                <w:bCs w:val="1"/>
                <w:color w:val="auto"/>
                <w:w w:val="94"/>
              </w:rPr>
              <w:t>Shares</w:t>
            </w:r>
          </w:p>
        </w:tc>
        <w:tc>
          <w:tcPr>
            <w:tcW w:w="520" w:type="dxa"/>
            <w:vAlign w:val="bottom"/>
            <w:gridSpan w:val="5"/>
          </w:tcPr>
          <w:p>
            <w:pPr>
              <w:jc w:val="right"/>
              <w:spacing w:after="0" w:line="220"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Class </w:t>
            </w:r>
            <w:r>
              <w:rPr>
                <w:rFonts w:ascii="Arial" w:cs="Arial" w:eastAsia="Arial" w:hAnsi="Arial"/>
                <w:sz w:val="25"/>
                <w:szCs w:val="25"/>
                <w:b w:val="1"/>
                <w:bCs w:val="1"/>
                <w:color w:val="auto"/>
                <w:vertAlign w:val="subscript"/>
              </w:rPr>
              <w:t>​​</w:t>
            </w:r>
          </w:p>
        </w:tc>
        <w:tc>
          <w:tcPr>
            <w:tcW w:w="120" w:type="dxa"/>
            <w:vAlign w:val="bottom"/>
          </w:tcPr>
          <w:p>
            <w:pPr>
              <w:spacing w:after="0"/>
              <w:rPr>
                <w:sz w:val="19"/>
                <w:szCs w:val="19"/>
                <w:color w:val="auto"/>
              </w:rPr>
            </w:pPr>
          </w:p>
        </w:tc>
        <w:tc>
          <w:tcPr>
            <w:tcW w:w="1140" w:type="dxa"/>
            <w:vAlign w:val="bottom"/>
            <w:gridSpan w:val="6"/>
          </w:tcPr>
          <w:p>
            <w:pPr>
              <w:jc w:val="right"/>
              <w:spacing w:after="0" w:line="220"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Class </w:t>
            </w:r>
            <w:r>
              <w:rPr>
                <w:rFonts w:ascii="Arial" w:cs="Arial" w:eastAsia="Arial" w:hAnsi="Arial"/>
                <w:sz w:val="25"/>
                <w:szCs w:val="25"/>
                <w:b w:val="1"/>
                <w:bCs w:val="1"/>
                <w:color w:val="auto"/>
                <w:vertAlign w:val="subscript"/>
              </w:rPr>
              <w:t>​​</w:t>
            </w:r>
          </w:p>
        </w:tc>
        <w:tc>
          <w:tcPr>
            <w:tcW w:w="4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780" w:type="dxa"/>
            <w:vAlign w:val="bottom"/>
          </w:tcPr>
          <w:p>
            <w:pPr>
              <w:jc w:val="center"/>
              <w:ind w:right="150"/>
              <w:spacing w:after="0"/>
              <w:rPr>
                <w:sz w:val="20"/>
                <w:szCs w:val="20"/>
                <w:color w:val="auto"/>
              </w:rPr>
            </w:pPr>
            <w:r>
              <w:rPr>
                <w:rFonts w:ascii="Arial" w:cs="Arial" w:eastAsia="Arial" w:hAnsi="Arial"/>
                <w:sz w:val="14"/>
                <w:szCs w:val="14"/>
                <w:b w:val="1"/>
                <w:bCs w:val="1"/>
                <w:color w:val="auto"/>
                <w:w w:val="92"/>
              </w:rPr>
              <w:t>Hereby</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1100" w:type="dxa"/>
            <w:vAlign w:val="bottom"/>
            <w:gridSpan w:val="4"/>
          </w:tcPr>
          <w:p>
            <w:pPr>
              <w:jc w:val="right"/>
              <w:spacing w:after="0" w:line="220"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Class</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1140" w:type="dxa"/>
            <w:vAlign w:val="bottom"/>
            <w:gridSpan w:val="5"/>
          </w:tcPr>
          <w:p>
            <w:pPr>
              <w:jc w:val="right"/>
              <w:spacing w:after="0" w:line="220"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Class</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CCEEFF"/>
            </w:tcBorders>
            <w:gridSpan w:val="2"/>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CCEEFF"/>
            </w:tcBorders>
            <w:gridSpan w:val="2"/>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6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Selling Stockholder</w:t>
            </w:r>
          </w:p>
        </w:tc>
        <w:tc>
          <w:tcPr>
            <w:tcW w:w="1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640" w:type="dxa"/>
            <w:vAlign w:val="bottom"/>
            <w:tcBorders>
              <w:right w:val="single" w:sz="8" w:color="CCEEFF"/>
            </w:tcBorders>
            <w:shd w:val="clear" w:color="auto" w:fill="CCEEFF"/>
          </w:tcPr>
          <w:p>
            <w:pPr>
              <w:spacing w:after="0"/>
              <w:rPr>
                <w:sz w:val="19"/>
                <w:szCs w:val="19"/>
                <w:color w:val="auto"/>
              </w:rPr>
            </w:pPr>
          </w:p>
        </w:tc>
        <w:tc>
          <w:tcPr>
            <w:tcW w:w="18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i w:val="1"/>
                <w:iCs w:val="1"/>
                <w:color w:val="auto"/>
              </w:rPr>
              <w:t>​ ​​​ ​</w:t>
            </w:r>
          </w:p>
        </w:tc>
        <w:tc>
          <w:tcPr>
            <w:tcW w:w="26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left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4"/>
                <w:szCs w:val="14"/>
                <w:b w:val="1"/>
                <w:bCs w:val="1"/>
                <w:i w:val="1"/>
                <w:iCs w:val="1"/>
                <w:color w:val="auto"/>
              </w:rPr>
              <w:t>​ ​​​ ​</w:t>
            </w:r>
          </w:p>
        </w:tc>
        <w:tc>
          <w:tcPr>
            <w:tcW w:w="640" w:type="dxa"/>
            <w:vAlign w:val="bottom"/>
            <w:tcBorders>
              <w:right w:val="single" w:sz="8" w:color="CCEEFF"/>
            </w:tcBorders>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w:t>
            </w:r>
          </w:p>
        </w:tc>
        <w:tc>
          <w:tcPr>
            <w:tcW w:w="400" w:type="dxa"/>
            <w:vAlign w:val="bottom"/>
            <w:shd w:val="clear" w:color="auto" w:fill="CCEEFF"/>
          </w:tcPr>
          <w:p>
            <w:pPr>
              <w:ind w:left="200"/>
              <w:spacing w:after="0"/>
              <w:rPr>
                <w:sz w:val="20"/>
                <w:szCs w:val="20"/>
                <w:color w:val="auto"/>
              </w:rPr>
            </w:pPr>
            <w:r>
              <w:rPr>
                <w:rFonts w:ascii="Arial" w:cs="Arial" w:eastAsia="Arial" w:hAnsi="Arial"/>
                <w:sz w:val="14"/>
                <w:szCs w:val="14"/>
                <w:b w:val="1"/>
                <w:bCs w:val="1"/>
                <w:i w:val="1"/>
                <w:iCs w:val="1"/>
                <w:color w:val="auto"/>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b w:val="1"/>
                <w:bCs w:val="1"/>
                <w:i w:val="1"/>
                <w:iCs w:val="1"/>
                <w:color w:val="auto"/>
              </w:rPr>
              <w:t>​</w:t>
            </w:r>
          </w:p>
        </w:tc>
        <w:tc>
          <w:tcPr>
            <w:tcW w:w="78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60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w:t>
            </w:r>
          </w:p>
        </w:tc>
        <w:tc>
          <w:tcPr>
            <w:tcW w:w="6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i w:val="1"/>
                <w:iCs w:val="1"/>
                <w:color w:val="auto"/>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b w:val="1"/>
                <w:bCs w:val="1"/>
                <w:i w:val="1"/>
                <w:iCs w:val="1"/>
                <w:color w:val="auto"/>
              </w:rPr>
              <w:t>​</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171"/>
        </w:trPr>
        <w:tc>
          <w:tcPr>
            <w:tcW w:w="1640" w:type="dxa"/>
            <w:vAlign w:val="bottom"/>
          </w:tcPr>
          <w:p>
            <w:pPr>
              <w:spacing w:after="0" w:line="171" w:lineRule="exact"/>
              <w:rPr>
                <w:sz w:val="20"/>
                <w:szCs w:val="20"/>
                <w:color w:val="auto"/>
              </w:rPr>
            </w:pPr>
            <w:r>
              <w:rPr>
                <w:rFonts w:ascii="Arial" w:cs="Arial" w:eastAsia="Arial" w:hAnsi="Arial"/>
                <w:sz w:val="14"/>
                <w:szCs w:val="14"/>
                <w:color w:val="auto"/>
              </w:rPr>
              <w:t>Intel Corporation</w:t>
            </w:r>
            <w:r>
              <w:rPr>
                <w:rFonts w:ascii="Arial" w:cs="Arial" w:eastAsia="Arial" w:hAnsi="Arial"/>
                <w:sz w:val="17"/>
                <w:szCs w:val="17"/>
                <w:color w:val="auto"/>
                <w:vertAlign w:val="superscript"/>
              </w:rPr>
              <w:t>(1)</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ind w:left="4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20"/>
              <w:spacing w:after="0" w:line="171"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color w:val="auto"/>
              </w:rPr>
              <w:t>750,000,000</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4"/>
          </w:tcPr>
          <w:p>
            <w:pPr>
              <w:ind w:left="60"/>
              <w:spacing w:after="0" w:line="171"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color w:val="auto"/>
              </w:rPr>
              <w:t>100%</w:t>
            </w:r>
          </w:p>
        </w:tc>
        <w:tc>
          <w:tcPr>
            <w:tcW w:w="660" w:type="dxa"/>
            <w:vAlign w:val="bottom"/>
            <w:gridSpan w:val="2"/>
          </w:tcPr>
          <w:p>
            <w:pPr>
              <w:ind w:left="200"/>
              <w:spacing w:after="0" w:line="171"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color w:val="auto"/>
              </w:rPr>
              <w:t>99.3%</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140"/>
              <w:spacing w:after="0" w:line="171"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color w:val="auto"/>
              </w:rPr>
              <w:t>35,000,000</w:t>
            </w:r>
          </w:p>
        </w:tc>
        <w:tc>
          <w:tcPr>
            <w:tcW w:w="8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71"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color w:val="auto"/>
              </w:rPr>
              <w:t>715,000,000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5"/>
          </w:tcPr>
          <w:p>
            <w:pPr>
              <w:ind w:left="60"/>
              <w:spacing w:after="0" w:line="171"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color w:val="auto"/>
              </w:rPr>
              <w:t>100%</w:t>
            </w:r>
          </w:p>
        </w:tc>
        <w:tc>
          <w:tcPr>
            <w:tcW w:w="780" w:type="dxa"/>
            <w:vAlign w:val="bottom"/>
            <w:gridSpan w:val="2"/>
          </w:tcPr>
          <w:p>
            <w:pPr>
              <w:ind w:left="240"/>
              <w:spacing w:after="0" w:line="171"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color w:val="auto"/>
              </w:rPr>
              <w:t>98.7%</w:t>
            </w: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16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jc w:val="right"/>
              <w:spacing w:after="0" w:line="79" w:lineRule="exact"/>
              <w:rPr>
                <w:sz w:val="20"/>
                <w:szCs w:val="20"/>
                <w:color w:val="auto"/>
              </w:rPr>
            </w:pPr>
            <w:r>
              <w:rPr>
                <w:rFonts w:ascii="Arial" w:cs="Arial" w:eastAsia="Arial" w:hAnsi="Arial"/>
                <w:sz w:val="9"/>
                <w:szCs w:val="9"/>
                <w:color w:val="auto"/>
              </w:rPr>
              <w:t>​​​</w:t>
            </w: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gridSpan w:val="2"/>
          </w:tcPr>
          <w:p>
            <w:pPr>
              <w:jc w:val="right"/>
              <w:ind w:right="40"/>
              <w:spacing w:after="0" w:line="79" w:lineRule="exact"/>
              <w:rPr>
                <w:sz w:val="20"/>
                <w:szCs w:val="20"/>
                <w:color w:val="auto"/>
              </w:rPr>
            </w:pPr>
            <w:r>
              <w:rPr>
                <w:rFonts w:ascii="Arial" w:cs="Arial" w:eastAsia="Arial" w:hAnsi="Arial"/>
                <w:sz w:val="9"/>
                <w:szCs w:val="9"/>
                <w:color w:val="auto"/>
              </w:rPr>
              <w:t>​​​</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6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5% Stockholders</w:t>
            </w:r>
          </w:p>
        </w:tc>
        <w:tc>
          <w:tcPr>
            <w:tcW w:w="1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640" w:type="dxa"/>
            <w:vAlign w:val="bottom"/>
            <w:tcBorders>
              <w:right w:val="single" w:sz="8" w:color="CCEEFF"/>
            </w:tcBorders>
            <w:shd w:val="clear" w:color="auto" w:fill="CCEEFF"/>
          </w:tcPr>
          <w:p>
            <w:pPr>
              <w:spacing w:after="0"/>
              <w:rPr>
                <w:sz w:val="20"/>
                <w:szCs w:val="20"/>
                <w:color w:val="auto"/>
              </w:rPr>
            </w:pPr>
          </w:p>
        </w:tc>
        <w:tc>
          <w:tcPr>
            <w:tcW w:w="18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i w:val="1"/>
                <w:iCs w:val="1"/>
                <w:color w:val="auto"/>
              </w:rPr>
              <w:t>​ ​​​ ​</w:t>
            </w:r>
          </w:p>
        </w:tc>
        <w:tc>
          <w:tcPr>
            <w:tcW w:w="26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left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4"/>
                <w:szCs w:val="14"/>
                <w:b w:val="1"/>
                <w:bCs w:val="1"/>
                <w:i w:val="1"/>
                <w:iCs w:val="1"/>
                <w:color w:val="auto"/>
              </w:rPr>
              <w:t>​​​​​</w:t>
            </w:r>
          </w:p>
        </w:tc>
        <w:tc>
          <w:tcPr>
            <w:tcW w:w="640" w:type="dxa"/>
            <w:vAlign w:val="bottom"/>
            <w:tcBorders>
              <w:right w:val="single" w:sz="8" w:color="CCEEFF"/>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w:t>
            </w:r>
          </w:p>
        </w:tc>
        <w:tc>
          <w:tcPr>
            <w:tcW w:w="400" w:type="dxa"/>
            <w:vAlign w:val="bottom"/>
            <w:shd w:val="clear" w:color="auto" w:fill="CCEEFF"/>
          </w:tcPr>
          <w:p>
            <w:pPr>
              <w:ind w:left="200"/>
              <w:spacing w:after="0"/>
              <w:rPr>
                <w:sz w:val="20"/>
                <w:szCs w:val="20"/>
                <w:color w:val="auto"/>
              </w:rPr>
            </w:pPr>
            <w:r>
              <w:rPr>
                <w:rFonts w:ascii="Arial" w:cs="Arial" w:eastAsia="Arial" w:hAnsi="Arial"/>
                <w:sz w:val="14"/>
                <w:szCs w:val="14"/>
                <w:b w:val="1"/>
                <w:bCs w:val="1"/>
                <w:i w:val="1"/>
                <w:iCs w:val="1"/>
                <w:color w:val="auto"/>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b w:val="1"/>
                <w:bCs w:val="1"/>
                <w:i w:val="1"/>
                <w:iCs w:val="1"/>
                <w:color w:val="auto"/>
              </w:rPr>
              <w:t>​</w:t>
            </w:r>
          </w:p>
        </w:tc>
        <w:tc>
          <w:tcPr>
            <w:tcW w:w="7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6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64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i w:val="1"/>
                <w:iCs w:val="1"/>
                <w:color w:val="auto"/>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b w:val="1"/>
                <w:bCs w:val="1"/>
                <w:i w:val="1"/>
                <w:iCs w:val="1"/>
                <w:color w:val="auto"/>
              </w:rPr>
              <w:t>​</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171"/>
        </w:trPr>
        <w:tc>
          <w:tcPr>
            <w:tcW w:w="1640" w:type="dxa"/>
            <w:vAlign w:val="bottom"/>
          </w:tcPr>
          <w:p>
            <w:pPr>
              <w:spacing w:after="0" w:line="171" w:lineRule="exact"/>
              <w:rPr>
                <w:sz w:val="20"/>
                <w:szCs w:val="20"/>
                <w:color w:val="auto"/>
              </w:rPr>
            </w:pPr>
            <w:r>
              <w:rPr>
                <w:rFonts w:ascii="Arial" w:cs="Arial" w:eastAsia="Arial" w:hAnsi="Arial"/>
                <w:sz w:val="14"/>
                <w:szCs w:val="14"/>
                <w:color w:val="auto"/>
              </w:rPr>
              <w:t>Baillie Gifford &amp; Co.</w:t>
            </w:r>
            <w:r>
              <w:rPr>
                <w:rFonts w:ascii="Arial" w:cs="Arial" w:eastAsia="Arial" w:hAnsi="Arial"/>
                <w:sz w:val="17"/>
                <w:szCs w:val="17"/>
                <w:color w:val="auto"/>
                <w:vertAlign w:val="superscript"/>
              </w:rPr>
              <w:t>(2)</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9"/>
              </w:rPr>
              <w:t>6,190,476</w:t>
            </w:r>
          </w:p>
        </w:tc>
        <w:tc>
          <w:tcPr>
            <w:tcW w:w="10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420" w:type="dxa"/>
            <w:vAlign w:val="bottom"/>
            <w:gridSpan w:val="3"/>
          </w:tcPr>
          <w:p>
            <w:pPr>
              <w:jc w:val="right"/>
              <w:spacing w:after="0" w:line="171"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color w:val="auto"/>
              </w:rPr>
              <w:t>11.1%</w:t>
            </w:r>
          </w:p>
        </w:tc>
        <w:tc>
          <w:tcPr>
            <w:tcW w:w="12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64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60"/>
              <w:spacing w:after="0" w:line="171"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color w:val="auto"/>
              </w:rPr>
              <w:t xml:space="preserve"> —</w:t>
            </w:r>
          </w:p>
        </w:tc>
        <w:tc>
          <w:tcPr>
            <w:tcW w:w="8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ind w:left="140"/>
              <w:spacing w:after="0"/>
              <w:rPr>
                <w:sz w:val="20"/>
                <w:szCs w:val="20"/>
                <w:color w:val="auto"/>
              </w:rPr>
            </w:pPr>
            <w:r>
              <w:rPr>
                <w:rFonts w:ascii="Arial" w:cs="Arial" w:eastAsia="Arial" w:hAnsi="Arial"/>
                <w:sz w:val="14"/>
                <w:szCs w:val="14"/>
                <w:color w:val="auto"/>
              </w:rPr>
              <w:t>​</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89"/>
              </w:rPr>
              <w:t>6,190,476</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87"/>
              </w:rPr>
              <w:t>6.8%</w:t>
            </w: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60"/>
              <w:spacing w:after="0" w:line="171"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color w:val="auto"/>
              </w:rPr>
              <w:t xml:space="preserve"> —</w:t>
            </w:r>
          </w:p>
        </w:tc>
        <w:tc>
          <w:tcPr>
            <w:tcW w:w="120" w:type="dxa"/>
            <w:vAlign w:val="bottom"/>
          </w:tcPr>
          <w:p>
            <w:pPr>
              <w:spacing w:after="0"/>
              <w:rPr>
                <w:sz w:val="14"/>
                <w:szCs w:val="14"/>
                <w:color w:val="auto"/>
              </w:rPr>
            </w:pPr>
          </w:p>
        </w:tc>
        <w:tc>
          <w:tcPr>
            <w:tcW w:w="1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16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jc w:val="right"/>
              <w:spacing w:after="0" w:line="79"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gridSpan w:val="2"/>
          </w:tcPr>
          <w:p>
            <w:pPr>
              <w:jc w:val="right"/>
              <w:ind w:right="20"/>
              <w:spacing w:after="0" w:line="7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640" w:type="dxa"/>
            <w:vAlign w:val="bottom"/>
            <w:shd w:val="clear" w:color="auto" w:fill="CCEEFF"/>
          </w:tcPr>
          <w:p>
            <w:pPr>
              <w:spacing w:after="0" w:line="184" w:lineRule="exact"/>
              <w:rPr>
                <w:sz w:val="20"/>
                <w:szCs w:val="20"/>
                <w:color w:val="auto"/>
              </w:rPr>
            </w:pPr>
            <w:r>
              <w:rPr>
                <w:rFonts w:ascii="Arial" w:cs="Arial" w:eastAsia="Arial" w:hAnsi="Arial"/>
                <w:sz w:val="14"/>
                <w:szCs w:val="14"/>
                <w:color w:val="auto"/>
              </w:rPr>
              <w:t>FMR LLC</w:t>
            </w:r>
            <w:r>
              <w:rPr>
                <w:rFonts w:ascii="Arial" w:cs="Arial" w:eastAsia="Arial" w:hAnsi="Arial"/>
                <w:sz w:val="17"/>
                <w:szCs w:val="17"/>
                <w:color w:val="auto"/>
                <w:vertAlign w:val="superscript"/>
              </w:rPr>
              <w:t>(3)</w:t>
            </w:r>
          </w:p>
        </w:tc>
        <w:tc>
          <w:tcPr>
            <w:tcW w:w="12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2,631,819</w:t>
            </w:r>
          </w:p>
        </w:tc>
        <w:tc>
          <w:tcPr>
            <w:tcW w:w="10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3"/>
              </w:rPr>
              <w:t>4.7%</w:t>
            </w:r>
          </w:p>
        </w:tc>
        <w:tc>
          <w:tcPr>
            <w:tcW w:w="12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b w:val="1"/>
                <w:bCs w:val="1"/>
                <w:color w:val="auto"/>
              </w:rPr>
              <w:t>​</w:t>
            </w:r>
          </w:p>
        </w:tc>
        <w:tc>
          <w:tcPr>
            <w:tcW w:w="64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99"/>
              </w:rPr>
              <w:t>—</w:t>
            </w: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6"/>
                <w:szCs w:val="16"/>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gridSpan w:val="2"/>
            <w:vMerge w:val="restart"/>
            <w:shd w:val="clear" w:color="auto" w:fill="CCEEFF"/>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2,631,819</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7"/>
              </w:rPr>
              <w:t>2.9%</w:t>
            </w:r>
          </w:p>
        </w:tc>
        <w:tc>
          <w:tcPr>
            <w:tcW w:w="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w w:val="85"/>
              </w:rPr>
              <w:t>—</w:t>
            </w: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ind w:left="24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64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640" w:type="dxa"/>
            <w:vAlign w:val="bottom"/>
            <w:tcBorders>
              <w:right w:val="single" w:sz="8" w:color="CCEEFF"/>
            </w:tcBorders>
            <w:shd w:val="clear" w:color="auto" w:fill="CCEEFF"/>
          </w:tcPr>
          <w:p>
            <w:pPr>
              <w:spacing w:after="0"/>
              <w:rPr>
                <w:sz w:val="5"/>
                <w:szCs w:val="5"/>
                <w:color w:val="auto"/>
              </w:rPr>
            </w:pPr>
          </w:p>
        </w:tc>
        <w:tc>
          <w:tcPr>
            <w:tcW w:w="100" w:type="dxa"/>
            <w:vAlign w:val="bottom"/>
            <w:gridSpan w:val="2"/>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80" w:type="dxa"/>
            <w:vAlign w:val="bottom"/>
            <w:tcBorders>
              <w:left w:val="single" w:sz="8" w:color="CCEEFF"/>
            </w:tcBorders>
            <w:shd w:val="clear" w:color="auto" w:fill="CCEEFF"/>
          </w:tcPr>
          <w:p>
            <w:pPr>
              <w:jc w:val="right"/>
              <w:spacing w:after="0" w:line="66" w:lineRule="exact"/>
              <w:rPr>
                <w:sz w:val="20"/>
                <w:szCs w:val="20"/>
                <w:color w:val="auto"/>
              </w:rPr>
            </w:pPr>
            <w:r>
              <w:rPr>
                <w:rFonts w:ascii="Arial" w:cs="Arial" w:eastAsia="Arial" w:hAnsi="Arial"/>
                <w:sz w:val="7"/>
                <w:szCs w:val="7"/>
                <w:color w:val="auto"/>
              </w:rPr>
              <w:t>​​​</w:t>
            </w:r>
          </w:p>
        </w:tc>
        <w:tc>
          <w:tcPr>
            <w:tcW w:w="120" w:type="dxa"/>
            <w:vAlign w:val="bottom"/>
            <w:vMerge w:val="continue"/>
            <w:shd w:val="clear" w:color="auto" w:fill="CCEEFF"/>
          </w:tcPr>
          <w:p>
            <w:pPr>
              <w:spacing w:after="0"/>
              <w:rPr>
                <w:sz w:val="5"/>
                <w:szCs w:val="5"/>
                <w:color w:val="auto"/>
              </w:rPr>
            </w:pPr>
          </w:p>
        </w:tc>
        <w:tc>
          <w:tcPr>
            <w:tcW w:w="640" w:type="dxa"/>
            <w:vAlign w:val="bottom"/>
            <w:tcBorders>
              <w:right w:val="single" w:sz="8" w:color="CCEEFF"/>
            </w:tcBorders>
            <w:shd w:val="clear" w:color="auto" w:fill="CCEEFF"/>
          </w:tcPr>
          <w:p>
            <w:pPr>
              <w:spacing w:after="0"/>
              <w:rPr>
                <w:sz w:val="5"/>
                <w:szCs w:val="5"/>
                <w:color w:val="auto"/>
              </w:rPr>
            </w:pPr>
          </w:p>
        </w:tc>
        <w:tc>
          <w:tcPr>
            <w:tcW w:w="80" w:type="dxa"/>
            <w:vAlign w:val="bottom"/>
            <w:tcBorders>
              <w:left w:val="single" w:sz="8" w:color="CCEEFF"/>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80" w:type="dxa"/>
            <w:vAlign w:val="bottom"/>
            <w:tcBorders>
              <w:right w:val="single" w:sz="8" w:color="CCEEFF"/>
            </w:tcBorders>
            <w:shd w:val="clear" w:color="auto" w:fill="CCEEFF"/>
          </w:tcPr>
          <w:p>
            <w:pPr>
              <w:spacing w:after="0"/>
              <w:rPr>
                <w:sz w:val="5"/>
                <w:szCs w:val="5"/>
                <w:color w:val="auto"/>
              </w:rPr>
            </w:pPr>
          </w:p>
        </w:tc>
        <w:tc>
          <w:tcPr>
            <w:tcW w:w="140" w:type="dxa"/>
            <w:vAlign w:val="bottom"/>
            <w:tcBorders>
              <w:left w:val="single" w:sz="8" w:color="CCEEFF"/>
            </w:tcBorders>
            <w:gridSpan w:val="2"/>
            <w:vMerge w:val="continue"/>
            <w:shd w:val="clear" w:color="auto" w:fill="CCEEFF"/>
          </w:tcPr>
          <w:p>
            <w:pPr>
              <w:spacing w:after="0"/>
              <w:rPr>
                <w:sz w:val="5"/>
                <w:szCs w:val="5"/>
                <w:color w:val="auto"/>
              </w:rPr>
            </w:pPr>
          </w:p>
        </w:tc>
        <w:tc>
          <w:tcPr>
            <w:tcW w:w="60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 w:type="dxa"/>
            <w:vAlign w:val="bottom"/>
            <w:gridSpan w:val="2"/>
            <w:shd w:val="clear" w:color="auto" w:fill="CCEEFF"/>
          </w:tcPr>
          <w:p>
            <w:pPr>
              <w:jc w:val="right"/>
              <w:ind w:right="20"/>
              <w:spacing w:after="0" w:line="66" w:lineRule="exact"/>
              <w:rPr>
                <w:sz w:val="20"/>
                <w:szCs w:val="20"/>
                <w:color w:val="auto"/>
              </w:rPr>
            </w:pPr>
            <w:r>
              <w:rPr>
                <w:rFonts w:ascii="Arial" w:cs="Arial" w:eastAsia="Arial" w:hAnsi="Arial"/>
                <w:sz w:val="7"/>
                <w:szCs w:val="7"/>
                <w:color w:val="auto"/>
              </w:rPr>
              <w:t>​​​</w:t>
            </w:r>
          </w:p>
        </w:tc>
        <w:tc>
          <w:tcPr>
            <w:tcW w:w="100" w:type="dxa"/>
            <w:vAlign w:val="bottom"/>
            <w:vMerge w:val="continue"/>
            <w:shd w:val="clear" w:color="auto" w:fill="CCEEFF"/>
          </w:tcPr>
          <w:p>
            <w:pPr>
              <w:spacing w:after="0"/>
              <w:rPr>
                <w:sz w:val="5"/>
                <w:szCs w:val="5"/>
                <w:color w:val="auto"/>
              </w:rPr>
            </w:pPr>
          </w:p>
        </w:tc>
        <w:tc>
          <w:tcPr>
            <w:tcW w:w="64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120" w:type="dxa"/>
            <w:vAlign w:val="bottom"/>
            <w:gridSpan w:val="2"/>
            <w:vMerge w:val="continue"/>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640" w:type="dxa"/>
            <w:vAlign w:val="bottom"/>
          </w:tcPr>
          <w:p>
            <w:pPr>
              <w:spacing w:after="0" w:line="184" w:lineRule="exact"/>
              <w:rPr>
                <w:sz w:val="20"/>
                <w:szCs w:val="20"/>
                <w:color w:val="auto"/>
              </w:rPr>
            </w:pPr>
            <w:r>
              <w:rPr>
                <w:rFonts w:ascii="Arial" w:cs="Arial" w:eastAsia="Arial" w:hAnsi="Arial"/>
                <w:sz w:val="14"/>
                <w:szCs w:val="14"/>
                <w:color w:val="auto"/>
              </w:rPr>
              <w:t>General Atlantic, L.P.</w:t>
            </w:r>
            <w:r>
              <w:rPr>
                <w:rFonts w:ascii="Arial" w:cs="Arial" w:eastAsia="Arial" w:hAnsi="Arial"/>
                <w:sz w:val="17"/>
                <w:szCs w:val="17"/>
                <w:color w:val="auto"/>
                <w:vertAlign w:val="superscript"/>
              </w:rPr>
              <w:t>(4)</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9"/>
              </w:rPr>
              <w:t>4,761,905</w:t>
            </w:r>
          </w:p>
        </w:tc>
        <w:tc>
          <w:tcPr>
            <w:tcW w:w="10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w w:val="93"/>
              </w:rPr>
              <w:t>8.6%</w:t>
            </w:r>
          </w:p>
        </w:tc>
        <w:tc>
          <w:tcPr>
            <w:tcW w:w="1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460"/>
              <w:spacing w:after="0"/>
              <w:rPr>
                <w:sz w:val="20"/>
                <w:szCs w:val="20"/>
                <w:color w:val="auto"/>
              </w:rPr>
            </w:pPr>
            <w:r>
              <w:rPr>
                <w:rFonts w:ascii="Arial" w:cs="Arial" w:eastAsia="Arial" w:hAnsi="Arial"/>
                <w:sz w:val="14"/>
                <w:szCs w:val="14"/>
                <w:color w:val="auto"/>
                <w:w w:val="99"/>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89"/>
              </w:rPr>
              <w:t>4,761,905</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87"/>
              </w:rPr>
              <w:t>5.3%</w:t>
            </w:r>
          </w:p>
        </w:tc>
        <w:tc>
          <w:tcPr>
            <w:tcW w:w="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1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6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jc w:val="right"/>
              <w:spacing w:after="0" w:line="66" w:lineRule="exact"/>
              <w:rPr>
                <w:sz w:val="20"/>
                <w:szCs w:val="20"/>
                <w:color w:val="auto"/>
              </w:rPr>
            </w:pPr>
            <w:r>
              <w:rPr>
                <w:rFonts w:ascii="Arial" w:cs="Arial" w:eastAsia="Arial" w:hAnsi="Arial"/>
                <w:sz w:val="7"/>
                <w:szCs w:val="7"/>
                <w:color w:val="auto"/>
              </w:rPr>
              <w:t>​​​</w:t>
            </w:r>
          </w:p>
        </w:tc>
        <w:tc>
          <w:tcPr>
            <w:tcW w:w="1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gridSpan w:val="2"/>
          </w:tcPr>
          <w:p>
            <w:pPr>
              <w:jc w:val="right"/>
              <w:ind w:right="20"/>
              <w:spacing w:after="0" w:line="66" w:lineRule="exact"/>
              <w:rPr>
                <w:sz w:val="20"/>
                <w:szCs w:val="20"/>
                <w:color w:val="auto"/>
              </w:rPr>
            </w:pPr>
            <w:r>
              <w:rPr>
                <w:rFonts w:ascii="Arial" w:cs="Arial" w:eastAsia="Arial" w:hAnsi="Arial"/>
                <w:sz w:val="7"/>
                <w:szCs w:val="7"/>
                <w:color w:val="auto"/>
              </w:rPr>
              <w:t>​​​</w:t>
            </w:r>
          </w:p>
        </w:tc>
        <w:tc>
          <w:tcPr>
            <w:tcW w:w="1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Norges Bank (the Central</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Bank of Norway)</w:t>
            </w:r>
            <w:r>
              <w:rPr>
                <w:rFonts w:ascii="Arial" w:cs="Arial" w:eastAsia="Arial" w:hAnsi="Arial"/>
                <w:sz w:val="17"/>
                <w:szCs w:val="17"/>
                <w:color w:val="auto"/>
                <w:vertAlign w:val="superscript"/>
              </w:rPr>
              <w:t>(5)</w:t>
            </w:r>
          </w:p>
        </w:tc>
        <w:tc>
          <w:tcPr>
            <w:tcW w:w="8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12,085,900</w:t>
            </w:r>
          </w:p>
        </w:tc>
        <w:tc>
          <w:tcPr>
            <w:tcW w:w="640" w:type="dxa"/>
            <w:vAlign w:val="bottom"/>
            <w:gridSpan w:val="6"/>
            <w:shd w:val="clear" w:color="auto" w:fill="CCEEFF"/>
          </w:tcPr>
          <w:p>
            <w:pPr>
              <w:jc w:val="right"/>
              <w:ind w:right="14"/>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21.7%​​​ </w:t>
            </w:r>
            <w:r>
              <w:rPr>
                <w:rFonts w:ascii="Arial" w:cs="Arial" w:eastAsia="Arial" w:hAnsi="Arial"/>
                <w:sz w:val="14"/>
                <w:szCs w:val="14"/>
                <w:b w:val="1"/>
                <w:bCs w:val="1"/>
                <w:color w:val="auto"/>
              </w:rPr>
              <w:t>​</w:t>
            </w:r>
          </w:p>
        </w:tc>
        <w:tc>
          <w:tcPr>
            <w:tcW w:w="980" w:type="dxa"/>
            <w:vAlign w:val="bottom"/>
            <w:gridSpan w:val="4"/>
            <w:shd w:val="clear" w:color="auto" w:fill="CCEEFF"/>
          </w:tcPr>
          <w:p>
            <w:pPr>
              <w:ind w:left="4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80" w:type="dxa"/>
            <w:vAlign w:val="bottom"/>
            <w:tcBorders>
              <w:left w:val="single" w:sz="8" w:color="CCEEFF"/>
              <w:right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12,085,900 ​​​</w:t>
            </w:r>
          </w:p>
        </w:tc>
        <w:tc>
          <w:tcPr>
            <w:tcW w:w="560" w:type="dxa"/>
            <w:vAlign w:val="bottom"/>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13.3%​​​</w:t>
            </w:r>
            <w:r>
              <w:rPr>
                <w:rFonts w:ascii="Arial" w:cs="Arial" w:eastAsia="Arial" w:hAnsi="Arial"/>
                <w:sz w:val="14"/>
                <w:szCs w:val="14"/>
                <w:b w:val="1"/>
                <w:bCs w:val="1"/>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640" w:type="dxa"/>
            <w:vAlign w:val="bottom"/>
          </w:tcPr>
          <w:p>
            <w:pPr>
              <w:spacing w:after="0"/>
              <w:rPr>
                <w:sz w:val="20"/>
                <w:szCs w:val="20"/>
                <w:color w:val="auto"/>
              </w:rPr>
            </w:pPr>
            <w:r>
              <w:rPr>
                <w:rFonts w:ascii="Arial" w:cs="Arial" w:eastAsia="Arial" w:hAnsi="Arial"/>
                <w:sz w:val="14"/>
                <w:szCs w:val="14"/>
                <w:color w:val="auto"/>
              </w:rPr>
              <w:t>Prudential Financial Inc.</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140"/>
              <w:spacing w:after="0"/>
              <w:rPr>
                <w:sz w:val="20"/>
                <w:szCs w:val="20"/>
                <w:color w:val="auto"/>
              </w:rPr>
            </w:pPr>
            <w:r>
              <w:rPr>
                <w:rFonts w:ascii="Arial" w:cs="Arial" w:eastAsia="Arial" w:hAnsi="Arial"/>
                <w:sz w:val="14"/>
                <w:szCs w:val="14"/>
                <w:color w:val="auto"/>
              </w:rPr>
              <w:t>and affiliates</w:t>
            </w:r>
            <w:r>
              <w:rPr>
                <w:rFonts w:ascii="Arial" w:cs="Arial" w:eastAsia="Arial" w:hAnsi="Arial"/>
                <w:sz w:val="17"/>
                <w:szCs w:val="17"/>
                <w:color w:val="auto"/>
                <w:vertAlign w:val="superscript"/>
              </w:rPr>
              <w:t>(6)</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 ​ 8,710,759</w:t>
            </w:r>
          </w:p>
        </w:tc>
        <w:tc>
          <w:tcPr>
            <w:tcW w:w="640" w:type="dxa"/>
            <w:vAlign w:val="bottom"/>
            <w:gridSpan w:val="6"/>
          </w:tcPr>
          <w:p>
            <w:pPr>
              <w:jc w:val="right"/>
              <w:ind w:right="14"/>
              <w:spacing w:after="0"/>
              <w:rPr>
                <w:sz w:val="20"/>
                <w:szCs w:val="20"/>
                <w:color w:val="auto"/>
              </w:rPr>
            </w:pPr>
            <w:r>
              <w:rPr>
                <w:rFonts w:ascii="Arial" w:cs="Arial" w:eastAsia="Arial" w:hAnsi="Arial"/>
                <w:sz w:val="14"/>
                <w:szCs w:val="14"/>
                <w:color w:val="auto"/>
              </w:rPr>
              <w:t>​​​ ​15.6%​​​​</w:t>
            </w:r>
          </w:p>
        </w:tc>
        <w:tc>
          <w:tcPr>
            <w:tcW w:w="980" w:type="dxa"/>
            <w:vAlign w:val="bottom"/>
            <w:gridSpan w:val="4"/>
          </w:tcPr>
          <w:p>
            <w:pPr>
              <w:ind w:left="460"/>
              <w:spacing w:after="0"/>
              <w:rPr>
                <w:sz w:val="20"/>
                <w:szCs w:val="20"/>
                <w:color w:val="auto"/>
              </w:rPr>
            </w:pPr>
            <w:r>
              <w:rPr>
                <w:rFonts w:ascii="Arial" w:cs="Arial" w:eastAsia="Arial" w:hAnsi="Arial"/>
                <w:sz w:val="14"/>
                <w:szCs w:val="14"/>
                <w:color w:val="auto"/>
              </w:rPr>
              <w:t>— ​​​ ​ —</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ind w:left="140"/>
              <w:spacing w:after="0"/>
              <w:rPr>
                <w:sz w:val="20"/>
                <w:szCs w:val="20"/>
                <w:color w:val="auto"/>
              </w:rPr>
            </w:pPr>
            <w:r>
              <w:rPr>
                <w:rFonts w:ascii="Arial" w:cs="Arial" w:eastAsia="Arial" w:hAnsi="Arial"/>
                <w:sz w:val="14"/>
                <w:szCs w:val="14"/>
                <w:color w:val="auto"/>
              </w:rPr>
              <w:t>​</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80" w:type="dxa"/>
            <w:vAlign w:val="bottom"/>
            <w:gridSpan w:val="4"/>
          </w:tcPr>
          <w:p>
            <w:pPr>
              <w:spacing w:after="0"/>
              <w:rPr>
                <w:sz w:val="20"/>
                <w:szCs w:val="20"/>
                <w:color w:val="auto"/>
              </w:rPr>
            </w:pPr>
            <w:r>
              <w:rPr>
                <w:rFonts w:ascii="Arial" w:cs="Arial" w:eastAsia="Arial" w:hAnsi="Arial"/>
                <w:sz w:val="14"/>
                <w:szCs w:val="14"/>
                <w:color w:val="auto"/>
              </w:rPr>
              <w:t>​​​​ 8,710,759 ​​​</w:t>
            </w:r>
          </w:p>
        </w:tc>
        <w:tc>
          <w:tcPr>
            <w:tcW w:w="560" w:type="dxa"/>
            <w:vAlign w:val="bottom"/>
            <w:gridSpan w:val="5"/>
          </w:tcPr>
          <w:p>
            <w:pPr>
              <w:ind w:left="20"/>
              <w:spacing w:after="0"/>
              <w:rPr>
                <w:sz w:val="20"/>
                <w:szCs w:val="20"/>
                <w:color w:val="auto"/>
              </w:rPr>
            </w:pPr>
            <w:r>
              <w:rPr>
                <w:rFonts w:ascii="Arial" w:cs="Arial" w:eastAsia="Arial" w:hAnsi="Arial"/>
                <w:sz w:val="14"/>
                <w:szCs w:val="14"/>
                <w:color w:val="auto"/>
              </w:rPr>
              <w:t>​ 9.6%​​​​</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6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6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w w:val="93"/>
              </w:rPr>
              <w:t>Named Executive Officers</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40"/>
              <w:spacing w:after="0"/>
              <w:rPr>
                <w:sz w:val="20"/>
                <w:szCs w:val="20"/>
                <w:color w:val="auto"/>
              </w:rPr>
            </w:pPr>
            <w:r>
              <w:rPr>
                <w:rFonts w:ascii="Arial" w:cs="Arial" w:eastAsia="Arial" w:hAnsi="Arial"/>
                <w:sz w:val="14"/>
                <w:szCs w:val="14"/>
                <w:b w:val="1"/>
                <w:bCs w:val="1"/>
                <w:i w:val="1"/>
                <w:iCs w:val="1"/>
                <w:color w:val="auto"/>
              </w:rPr>
              <w:t>and Directors</w:t>
            </w:r>
            <w:r>
              <w:rPr>
                <w:rFonts w:ascii="Arial" w:cs="Arial" w:eastAsia="Arial" w:hAnsi="Arial"/>
                <w:sz w:val="17"/>
                <w:szCs w:val="17"/>
                <w:b w:val="1"/>
                <w:bCs w:val="1"/>
                <w:i w:val="1"/>
                <w:iCs w:val="1"/>
                <w:color w:val="auto"/>
                <w:vertAlign w:val="superscript"/>
              </w:rPr>
              <w:t>(7)</w:t>
            </w:r>
          </w:p>
        </w:tc>
        <w:tc>
          <w:tcPr>
            <w:tcW w:w="1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640" w:type="dxa"/>
            <w:vAlign w:val="bottom"/>
            <w:tcBorders>
              <w:right w:val="single" w:sz="8" w:color="CCEEFF"/>
            </w:tcBorders>
            <w:shd w:val="clear" w:color="auto" w:fill="CCEEFF"/>
          </w:tcPr>
          <w:p>
            <w:pPr>
              <w:spacing w:after="0"/>
              <w:rPr>
                <w:sz w:val="17"/>
                <w:szCs w:val="17"/>
                <w:color w:val="auto"/>
              </w:rPr>
            </w:pPr>
          </w:p>
        </w:tc>
        <w:tc>
          <w:tcPr>
            <w:tcW w:w="18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i w:val="1"/>
                <w:iCs w:val="1"/>
                <w:color w:val="auto"/>
              </w:rPr>
              <w:t>​ ​​​ ​</w:t>
            </w: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4"/>
                <w:szCs w:val="14"/>
                <w:b w:val="1"/>
                <w:bCs w:val="1"/>
                <w:i w:val="1"/>
                <w:iCs w:val="1"/>
                <w:color w:val="auto"/>
              </w:rPr>
              <w:t>​ ​​​ ​</w:t>
            </w:r>
          </w:p>
        </w:tc>
        <w:tc>
          <w:tcPr>
            <w:tcW w:w="6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w:t>
            </w:r>
          </w:p>
        </w:tc>
        <w:tc>
          <w:tcPr>
            <w:tcW w:w="400" w:type="dxa"/>
            <w:vAlign w:val="bottom"/>
            <w:shd w:val="clear" w:color="auto" w:fill="CCEEFF"/>
          </w:tcPr>
          <w:p>
            <w:pPr>
              <w:ind w:left="200"/>
              <w:spacing w:after="0"/>
              <w:rPr>
                <w:sz w:val="20"/>
                <w:szCs w:val="20"/>
                <w:color w:val="auto"/>
              </w:rPr>
            </w:pPr>
            <w:r>
              <w:rPr>
                <w:rFonts w:ascii="Arial" w:cs="Arial" w:eastAsia="Arial" w:hAnsi="Arial"/>
                <w:sz w:val="14"/>
                <w:szCs w:val="14"/>
                <w:b w:val="1"/>
                <w:bCs w:val="1"/>
                <w:i w:val="1"/>
                <w:iCs w:val="1"/>
                <w:color w:val="auto"/>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b w:val="1"/>
                <w:bCs w:val="1"/>
                <w:i w:val="1"/>
                <w:iCs w:val="1"/>
                <w:color w:val="auto"/>
              </w:rPr>
              <w:t>​</w:t>
            </w:r>
          </w:p>
        </w:tc>
        <w:tc>
          <w:tcPr>
            <w:tcW w:w="7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6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w:t>
            </w:r>
          </w:p>
        </w:tc>
        <w:tc>
          <w:tcPr>
            <w:tcW w:w="6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i w:val="1"/>
                <w:iCs w:val="1"/>
                <w:color w:val="auto"/>
              </w:rPr>
              <w:t>​​​</w:t>
            </w:r>
          </w:p>
        </w:tc>
        <w:tc>
          <w:tcPr>
            <w:tcW w:w="440" w:type="dxa"/>
            <w:vAlign w:val="bottom"/>
            <w:shd w:val="clear" w:color="auto" w:fill="CCEEFF"/>
          </w:tcPr>
          <w:p>
            <w:pPr>
              <w:ind w:left="240"/>
              <w:spacing w:after="0"/>
              <w:rPr>
                <w:sz w:val="20"/>
                <w:szCs w:val="20"/>
                <w:color w:val="auto"/>
              </w:rPr>
            </w:pPr>
            <w:r>
              <w:rPr>
                <w:rFonts w:ascii="Arial" w:cs="Arial" w:eastAsia="Arial" w:hAnsi="Arial"/>
                <w:sz w:val="14"/>
                <w:szCs w:val="14"/>
                <w:b w:val="1"/>
                <w:bCs w:val="1"/>
                <w:i w:val="1"/>
                <w:iCs w:val="1"/>
                <w:color w:val="auto"/>
              </w:rPr>
              <w:t>​</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226"/>
        </w:trPr>
        <w:tc>
          <w:tcPr>
            <w:tcW w:w="1640" w:type="dxa"/>
            <w:vAlign w:val="bottom"/>
          </w:tcPr>
          <w:p>
            <w:pPr>
              <w:spacing w:after="0"/>
              <w:rPr>
                <w:sz w:val="20"/>
                <w:szCs w:val="20"/>
                <w:color w:val="auto"/>
              </w:rPr>
            </w:pPr>
            <w:r>
              <w:rPr>
                <w:rFonts w:ascii="Arial" w:cs="Arial" w:eastAsia="Arial" w:hAnsi="Arial"/>
                <w:sz w:val="14"/>
                <w:szCs w:val="14"/>
                <w:color w:val="auto"/>
              </w:rPr>
              <w:t>Amnon Shashua</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746,667</w:t>
            </w:r>
          </w:p>
        </w:tc>
        <w:tc>
          <w:tcPr>
            <w:tcW w:w="640" w:type="dxa"/>
            <w:vAlign w:val="bottom"/>
            <w:gridSpan w:val="6"/>
          </w:tcPr>
          <w:p>
            <w:pPr>
              <w:jc w:val="right"/>
              <w:ind w:right="14"/>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1.3%​​​ </w:t>
            </w:r>
            <w:r>
              <w:rPr>
                <w:rFonts w:ascii="Arial" w:cs="Arial" w:eastAsia="Arial" w:hAnsi="Arial"/>
                <w:sz w:val="14"/>
                <w:szCs w:val="14"/>
                <w:b w:val="1"/>
                <w:bCs w:val="1"/>
                <w:color w:val="auto"/>
              </w:rPr>
              <w:t>​</w:t>
            </w:r>
          </w:p>
        </w:tc>
        <w:tc>
          <w:tcPr>
            <w:tcW w:w="980" w:type="dxa"/>
            <w:vAlign w:val="bottom"/>
            <w:gridSpan w:val="4"/>
          </w:tcPr>
          <w:p>
            <w:pPr>
              <w:ind w:left="4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746,667 ​​​</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4"/>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-1845310</wp:posOffset>
            </wp:positionV>
            <wp:extent cx="419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910" cy="8255"/>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-1845310</wp:posOffset>
            </wp:positionV>
            <wp:extent cx="419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910" cy="8255"/>
                    </a:xfrm>
                    <a:prstGeom prst="rect">
                      <a:avLst/>
                    </a:prstGeom>
                    <a:noFill/>
                  </pic:spPr>
                </pic:pic>
              </a:graphicData>
            </a:graphic>
          </wp:anchor>
        </w:drawing>
        <w:drawing>
          <wp:anchor simplePos="0" relativeHeight="251657728" behindDoc="1" locked="0" layoutInCell="0" allowOverlap="1">
            <wp:simplePos x="0" y="0"/>
            <wp:positionH relativeFrom="column">
              <wp:posOffset>2152650</wp:posOffset>
            </wp:positionH>
            <wp:positionV relativeFrom="paragraph">
              <wp:posOffset>-1845310</wp:posOffset>
            </wp:positionV>
            <wp:extent cx="419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910" cy="825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-1845310</wp:posOffset>
            </wp:positionV>
            <wp:extent cx="419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91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-1845310</wp:posOffset>
            </wp:positionV>
            <wp:extent cx="5257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5780" cy="8255"/>
                    </a:xfrm>
                    <a:prstGeom prst="rect">
                      <a:avLst/>
                    </a:prstGeom>
                    <a:noFill/>
                  </pic:spPr>
                </pic:pic>
              </a:graphicData>
            </a:graphic>
          </wp:anchor>
        </w:drawing>
        <w:drawing>
          <wp:anchor simplePos="0" relativeHeight="251657728" behindDoc="1" locked="0" layoutInCell="0" allowOverlap="1">
            <wp:simplePos x="0" y="0"/>
            <wp:positionH relativeFrom="column">
              <wp:posOffset>4114165</wp:posOffset>
            </wp:positionH>
            <wp:positionV relativeFrom="paragraph">
              <wp:posOffset>-1845310</wp:posOffset>
            </wp:positionV>
            <wp:extent cx="419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910"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-1845310</wp:posOffset>
            </wp:positionV>
            <wp:extent cx="419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910" cy="8255"/>
                    </a:xfrm>
                    <a:prstGeom prst="rect">
                      <a:avLst/>
                    </a:prstGeom>
                    <a:noFill/>
                  </pic:spPr>
                </pic:pic>
              </a:graphicData>
            </a:graphic>
          </wp:anchor>
        </w:drawing>
        <w:drawing>
          <wp:anchor simplePos="0" relativeHeight="251657728" behindDoc="1" locked="0" layoutInCell="0" allowOverlap="1">
            <wp:simplePos x="0" y="0"/>
            <wp:positionH relativeFrom="column">
              <wp:posOffset>4899025</wp:posOffset>
            </wp:positionH>
            <wp:positionV relativeFrom="paragraph">
              <wp:posOffset>-1845310</wp:posOffset>
            </wp:positionV>
            <wp:extent cx="501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5433060</wp:posOffset>
            </wp:positionH>
            <wp:positionV relativeFrom="paragraph">
              <wp:posOffset>-1845310</wp:posOffset>
            </wp:positionV>
            <wp:extent cx="501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5749925</wp:posOffset>
            </wp:positionH>
            <wp:positionV relativeFrom="paragraph">
              <wp:posOffset>-1845310</wp:posOffset>
            </wp:positionV>
            <wp:extent cx="5759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945" cy="8255"/>
                    </a:xfrm>
                    <a:prstGeom prst="rect">
                      <a:avLst/>
                    </a:prstGeom>
                    <a:noFill/>
                  </pic:spPr>
                </pic:pic>
              </a:graphicData>
            </a:graphic>
          </wp:anchor>
        </w:drawing>
      </w:r>
    </w:p>
    <w:p>
      <w:pPr>
        <w:spacing w:after="0" w:line="34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10000"/>
          </w:cols>
          <w:pgMar w:left="720" w:top="90" w:right="1179" w:bottom="1440" w:gutter="0" w:footer="0" w:header="0"/>
        </w:sectPr>
      </w:pPr>
    </w:p>
    <w:bookmarkStart w:id="17" w:name="page18"/>
    <w:bookmarkEnd w:id="17"/>
    <w:p>
      <w:pPr>
        <w:spacing w:after="0"/>
        <w:rPr>
          <w:sz w:val="20"/>
          <w:szCs w:val="20"/>
          <w:color w:val="auto"/>
        </w:rPr>
      </w:pPr>
      <w:r>
        <w:rPr>
          <w:rFonts w:ascii="Arial" w:cs="Arial" w:eastAsia="Arial" w:hAnsi="Arial"/>
          <w:sz w:val="11"/>
          <w:szCs w:val="11"/>
          <w:color w:val="003366"/>
        </w:rPr>
        <w:t>TABLE OF CONTENTS</w:t>
      </w:r>
    </w:p>
    <w:p>
      <w:pPr>
        <w:sectPr>
          <w:pgSz w:w="11900" w:h="16838" w:orient="portrait"/>
          <w:cols w:equalWidth="0" w:num="1">
            <w:col w:w="10000"/>
          </w:cols>
          <w:pgMar w:left="720" w:top="90"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w:t>
      </w:r>
    </w:p>
    <w:p>
      <w:pPr>
        <w:spacing w:after="0" w:line="200" w:lineRule="exact"/>
        <w:rPr>
          <w:sz w:val="20"/>
          <w:szCs w:val="20"/>
          <w:color w:val="auto"/>
        </w:rPr>
      </w:pPr>
    </w:p>
    <w:p>
      <w:pPr>
        <w:spacing w:after="0" w:line="37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80"/>
        <w:spacing w:after="0"/>
        <w:rPr>
          <w:sz w:val="20"/>
          <w:szCs w:val="20"/>
          <w:color w:val="auto"/>
        </w:rPr>
      </w:pPr>
      <w:r>
        <w:rPr>
          <w:rFonts w:ascii="Arial" w:cs="Arial" w:eastAsia="Arial" w:hAnsi="Arial"/>
          <w:sz w:val="12"/>
          <w:szCs w:val="12"/>
          <w:b w:val="1"/>
          <w:bCs w:val="1"/>
          <w:color w:val="auto"/>
        </w:rPr>
        <w:t>Name of Beneficial Owner</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Patrick P. Gelsinger</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Anat Heller</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Gavriel Hayon</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Shai Shalev-Shwartz</w:t>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Nimrod Nehushtan</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Eyal Desheh</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Jon M. Huntsman Jr</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Claire McCaskill</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Christine Pambianchi</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Frank D. Yeary</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Saf Yeboah-Amankwah</w:t>
      </w:r>
    </w:p>
    <w:p>
      <w:pPr>
        <w:spacing w:after="0" w:line="76" w:lineRule="exact"/>
        <w:rPr>
          <w:sz w:val="20"/>
          <w:szCs w:val="20"/>
          <w:color w:val="auto"/>
        </w:rPr>
      </w:pPr>
    </w:p>
    <w:p>
      <w:pPr>
        <w:ind w:left="620" w:hanging="139"/>
        <w:spacing w:after="0" w:line="258" w:lineRule="auto"/>
        <w:rPr>
          <w:sz w:val="20"/>
          <w:szCs w:val="20"/>
          <w:color w:val="auto"/>
        </w:rPr>
      </w:pPr>
      <w:r>
        <w:rPr>
          <w:rFonts w:ascii="Arial" w:cs="Arial" w:eastAsia="Arial" w:hAnsi="Arial"/>
          <w:sz w:val="14"/>
          <w:szCs w:val="14"/>
          <w:color w:val="auto"/>
        </w:rPr>
        <w:t>All executive officers and directors as a group (12 persons)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16"/>
          </w:tcPr>
          <w:p>
            <w:pPr>
              <w:ind w:left="160"/>
              <w:spacing w:after="0"/>
              <w:rPr>
                <w:sz w:val="20"/>
                <w:szCs w:val="20"/>
                <w:color w:val="auto"/>
              </w:rPr>
            </w:pPr>
            <w:r>
              <w:rPr>
                <w:rFonts w:ascii="Arial" w:cs="Arial" w:eastAsia="Arial" w:hAnsi="Arial"/>
                <w:sz w:val="14"/>
                <w:szCs w:val="14"/>
                <w:b w:val="1"/>
                <w:bCs w:val="1"/>
                <w:color w:val="auto"/>
                <w:w w:val="87"/>
              </w:rPr>
              <w:t>Shares of Common Stock Beneficially Owned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13"/>
          </w:tcPr>
          <w:p>
            <w:pPr>
              <w:jc w:val="center"/>
              <w:ind w:right="70"/>
              <w:spacing w:after="0"/>
              <w:rPr>
                <w:sz w:val="20"/>
                <w:szCs w:val="20"/>
                <w:color w:val="auto"/>
              </w:rPr>
            </w:pPr>
            <w:r>
              <w:rPr>
                <w:rFonts w:ascii="Arial" w:cs="Arial" w:eastAsia="Arial" w:hAnsi="Arial"/>
                <w:sz w:val="14"/>
                <w:szCs w:val="14"/>
                <w:b w:val="1"/>
                <w:bCs w:val="1"/>
                <w:color w:val="auto"/>
                <w:w w:val="85"/>
              </w:rPr>
              <w:t>Shares of Common Stock Beneficially Owned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0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8"/>
          </w:tcPr>
          <w:p>
            <w:pPr>
              <w:jc w:val="right"/>
              <w:spacing w:after="0"/>
              <w:rPr>
                <w:sz w:val="20"/>
                <w:szCs w:val="20"/>
                <w:color w:val="auto"/>
              </w:rPr>
            </w:pPr>
            <w:r>
              <w:rPr>
                <w:rFonts w:ascii="Arial" w:cs="Arial" w:eastAsia="Arial" w:hAnsi="Arial"/>
                <w:sz w:val="14"/>
                <w:szCs w:val="14"/>
                <w:b w:val="1"/>
                <w:bCs w:val="1"/>
                <w:color w:val="auto"/>
                <w:w w:val="86"/>
              </w:rPr>
              <w:t>Before this Offering</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ind w:left="720"/>
              <w:spacing w:after="0"/>
              <w:rPr>
                <w:sz w:val="20"/>
                <w:szCs w:val="20"/>
                <w:color w:val="auto"/>
              </w:rPr>
            </w:pPr>
            <w:r>
              <w:rPr>
                <w:rFonts w:ascii="Arial" w:cs="Arial" w:eastAsia="Arial" w:hAnsi="Arial"/>
                <w:sz w:val="14"/>
                <w:szCs w:val="14"/>
                <w:b w:val="1"/>
                <w:bCs w:val="1"/>
                <w:color w:val="auto"/>
              </w:rPr>
              <w:t>​</w:t>
            </w:r>
          </w:p>
        </w:tc>
        <w:tc>
          <w:tcPr>
            <w:tcW w:w="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6"/>
          </w:tcPr>
          <w:p>
            <w:pPr>
              <w:jc w:val="center"/>
              <w:ind w:right="251"/>
              <w:spacing w:after="0"/>
              <w:rPr>
                <w:sz w:val="20"/>
                <w:szCs w:val="20"/>
                <w:color w:val="auto"/>
              </w:rPr>
            </w:pPr>
            <w:r>
              <w:rPr>
                <w:rFonts w:ascii="Arial" w:cs="Arial" w:eastAsia="Arial" w:hAnsi="Arial"/>
                <w:sz w:val="14"/>
                <w:szCs w:val="14"/>
                <w:b w:val="1"/>
                <w:bCs w:val="1"/>
                <w:color w:val="auto"/>
                <w:w w:val="88"/>
              </w:rPr>
              <w:t>After this Offering</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 of Total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 of 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87"/>
              </w:rPr>
              <w:t>Voting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Voting</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0"/>
              </w:rPr>
              <w:t>Power Pre-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5"/>
              </w:rPr>
              <w:t>PowerPost-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4"/>
          </w:tcPr>
          <w:p>
            <w:pPr>
              <w:jc w:val="right"/>
              <w:spacing w:after="0"/>
              <w:rPr>
                <w:sz w:val="20"/>
                <w:szCs w:val="20"/>
                <w:color w:val="auto"/>
              </w:rPr>
            </w:pPr>
            <w:r>
              <w:rPr>
                <w:rFonts w:ascii="Arial" w:cs="Arial" w:eastAsia="Arial" w:hAnsi="Arial"/>
                <w:sz w:val="14"/>
                <w:szCs w:val="14"/>
                <w:b w:val="1"/>
                <w:bCs w:val="1"/>
                <w:color w:val="auto"/>
              </w:rPr>
              <w:t>Class B</w:t>
            </w:r>
          </w:p>
        </w:tc>
        <w:tc>
          <w:tcPr>
            <w:tcW w:w="24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ind w:left="720"/>
              <w:spacing w:after="0"/>
              <w:rPr>
                <w:sz w:val="20"/>
                <w:szCs w:val="20"/>
                <w:color w:val="auto"/>
              </w:rPr>
            </w:pPr>
            <w:r>
              <w:rPr>
                <w:rFonts w:ascii="Arial" w:cs="Arial" w:eastAsia="Arial" w:hAnsi="Arial"/>
                <w:sz w:val="14"/>
                <w:szCs w:val="14"/>
                <w:b w:val="1"/>
                <w:bCs w:val="1"/>
                <w:color w:val="auto"/>
              </w:rPr>
              <w:t>​</w:t>
            </w:r>
          </w:p>
        </w:tc>
        <w:tc>
          <w:tcPr>
            <w:tcW w:w="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3"/>
          </w:tcPr>
          <w:p>
            <w:pPr>
              <w:ind w:left="120"/>
              <w:spacing w:after="0"/>
              <w:rPr>
                <w:sz w:val="20"/>
                <w:szCs w:val="20"/>
                <w:color w:val="auto"/>
              </w:rPr>
            </w:pPr>
            <w:r>
              <w:rPr>
                <w:rFonts w:ascii="Arial" w:cs="Arial" w:eastAsia="Arial" w:hAnsi="Arial"/>
                <w:sz w:val="14"/>
                <w:szCs w:val="14"/>
                <w:b w:val="1"/>
                <w:bCs w:val="1"/>
                <w:color w:val="auto"/>
              </w:rPr>
              <w:t>Class B</w:t>
            </w: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Offering</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83"/>
              </w:rPr>
              <w:t>Shares of Class</w:t>
            </w: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150"/>
              <w:spacing w:after="0" w:line="158" w:lineRule="exact"/>
              <w:rPr>
                <w:sz w:val="20"/>
                <w:szCs w:val="20"/>
                <w:color w:val="auto"/>
              </w:rPr>
            </w:pPr>
            <w:r>
              <w:rPr>
                <w:rFonts w:ascii="Arial" w:cs="Arial" w:eastAsia="Arial" w:hAnsi="Arial"/>
                <w:sz w:val="14"/>
                <w:szCs w:val="14"/>
                <w:b w:val="1"/>
                <w:bCs w:val="1"/>
                <w:color w:val="auto"/>
                <w:w w:val="91"/>
              </w:rPr>
              <w:t>Common A</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150"/>
              <w:spacing w:after="0" w:line="158" w:lineRule="exact"/>
              <w:rPr>
                <w:sz w:val="20"/>
                <w:szCs w:val="20"/>
                <w:color w:val="auto"/>
              </w:rPr>
            </w:pPr>
            <w:r>
              <w:rPr>
                <w:rFonts w:ascii="Arial" w:cs="Arial" w:eastAsia="Arial" w:hAnsi="Arial"/>
                <w:sz w:val="14"/>
                <w:szCs w:val="14"/>
                <w:b w:val="1"/>
                <w:bCs w:val="1"/>
                <w:color w:val="auto"/>
                <w:w w:val="85"/>
              </w:rPr>
              <w:t>Common</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4"/>
          </w:tcPr>
          <w:p>
            <w:pPr>
              <w:jc w:val="right"/>
              <w:ind w:right="300"/>
              <w:spacing w:after="0" w:line="158"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0"/>
              <w:spacing w:after="0" w:line="158" w:lineRule="exact"/>
              <w:rPr>
                <w:sz w:val="20"/>
                <w:szCs w:val="20"/>
                <w:color w:val="auto"/>
              </w:rPr>
            </w:pPr>
            <w:r>
              <w:rPr>
                <w:rFonts w:ascii="Arial" w:cs="Arial" w:eastAsia="Arial" w:hAnsi="Arial"/>
                <w:sz w:val="14"/>
                <w:szCs w:val="14"/>
                <w:b w:val="1"/>
                <w:bCs w:val="1"/>
                <w:color w:val="auto"/>
                <w:w w:val="87"/>
              </w:rPr>
              <w:t>Stock Offered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c>
          <w:tcPr>
            <w:tcW w:w="760" w:type="dxa"/>
            <w:vAlign w:val="bottom"/>
          </w:tcPr>
          <w:p>
            <w:pPr>
              <w:jc w:val="right"/>
              <w:ind w:right="210"/>
              <w:spacing w:after="0"/>
              <w:rPr>
                <w:sz w:val="20"/>
                <w:szCs w:val="20"/>
                <w:color w:val="auto"/>
              </w:rPr>
            </w:pPr>
            <w:r>
              <w:rPr>
                <w:rFonts w:ascii="Arial" w:cs="Arial" w:eastAsia="Arial" w:hAnsi="Arial"/>
                <w:sz w:val="14"/>
                <w:szCs w:val="14"/>
                <w:b w:val="1"/>
                <w:bCs w:val="1"/>
                <w:color w:val="auto"/>
                <w:w w:val="98"/>
              </w:rPr>
              <w:t>Shares</w:t>
            </w:r>
          </w:p>
        </w:tc>
        <w:tc>
          <w:tcPr>
            <w:tcW w:w="1080" w:type="dxa"/>
            <w:vAlign w:val="bottom"/>
            <w:gridSpan w:val="7"/>
          </w:tcPr>
          <w:p>
            <w:pPr>
              <w:ind w:left="20"/>
              <w:spacing w:after="0" w:line="220"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Class </w:t>
            </w: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Shares</w:t>
            </w:r>
          </w:p>
        </w:tc>
        <w:tc>
          <w:tcPr>
            <w:tcW w:w="560" w:type="dxa"/>
            <w:vAlign w:val="bottom"/>
            <w:gridSpan w:val="6"/>
          </w:tcPr>
          <w:p>
            <w:pPr>
              <w:ind w:left="20"/>
              <w:spacing w:after="0" w:line="220"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Class </w:t>
            </w:r>
            <w:r>
              <w:rPr>
                <w:rFonts w:ascii="Arial" w:cs="Arial" w:eastAsia="Arial" w:hAnsi="Arial"/>
                <w:sz w:val="25"/>
                <w:szCs w:val="25"/>
                <w:b w:val="1"/>
                <w:bCs w:val="1"/>
                <w:color w:val="auto"/>
                <w:vertAlign w:val="subscript"/>
              </w:rPr>
              <w:t>​​</w:t>
            </w:r>
          </w:p>
        </w:tc>
        <w:tc>
          <w:tcPr>
            <w:tcW w:w="28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9"/>
                <w:szCs w:val="19"/>
                <w:color w:val="auto"/>
              </w:rPr>
            </w:pPr>
          </w:p>
        </w:tc>
        <w:tc>
          <w:tcPr>
            <w:tcW w:w="900" w:type="dxa"/>
            <w:vAlign w:val="bottom"/>
          </w:tcPr>
          <w:p>
            <w:pPr>
              <w:jc w:val="center"/>
              <w:ind w:right="150"/>
              <w:spacing w:after="0"/>
              <w:rPr>
                <w:sz w:val="20"/>
                <w:szCs w:val="20"/>
                <w:color w:val="auto"/>
              </w:rPr>
            </w:pPr>
            <w:r>
              <w:rPr>
                <w:rFonts w:ascii="Arial" w:cs="Arial" w:eastAsia="Arial" w:hAnsi="Arial"/>
                <w:sz w:val="14"/>
                <w:szCs w:val="14"/>
                <w:b w:val="1"/>
                <w:bCs w:val="1"/>
                <w:color w:val="auto"/>
                <w:w w:val="92"/>
              </w:rPr>
              <w:t>Hereby</w:t>
            </w:r>
          </w:p>
        </w:tc>
        <w:tc>
          <w:tcPr>
            <w:tcW w:w="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Arial" w:cs="Arial" w:eastAsia="Arial" w:hAnsi="Arial"/>
                <w:sz w:val="14"/>
                <w:szCs w:val="14"/>
                <w:b w:val="1"/>
                <w:bCs w:val="1"/>
                <w:color w:val="auto"/>
                <w:w w:val="98"/>
              </w:rPr>
              <w:t>Shares</w:t>
            </w:r>
          </w:p>
        </w:tc>
        <w:tc>
          <w:tcPr>
            <w:tcW w:w="1600" w:type="dxa"/>
            <w:vAlign w:val="bottom"/>
            <w:gridSpan w:val="8"/>
          </w:tcPr>
          <w:p>
            <w:pPr>
              <w:ind w:left="20"/>
              <w:spacing w:after="0" w:line="220"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Class </w:t>
            </w: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Shares </w:t>
            </w: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Class</w:t>
            </w: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60" w:type="dxa"/>
            <w:vAlign w:val="bottom"/>
            <w:gridSpan w:val="3"/>
          </w:tcPr>
          <w:p>
            <w:pPr>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120,000</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580" w:type="dxa"/>
            <w:vAlign w:val="bottom"/>
            <w:gridSpan w:val="4"/>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20" w:type="dxa"/>
            <w:vAlign w:val="bottom"/>
            <w:gridSpan w:val="3"/>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120,000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1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480" w:type="dxa"/>
            <w:vAlign w:val="bottom"/>
            <w:gridSpan w:val="2"/>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360" w:type="dxa"/>
            <w:vAlign w:val="bottom"/>
          </w:tcPr>
          <w:p>
            <w:pPr>
              <w:jc w:val="center"/>
              <w:spacing w:after="0" w:line="250" w:lineRule="exact"/>
              <w:rPr>
                <w:sz w:val="20"/>
                <w:szCs w:val="20"/>
                <w:color w:val="auto"/>
              </w:rPr>
            </w:pPr>
            <w:r>
              <w:rPr>
                <w:rFonts w:ascii="Arial" w:cs="Arial" w:eastAsia="Arial" w:hAnsi="Arial"/>
                <w:sz w:val="14"/>
                <w:szCs w:val="14"/>
                <w:color w:val="auto"/>
                <w:w w:val="88"/>
              </w:rPr>
              <w:t xml:space="preserve">​ </w:t>
            </w:r>
            <w:r>
              <w:rPr>
                <w:rFonts w:ascii="Arial" w:cs="Arial" w:eastAsia="Arial" w:hAnsi="Arial"/>
                <w:sz w:val="28"/>
                <w:szCs w:val="28"/>
                <w:color w:val="auto"/>
                <w:w w:val="88"/>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60" w:type="dxa"/>
            <w:vAlign w:val="bottom"/>
            <w:gridSpan w:val="3"/>
          </w:tcPr>
          <w:p>
            <w:pPr>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61,169</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580" w:type="dxa"/>
            <w:vAlign w:val="bottom"/>
            <w:gridSpan w:val="4"/>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20" w:type="dxa"/>
            <w:vAlign w:val="bottom"/>
            <w:gridSpan w:val="3"/>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61,169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p>
        </w:tc>
        <w:tc>
          <w:tcPr>
            <w:tcW w:w="48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360" w:type="dxa"/>
            <w:vAlign w:val="bottom"/>
          </w:tcPr>
          <w:p>
            <w:pPr>
              <w:jc w:val="center"/>
              <w:spacing w:after="0" w:line="236" w:lineRule="exact"/>
              <w:rPr>
                <w:sz w:val="20"/>
                <w:szCs w:val="20"/>
                <w:color w:val="auto"/>
              </w:rPr>
            </w:pPr>
            <w:r>
              <w:rPr>
                <w:rFonts w:ascii="Arial" w:cs="Arial" w:eastAsia="Arial" w:hAnsi="Arial"/>
                <w:sz w:val="14"/>
                <w:szCs w:val="14"/>
                <w:color w:val="auto"/>
                <w:w w:val="91"/>
              </w:rPr>
              <w:t xml:space="preserve">​ </w:t>
            </w:r>
            <w:r>
              <w:rPr>
                <w:rFonts w:ascii="Arial" w:cs="Arial" w:eastAsia="Arial" w:hAnsi="Arial"/>
                <w:sz w:val="27"/>
                <w:szCs w:val="27"/>
                <w:color w:val="auto"/>
                <w:w w:val="91"/>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60" w:type="dxa"/>
            <w:vAlign w:val="bottom"/>
            <w:gridSpan w:val="3"/>
          </w:tcPr>
          <w:p>
            <w:pPr>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43,515</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580" w:type="dxa"/>
            <w:vAlign w:val="bottom"/>
            <w:gridSpan w:val="4"/>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20" w:type="dxa"/>
            <w:vAlign w:val="bottom"/>
            <w:gridSpan w:val="3"/>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43,515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p>
        </w:tc>
        <w:tc>
          <w:tcPr>
            <w:tcW w:w="48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360" w:type="dxa"/>
            <w:vAlign w:val="bottom"/>
          </w:tcPr>
          <w:p>
            <w:pPr>
              <w:jc w:val="center"/>
              <w:spacing w:after="0" w:line="236" w:lineRule="exact"/>
              <w:rPr>
                <w:sz w:val="20"/>
                <w:szCs w:val="20"/>
                <w:color w:val="auto"/>
              </w:rPr>
            </w:pPr>
            <w:r>
              <w:rPr>
                <w:rFonts w:ascii="Arial" w:cs="Arial" w:eastAsia="Arial" w:hAnsi="Arial"/>
                <w:sz w:val="14"/>
                <w:szCs w:val="14"/>
                <w:color w:val="auto"/>
                <w:w w:val="91"/>
              </w:rPr>
              <w:t xml:space="preserve">​ </w:t>
            </w:r>
            <w:r>
              <w:rPr>
                <w:rFonts w:ascii="Arial" w:cs="Arial" w:eastAsia="Arial" w:hAnsi="Arial"/>
                <w:sz w:val="27"/>
                <w:szCs w:val="27"/>
                <w:color w:val="auto"/>
                <w:w w:val="91"/>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60" w:type="dxa"/>
            <w:vAlign w:val="bottom"/>
            <w:gridSpan w:val="3"/>
          </w:tcPr>
          <w:p>
            <w:pPr>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190,476</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580" w:type="dxa"/>
            <w:vAlign w:val="bottom"/>
            <w:gridSpan w:val="4"/>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20" w:type="dxa"/>
            <w:vAlign w:val="bottom"/>
            <w:gridSpan w:val="3"/>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190,476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1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480" w:type="dxa"/>
            <w:vAlign w:val="bottom"/>
            <w:gridSpan w:val="2"/>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360" w:type="dxa"/>
            <w:vAlign w:val="bottom"/>
          </w:tcPr>
          <w:p>
            <w:pPr>
              <w:jc w:val="center"/>
              <w:spacing w:after="0" w:line="250" w:lineRule="exact"/>
              <w:rPr>
                <w:sz w:val="20"/>
                <w:szCs w:val="20"/>
                <w:color w:val="auto"/>
              </w:rPr>
            </w:pPr>
            <w:r>
              <w:rPr>
                <w:rFonts w:ascii="Arial" w:cs="Arial" w:eastAsia="Arial" w:hAnsi="Arial"/>
                <w:sz w:val="14"/>
                <w:szCs w:val="14"/>
                <w:color w:val="auto"/>
                <w:w w:val="88"/>
              </w:rPr>
              <w:t xml:space="preserve">​ </w:t>
            </w:r>
            <w:r>
              <w:rPr>
                <w:rFonts w:ascii="Arial" w:cs="Arial" w:eastAsia="Arial" w:hAnsi="Arial"/>
                <w:sz w:val="28"/>
                <w:szCs w:val="28"/>
                <w:color w:val="auto"/>
                <w:w w:val="88"/>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6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30,878</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20" w:type="dxa"/>
            <w:vAlign w:val="bottom"/>
            <w:gridSpan w:val="3"/>
          </w:tcPr>
          <w:p>
            <w:pPr>
              <w:jc w:val="right"/>
              <w:ind w:righ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80" w:type="dxa"/>
            <w:vAlign w:val="bottom"/>
            <w:gridSpan w:val="4"/>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ind w:left="720"/>
              <w:spacing w:after="0"/>
              <w:rPr>
                <w:sz w:val="20"/>
                <w:szCs w:val="20"/>
                <w:color w:val="auto"/>
              </w:rPr>
            </w:pPr>
            <w:r>
              <w:rPr>
                <w:rFonts w:ascii="Arial" w:cs="Arial" w:eastAsia="Arial" w:hAnsi="Arial"/>
                <w:sz w:val="14"/>
                <w:szCs w:val="14"/>
                <w:color w:val="auto"/>
              </w:rPr>
              <w:t>​</w:t>
            </w:r>
          </w:p>
        </w:tc>
        <w:tc>
          <w:tcPr>
            <w:tcW w:w="220" w:type="dxa"/>
            <w:vAlign w:val="bottom"/>
            <w:gridSpan w:val="3"/>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30,878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3"/>
          </w:tcPr>
          <w:p>
            <w:pPr>
              <w:jc w:val="right"/>
              <w:ind w:righ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48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360" w:type="dxa"/>
            <w:vAlign w:val="bottom"/>
          </w:tcPr>
          <w:p>
            <w:pPr>
              <w:jc w:val="center"/>
              <w:spacing w:after="0" w:line="236" w:lineRule="exact"/>
              <w:rPr>
                <w:sz w:val="20"/>
                <w:szCs w:val="20"/>
                <w:color w:val="auto"/>
              </w:rPr>
            </w:pPr>
            <w:r>
              <w:rPr>
                <w:rFonts w:ascii="Arial" w:cs="Arial" w:eastAsia="Arial" w:hAnsi="Arial"/>
                <w:sz w:val="14"/>
                <w:szCs w:val="14"/>
                <w:b w:val="1"/>
                <w:bCs w:val="1"/>
                <w:color w:val="auto"/>
                <w:w w:val="91"/>
              </w:rPr>
              <w:t xml:space="preserve">​ </w:t>
            </w:r>
            <w:r>
              <w:rPr>
                <w:rFonts w:ascii="Arial" w:cs="Arial" w:eastAsia="Arial" w:hAnsi="Arial"/>
                <w:sz w:val="27"/>
                <w:szCs w:val="27"/>
                <w:color w:val="auto"/>
                <w:w w:val="91"/>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6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10,000</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20" w:type="dxa"/>
            <w:vAlign w:val="bottom"/>
            <w:gridSpan w:val="3"/>
          </w:tcPr>
          <w:p>
            <w:pPr>
              <w:jc w:val="right"/>
              <w:ind w:righ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80" w:type="dxa"/>
            <w:vAlign w:val="bottom"/>
            <w:gridSpan w:val="4"/>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20" w:type="dxa"/>
            <w:vAlign w:val="bottom"/>
            <w:gridSpan w:val="3"/>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3"/>
          </w:tcPr>
          <w:p>
            <w:pPr>
              <w:jc w:val="right"/>
              <w:ind w:righ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48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360" w:type="dxa"/>
            <w:vAlign w:val="bottom"/>
          </w:tcPr>
          <w:p>
            <w:pPr>
              <w:jc w:val="center"/>
              <w:spacing w:after="0" w:line="236" w:lineRule="exact"/>
              <w:rPr>
                <w:sz w:val="20"/>
                <w:szCs w:val="20"/>
                <w:color w:val="auto"/>
              </w:rPr>
            </w:pPr>
            <w:r>
              <w:rPr>
                <w:rFonts w:ascii="Arial" w:cs="Arial" w:eastAsia="Arial" w:hAnsi="Arial"/>
                <w:sz w:val="14"/>
                <w:szCs w:val="14"/>
                <w:b w:val="1"/>
                <w:bCs w:val="1"/>
                <w:color w:val="auto"/>
                <w:w w:val="91"/>
              </w:rPr>
              <w:t xml:space="preserve">​ </w:t>
            </w:r>
            <w:r>
              <w:rPr>
                <w:rFonts w:ascii="Arial" w:cs="Arial" w:eastAsia="Arial" w:hAnsi="Arial"/>
                <w:sz w:val="27"/>
                <w:szCs w:val="27"/>
                <w:color w:val="auto"/>
                <w:w w:val="91"/>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60" w:type="dxa"/>
            <w:vAlign w:val="bottom"/>
            <w:gridSpan w:val="3"/>
          </w:tcPr>
          <w:p>
            <w:pPr>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580" w:type="dxa"/>
            <w:vAlign w:val="bottom"/>
            <w:gridSpan w:val="4"/>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20" w:type="dxa"/>
            <w:vAlign w:val="bottom"/>
            <w:gridSpan w:val="3"/>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p>
        </w:tc>
        <w:tc>
          <w:tcPr>
            <w:tcW w:w="48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360" w:type="dxa"/>
            <w:vAlign w:val="bottom"/>
          </w:tcPr>
          <w:p>
            <w:pPr>
              <w:jc w:val="center"/>
              <w:spacing w:after="0" w:line="236" w:lineRule="exact"/>
              <w:rPr>
                <w:sz w:val="20"/>
                <w:szCs w:val="20"/>
                <w:color w:val="auto"/>
              </w:rPr>
            </w:pPr>
            <w:r>
              <w:rPr>
                <w:rFonts w:ascii="Arial" w:cs="Arial" w:eastAsia="Arial" w:hAnsi="Arial"/>
                <w:sz w:val="14"/>
                <w:szCs w:val="14"/>
                <w:color w:val="auto"/>
                <w:w w:val="91"/>
              </w:rPr>
              <w:t xml:space="preserve">​ </w:t>
            </w:r>
            <w:r>
              <w:rPr>
                <w:rFonts w:ascii="Arial" w:cs="Arial" w:eastAsia="Arial" w:hAnsi="Arial"/>
                <w:sz w:val="27"/>
                <w:szCs w:val="27"/>
                <w:color w:val="auto"/>
                <w:w w:val="91"/>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60" w:type="dxa"/>
            <w:vAlign w:val="bottom"/>
            <w:gridSpan w:val="3"/>
          </w:tcPr>
          <w:p>
            <w:pPr>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41,000</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580" w:type="dxa"/>
            <w:vAlign w:val="bottom"/>
            <w:gridSpan w:val="4"/>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20" w:type="dxa"/>
            <w:vAlign w:val="bottom"/>
            <w:gridSpan w:val="3"/>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p>
        </w:tc>
        <w:tc>
          <w:tcPr>
            <w:tcW w:w="48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360" w:type="dxa"/>
            <w:vAlign w:val="bottom"/>
          </w:tcPr>
          <w:p>
            <w:pPr>
              <w:jc w:val="center"/>
              <w:spacing w:after="0" w:line="236" w:lineRule="exact"/>
              <w:rPr>
                <w:sz w:val="20"/>
                <w:szCs w:val="20"/>
                <w:color w:val="auto"/>
              </w:rPr>
            </w:pPr>
            <w:r>
              <w:rPr>
                <w:rFonts w:ascii="Arial" w:cs="Arial" w:eastAsia="Arial" w:hAnsi="Arial"/>
                <w:sz w:val="14"/>
                <w:szCs w:val="14"/>
                <w:color w:val="auto"/>
                <w:w w:val="91"/>
              </w:rPr>
              <w:t xml:space="preserve">​ </w:t>
            </w:r>
            <w:r>
              <w:rPr>
                <w:rFonts w:ascii="Arial" w:cs="Arial" w:eastAsia="Arial" w:hAnsi="Arial"/>
                <w:sz w:val="27"/>
                <w:szCs w:val="27"/>
                <w:color w:val="auto"/>
                <w:w w:val="91"/>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60" w:type="dxa"/>
            <w:vAlign w:val="bottom"/>
            <w:gridSpan w:val="3"/>
          </w:tcPr>
          <w:p>
            <w:pPr>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70,000</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580" w:type="dxa"/>
            <w:vAlign w:val="bottom"/>
            <w:gridSpan w:val="4"/>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20" w:type="dxa"/>
            <w:vAlign w:val="bottom"/>
            <w:gridSpan w:val="3"/>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70,000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p>
        </w:tc>
        <w:tc>
          <w:tcPr>
            <w:tcW w:w="48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360" w:type="dxa"/>
            <w:vAlign w:val="bottom"/>
          </w:tcPr>
          <w:p>
            <w:pPr>
              <w:jc w:val="center"/>
              <w:spacing w:after="0" w:line="236" w:lineRule="exact"/>
              <w:rPr>
                <w:sz w:val="20"/>
                <w:szCs w:val="20"/>
                <w:color w:val="auto"/>
              </w:rPr>
            </w:pPr>
            <w:r>
              <w:rPr>
                <w:rFonts w:ascii="Arial" w:cs="Arial" w:eastAsia="Arial" w:hAnsi="Arial"/>
                <w:sz w:val="14"/>
                <w:szCs w:val="14"/>
                <w:color w:val="auto"/>
                <w:w w:val="91"/>
              </w:rPr>
              <w:t xml:space="preserve">​ </w:t>
            </w:r>
            <w:r>
              <w:rPr>
                <w:rFonts w:ascii="Arial" w:cs="Arial" w:eastAsia="Arial" w:hAnsi="Arial"/>
                <w:sz w:val="27"/>
                <w:szCs w:val="27"/>
                <w:color w:val="auto"/>
                <w:w w:val="91"/>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60" w:type="dxa"/>
            <w:vAlign w:val="bottom"/>
            <w:gridSpan w:val="3"/>
          </w:tcPr>
          <w:p>
            <w:pPr>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27,500</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580" w:type="dxa"/>
            <w:vAlign w:val="bottom"/>
            <w:gridSpan w:val="4"/>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20" w:type="dxa"/>
            <w:vAlign w:val="bottom"/>
            <w:gridSpan w:val="3"/>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27,500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 ​</w:t>
            </w:r>
          </w:p>
        </w:tc>
        <w:tc>
          <w:tcPr>
            <w:tcW w:w="48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360" w:type="dxa"/>
            <w:vAlign w:val="bottom"/>
          </w:tcPr>
          <w:p>
            <w:pPr>
              <w:jc w:val="center"/>
              <w:spacing w:after="0" w:line="236" w:lineRule="exact"/>
              <w:rPr>
                <w:sz w:val="20"/>
                <w:szCs w:val="20"/>
                <w:color w:val="auto"/>
              </w:rPr>
            </w:pPr>
            <w:r>
              <w:rPr>
                <w:rFonts w:ascii="Arial" w:cs="Arial" w:eastAsia="Arial" w:hAnsi="Arial"/>
                <w:sz w:val="14"/>
                <w:szCs w:val="14"/>
                <w:color w:val="auto"/>
                <w:w w:val="91"/>
              </w:rPr>
              <w:t xml:space="preserve">​ </w:t>
            </w:r>
            <w:r>
              <w:rPr>
                <w:rFonts w:ascii="Arial" w:cs="Arial" w:eastAsia="Arial" w:hAnsi="Arial"/>
                <w:sz w:val="27"/>
                <w:szCs w:val="27"/>
                <w:color w:val="auto"/>
                <w:w w:val="91"/>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66"/>
        </w:trPr>
        <w:tc>
          <w:tcPr>
            <w:tcW w:w="260" w:type="dxa"/>
            <w:vAlign w:val="bottom"/>
            <w:gridSpan w:val="3"/>
          </w:tcPr>
          <w:p>
            <w:pPr>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47,519</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3"/>
          </w:tcPr>
          <w:p>
            <w:pPr>
              <w:jc w:val="right"/>
              <w:ind w:right="12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580" w:type="dxa"/>
            <w:vAlign w:val="bottom"/>
            <w:gridSpan w:val="4"/>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220" w:type="dxa"/>
            <w:vAlign w:val="bottom"/>
            <w:gridSpan w:val="3"/>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47,519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12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480" w:type="dxa"/>
            <w:vAlign w:val="bottom"/>
            <w:gridSpan w:val="2"/>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360" w:type="dxa"/>
            <w:vAlign w:val="bottom"/>
          </w:tcPr>
          <w:p>
            <w:pPr>
              <w:jc w:val="center"/>
              <w:spacing w:after="0"/>
              <w:rPr>
                <w:sz w:val="20"/>
                <w:szCs w:val="20"/>
                <w:color w:val="auto"/>
              </w:rPr>
            </w:pPr>
            <w:r>
              <w:rPr>
                <w:rFonts w:ascii="Arial" w:cs="Arial" w:eastAsia="Arial" w:hAnsi="Arial"/>
                <w:sz w:val="14"/>
                <w:szCs w:val="14"/>
                <w:color w:val="auto"/>
                <w:w w:val="88"/>
              </w:rPr>
              <w:t xml:space="preserve">​ </w:t>
            </w:r>
            <w:r>
              <w:rPr>
                <w:rFonts w:ascii="Arial" w:cs="Arial" w:eastAsia="Arial" w:hAnsi="Arial"/>
                <w:sz w:val="28"/>
                <w:szCs w:val="28"/>
                <w:color w:val="auto"/>
                <w:w w:val="88"/>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36"/>
        </w:trPr>
        <w:tc>
          <w:tcPr>
            <w:tcW w:w="1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1,388,724</w:t>
            </w:r>
          </w:p>
        </w:tc>
        <w:tc>
          <w:tcPr>
            <w:tcW w:w="1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120"/>
              <w:spacing w:after="0"/>
              <w:rPr>
                <w:sz w:val="20"/>
                <w:szCs w:val="20"/>
                <w:color w:val="auto"/>
              </w:rPr>
            </w:pPr>
            <w:r>
              <w:rPr>
                <w:rFonts w:ascii="Arial" w:cs="Arial" w:eastAsia="Arial" w:hAnsi="Arial"/>
                <w:sz w:val="14"/>
                <w:szCs w:val="14"/>
                <w:color w:val="auto"/>
              </w:rPr>
              <w:t xml:space="preserve">2.5% </w:t>
            </w:r>
            <w:r>
              <w:rPr>
                <w:rFonts w:ascii="Arial" w:cs="Arial" w:eastAsia="Arial" w:hAnsi="Arial"/>
                <w:sz w:val="28"/>
                <w:szCs w:val="28"/>
                <w:color w:val="auto"/>
                <w:vertAlign w:val="subscript"/>
              </w:rPr>
              <w:t>​</w:t>
            </w:r>
          </w:p>
        </w:tc>
        <w:tc>
          <w:tcPr>
            <w:tcW w:w="360" w:type="dxa"/>
            <w:vAlign w:val="bottom"/>
          </w:tcPr>
          <w:p>
            <w:pPr>
              <w:ind w:left="18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ind w:left="580"/>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1,388,724</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120"/>
              <w:spacing w:after="0"/>
              <w:rPr>
                <w:sz w:val="20"/>
                <w:szCs w:val="20"/>
                <w:color w:val="auto"/>
              </w:rPr>
            </w:pPr>
            <w:r>
              <w:rPr>
                <w:rFonts w:ascii="Arial" w:cs="Arial" w:eastAsia="Arial" w:hAnsi="Arial"/>
                <w:sz w:val="14"/>
                <w:szCs w:val="14"/>
                <w:color w:val="auto"/>
              </w:rPr>
              <w:t xml:space="preserve">1.5% </w:t>
            </w:r>
            <w:r>
              <w:rPr>
                <w:rFonts w:ascii="Arial" w:cs="Arial" w:eastAsia="Arial" w:hAnsi="Arial"/>
                <w:sz w:val="28"/>
                <w:szCs w:val="28"/>
                <w:color w:val="auto"/>
                <w:vertAlign w:val="subscript"/>
              </w:rPr>
              <w:t>​</w:t>
            </w:r>
          </w:p>
        </w:tc>
        <w:tc>
          <w:tcPr>
            <w:tcW w:w="360" w:type="dxa"/>
            <w:vAlign w:val="bottom"/>
          </w:tcPr>
          <w:p>
            <w:pPr>
              <w:ind w:left="1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center"/>
              <w:spacing w:after="0"/>
              <w:rPr>
                <w:sz w:val="20"/>
                <w:szCs w:val="20"/>
                <w:color w:val="auto"/>
              </w:rPr>
            </w:pPr>
            <w:r>
              <w:rPr>
                <w:rFonts w:ascii="Arial" w:cs="Arial" w:eastAsia="Arial" w:hAnsi="Arial"/>
                <w:sz w:val="14"/>
                <w:szCs w:val="14"/>
                <w:color w:val="auto"/>
                <w:w w:val="88"/>
              </w:rPr>
              <w:t xml:space="preserve">​ </w:t>
            </w:r>
            <w:r>
              <w:rPr>
                <w:rFonts w:ascii="Arial" w:cs="Arial" w:eastAsia="Arial" w:hAnsi="Arial"/>
                <w:sz w:val="28"/>
                <w:szCs w:val="28"/>
                <w:color w:val="auto"/>
                <w:w w:val="88"/>
                <w:vertAlign w:val="superscript"/>
              </w:rPr>
              <w:t>—</w:t>
            </w: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-1782445</wp:posOffset>
            </wp:positionV>
            <wp:extent cx="6017260" cy="150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17260" cy="150495"/>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-1481455</wp:posOffset>
            </wp:positionV>
            <wp:extent cx="6017260" cy="150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17260" cy="150495"/>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-1181100</wp:posOffset>
            </wp:positionV>
            <wp:extent cx="6017260" cy="150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17260" cy="150495"/>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-880745</wp:posOffset>
            </wp:positionV>
            <wp:extent cx="6017260" cy="150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17260" cy="150495"/>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-580390</wp:posOffset>
            </wp:positionV>
            <wp:extent cx="6017260" cy="158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17260" cy="15875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-2091055</wp:posOffset>
            </wp:positionV>
            <wp:extent cx="6017260" cy="158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17260" cy="15875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78105</wp:posOffset>
            </wp:positionV>
            <wp:extent cx="12020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140"/>
            <w:col w:w="7860"/>
          </w:cols>
          <w:pgMar w:left="720" w:top="90" w:right="1179" w:bottom="1440" w:gutter="0" w:footer="0" w:header="0"/>
          <w:type w:val="continuous"/>
        </w:sectPr>
      </w:pPr>
    </w:p>
    <w:p>
      <w:pPr>
        <w:spacing w:after="0" w:line="69" w:lineRule="exact"/>
        <w:rPr>
          <w:sz w:val="20"/>
          <w:szCs w:val="20"/>
          <w:color w:val="auto"/>
        </w:rPr>
      </w:pPr>
    </w:p>
    <w:p>
      <w:pPr>
        <w:ind w:left="1580" w:hanging="351"/>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69" w:lineRule="exact"/>
        <w:rPr>
          <w:sz w:val="20"/>
          <w:szCs w:val="20"/>
          <w:color w:val="auto"/>
        </w:rPr>
      </w:pPr>
    </w:p>
    <w:p>
      <w:pPr>
        <w:ind w:left="1580" w:right="880" w:hanging="351"/>
        <w:spacing w:after="0" w:line="248" w:lineRule="auto"/>
        <w:tabs>
          <w:tab w:leader="none" w:pos="1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750,000,000 shares of our Class B common stock held directly by Intel Overseas Funding Corporation. Intel Corporation has dispositive voting and investment power over and therefore beneficial ownership of the shares held by Intel Overseas Funding Corporation. The principal business address of each of Intel Corporation and Intel Overseas Funding Corporation is 2200 Mission College Blvd. Santa Clara, CA 95052.</w:t>
      </w:r>
    </w:p>
    <w:p>
      <w:pPr>
        <w:spacing w:after="0" w:line="47" w:lineRule="exact"/>
        <w:rPr>
          <w:rFonts w:ascii="Arial" w:cs="Arial" w:eastAsia="Arial" w:hAnsi="Arial"/>
          <w:sz w:val="18"/>
          <w:szCs w:val="18"/>
          <w:color w:val="auto"/>
        </w:rPr>
      </w:pPr>
    </w:p>
    <w:p>
      <w:pPr>
        <w:ind w:left="1580" w:right="800" w:hanging="351"/>
        <w:spacing w:after="0" w:line="282" w:lineRule="auto"/>
        <w:tabs>
          <w:tab w:leader="none" w:pos="1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Baillie Gifford &amp; Co. (Scottish Partnership) filed a Schedule 13G/A with the SEC on January 25, 2023 to report beneficial ownership of 6,190,476 shares of our Class A common stock. Baillie Gifford &amp; Co. (Scottish Partnership) reports that it has sole power to dispose of 6,190,476 shares and has sole power to vote with respect to 6,190,476 shares. The address of Baillie Gifford &amp; Co. (Scottish Partnership) is Calton Square, 1 Greenside Row, Edinburgh EH1 3AN, Scotland, UK. Information regarding beneficial ownership of our Class A common stock by Baillie Gifford &amp; Co. (Scottish Partnership) is included herein in reliance on the aforementioned Schedule 13G/A.</w:t>
      </w:r>
    </w:p>
    <w:p>
      <w:pPr>
        <w:spacing w:after="0" w:line="37" w:lineRule="exact"/>
        <w:rPr>
          <w:rFonts w:ascii="Arial" w:cs="Arial" w:eastAsia="Arial" w:hAnsi="Arial"/>
          <w:sz w:val="16"/>
          <w:szCs w:val="16"/>
          <w:color w:val="auto"/>
        </w:rPr>
      </w:pPr>
    </w:p>
    <w:p>
      <w:pPr>
        <w:ind w:left="1580" w:right="880" w:hanging="351"/>
        <w:spacing w:after="0" w:line="247" w:lineRule="auto"/>
        <w:tabs>
          <w:tab w:leader="none" w:pos="1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FMR LLC filed a Schedule 13G with the SEC on February 9, 2023 to report beneficial ownership of 2,631,819 shares of our Class A common stock. FMR LLC reports that it has sole power to dispose of 2,631,819 shares and has sole power to vote with respect to 2,631,819 shares. The address of FMR LLC is 245 Summer Street, Boston, Massachusetts 02210. Information regarding beneficial ownership of our Class A common stock by FMR LLC is included herein in reliance on the aforementioned Schedule 13G.</w:t>
      </w:r>
    </w:p>
    <w:p>
      <w:pPr>
        <w:spacing w:after="0" w:line="49" w:lineRule="exact"/>
        <w:rPr>
          <w:rFonts w:ascii="Arial" w:cs="Arial" w:eastAsia="Arial" w:hAnsi="Arial"/>
          <w:sz w:val="18"/>
          <w:szCs w:val="18"/>
          <w:color w:val="auto"/>
        </w:rPr>
      </w:pPr>
    </w:p>
    <w:p>
      <w:pPr>
        <w:ind w:left="1580" w:right="860" w:hanging="351"/>
        <w:spacing w:after="0" w:line="281" w:lineRule="auto"/>
        <w:tabs>
          <w:tab w:leader="none" w:pos="1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 Atlantic, L.P. (“GA LP”), General Atlantic Partners 100, L.P. (“GAP 100”), General Atlantic Partners (Bermuda) EU, L.P. (“GAP Bermuda EU”), GAP Coinvestments III, LLC (“GAPCO III”), GAP Coinvestments IV, LLC (“GAPCO IV”), GAP Coinvestments V, LLC (“GAPCO V”), GAP Coinvestments CDA, L.P. (“GAPCO CDA”), General Atlantic (SPV) GP, LLC (“GA SPV”), General Atlantic GenPar (Bermuda), L.P. (“GenPar Bermuda”), General Atlantic GenPar, L.P. (“GA GenPar”), General Atlantic (ME), L.P. (“GA ME”), GAP (Bermuda) L.P. (“GAP Bermuda”), General Atlantic (Lux) S.à.r.l. (“GA Lux”), General Atlantic GenPar (Lux) SCSp (“GA GenPar Lux”), and General Atlantic Partners (Lux) SCSp (“GAP Lux”) (collectively, the “GA Entities”) filed a Schedule 13G with</w:t>
      </w:r>
    </w:p>
    <w:p>
      <w:pPr>
        <w:spacing w:after="0" w:line="34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664400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10000"/>
          </w:cols>
          <w:pgMar w:left="720" w:top="90" w:right="11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580" w:right="539"/>
        <w:spacing w:after="0" w:line="279" w:lineRule="auto"/>
        <w:rPr>
          <w:sz w:val="20"/>
          <w:szCs w:val="20"/>
          <w:color w:val="auto"/>
        </w:rPr>
      </w:pPr>
      <w:r>
        <w:rPr>
          <w:rFonts w:ascii="Arial" w:cs="Arial" w:eastAsia="Arial" w:hAnsi="Arial"/>
          <w:sz w:val="16"/>
          <w:szCs w:val="16"/>
          <w:color w:val="auto"/>
        </w:rPr>
        <w:t>the SEC on November 7, 2022 to report beneficial ownership of 4,761,905 shares of our Class A common stock. Each of the GA Entities may be deemed to have sole voting power and sole dispositive power with respect to 4,761,905 shares and also shared voting power and shared dispositive power with respect to 4,761,905 shares. The mailing address of GA LP, GAP 100, GAPCO III, GAPCO IV, GAPCO V, GAPCO CDA, GA GenPar, GA SPV and GA ME is c/o General Atlantic Service Company, L.P., 55 East 52nd Street, 33rd Floor, New York, NY 10055. The mailing address of GAP Bermuda EU, GenPar Bermuda and GAP Bermuda is Clarendon House, 2 Church Street, Hamilton HM 11, Bermuda. The mailing address of GA Lux, GA GenPar Lux, and GAP Lux is Luxembourg is 412F, Route d’Esch, L-1471 Luxembourg. Information regarding beneficial ownership of our Class A common stock by General Atlantic, L.P. and the other GA Entities is included herein in reliance on the aforementioned Schedule 13G.</w:t>
      </w:r>
    </w:p>
    <w:p>
      <w:pPr>
        <w:spacing w:after="0" w:line="253" w:lineRule="exact"/>
        <w:rPr>
          <w:sz w:val="20"/>
          <w:szCs w:val="20"/>
          <w:color w:val="auto"/>
        </w:rPr>
      </w:pPr>
    </w:p>
    <w:p>
      <w:pPr>
        <w:ind w:left="1580" w:right="639" w:hanging="351"/>
        <w:spacing w:after="0" w:line="284" w:lineRule="auto"/>
        <w:tabs>
          <w:tab w:leader="none" w:pos="1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Norges Bank (the Central Bank of Norway) (“Norges Bank”) filed a Schedule 13G/A with the SEC on February 14, 2023 to report beneficial ownership of 12,085,900 shares of our Class A common stock. Norges Bank reports that it has sole power to dispose of 12,085,900 shares and has sole power to vote with respect to 12,085,900 shares. The address of Norges Bank is Bankplassen 2, PO Box 1179 Sentrum NO 0107, Oslo, Norway. Information regarding beneficial ownership of our Class A common stock by Norges Bank is included herein in reliance on the aforementioned Schedule 13G/A.</w:t>
      </w:r>
    </w:p>
    <w:p>
      <w:pPr>
        <w:spacing w:after="0" w:line="21" w:lineRule="exact"/>
        <w:rPr>
          <w:rFonts w:ascii="Arial" w:cs="Arial" w:eastAsia="Arial" w:hAnsi="Arial"/>
          <w:sz w:val="16"/>
          <w:szCs w:val="16"/>
          <w:color w:val="auto"/>
        </w:rPr>
      </w:pPr>
    </w:p>
    <w:p>
      <w:pPr>
        <w:ind w:left="1580" w:right="539" w:hanging="351"/>
        <w:spacing w:after="0" w:line="277" w:lineRule="auto"/>
        <w:tabs>
          <w:tab w:leader="none" w:pos="1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shares of our Class A common stock held by Prudential Financial Inc. (“Prudential”) and its 100% wholly owned subsidiary, Jennison Associated LLC (“Jennison”). Prudential filed a Schedule 13G with the SEC on April 10, 2023 to report beneficial ownership of 8,491,190 shares of our Class A common stock, of which it has sole voting power and sole dispositive power with respect to 26,465 shares and shared voting power and shared dispositive power with respect to 8,464,725 shares. Jennison filed a Schedule 13G with the SEC on April 10, 2023 to report beneficial ownership of 8,710,759 shares of our Class A common stock, of which it has sole voting power with respect to 8,252,183 shares and shared dispositive power with respect to 8,710,759 shares. As a result of its role as an investment advisor to several investment companies, insurance separate accounts and institutional clients (the “Managed Portfolios”), Jennison may be deemed to be the beneficial owner of shares held by the Managed Portfolios and may have the power to direct the exercise of voting and/or dispositive power with respect to such shares. As a result of its parent/subsidiary relationship with Jennison, Prudential may be deemed to have the power to exercise or to direct the exercise of such voting and/or dispositive power that Jennison may have with respect to shares held by the Managed Portfolios. The address of Prudential is 751 Broad Street, Newark, NJ 07102-3777 and the address of Jennison is 466 Lexington Avenue, New York, NY 10017. Information regarding the beneficial ownership of our Class A common stock by Prudential and Jennison is included herein in reliance on the aforementioned Schedule 13G’s.</w:t>
      </w:r>
    </w:p>
    <w:p>
      <w:pPr>
        <w:spacing w:after="0" w:line="241" w:lineRule="exact"/>
        <w:rPr>
          <w:rFonts w:ascii="Arial" w:cs="Arial" w:eastAsia="Arial" w:hAnsi="Arial"/>
          <w:sz w:val="16"/>
          <w:szCs w:val="16"/>
          <w:color w:val="auto"/>
        </w:rPr>
      </w:pPr>
    </w:p>
    <w:p>
      <w:pPr>
        <w:ind w:left="1580" w:right="679" w:hanging="351"/>
        <w:spacing w:after="0" w:line="261" w:lineRule="auto"/>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indicated, the principal business address of each person is c/o Mobileye Global Inc., Har Hotzvim, 13 Hartom Street P.O. Box 45157 Jerusalem 9777513,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U.S. FEDERAL INCOME TAX CONSIDERATIONS FOR NON-U.S. HOLDERS</w:t>
      </w:r>
    </w:p>
    <w:p>
      <w:pPr>
        <w:spacing w:after="0" w:line="154" w:lineRule="exact"/>
        <w:rPr>
          <w:sz w:val="20"/>
          <w:szCs w:val="20"/>
          <w:color w:val="auto"/>
        </w:rPr>
      </w:pPr>
    </w:p>
    <w:p>
      <w:pPr>
        <w:ind w:left="1220" w:right="539" w:firstLine="350"/>
        <w:spacing w:after="0" w:line="276" w:lineRule="auto"/>
        <w:rPr>
          <w:sz w:val="20"/>
          <w:szCs w:val="20"/>
          <w:color w:val="auto"/>
        </w:rPr>
      </w:pPr>
      <w:r>
        <w:rPr>
          <w:rFonts w:ascii="Arial" w:cs="Arial" w:eastAsia="Arial" w:hAnsi="Arial"/>
          <w:sz w:val="16"/>
          <w:szCs w:val="16"/>
          <w:color w:val="auto"/>
        </w:rPr>
        <w:t>The following discussion is a summary of U.S. federal income tax considerations generally applicable to the ownership and disposition of shares of our Class A common stock by non-U.S. holders (as defined below) who acquire such shares in this offering and hold our Class A common stock as a capital asset within the meaning of Section 1221 of the Internal Revenue Code of 1986, as amended (the “Code”) (generally, property held for investment). This summary is based on current provisions of the Code, U.S. Treasury regulations promulgated thereunder, and administrative rulings and interpretations and court decisions in effect as of the date hereof, all of which are subject to change or differing interpretation at any time, possibly with retroactive effect. This summary does not address all aspects of U.S. federal income taxation that may be important to a non-U.S. holder in light of that holder’s particular circumstances or that may be applicable to holders subject to special treatment under U.S. federal income tax law (including, for example, banks and other financial institutions, dealers in securities, traders in securities that elect a mark-to-market method of tax accounting, insurance companies, retirement plans, mutual funds, tax-exempt entities, holders who acquired shares of our Class A common stock pursuant to the exercise of employee stock options or otherwise as compensation, entities or arrangements treated as partnerships for U.S. federal income tax purposes, controlled foreign corporations, passive foreign investment companies, certain expatriates and former citizens or former long-term residents of the United States, and holders who hold shares of our Class A common stock as part of a straddle, constructive sale or conversion transaction). In addition, this discussion does not address U.S. federal tax laws other than those pertaining to the U.S. federal income tax, nor does it address any aspects of the unearned income Medicare contribution tax, the alternative minimum tax or U.S. state, local or non-U.S. taxes. Accordingly, prospective investors should consult their own tax advisors regarding the U.S. federal, state, local, non-U.S. income and other tax considerations (including any U.S. federal estate or gift tax considerations) of owning and disposing of shares of our Class A common stock.</w:t>
      </w:r>
    </w:p>
    <w:p>
      <w:pPr>
        <w:spacing w:after="0" w:line="327" w:lineRule="exact"/>
        <w:rPr>
          <w:sz w:val="20"/>
          <w:szCs w:val="20"/>
          <w:color w:val="auto"/>
        </w:rPr>
      </w:pPr>
    </w:p>
    <w:p>
      <w:pPr>
        <w:ind w:left="1220" w:right="759" w:firstLine="350"/>
        <w:spacing w:after="0" w:line="261" w:lineRule="auto"/>
        <w:rPr>
          <w:sz w:val="20"/>
          <w:szCs w:val="20"/>
          <w:color w:val="auto"/>
        </w:rPr>
      </w:pPr>
      <w:r>
        <w:rPr>
          <w:rFonts w:ascii="Arial" w:cs="Arial" w:eastAsia="Arial" w:hAnsi="Arial"/>
          <w:sz w:val="18"/>
          <w:szCs w:val="18"/>
          <w:color w:val="auto"/>
        </w:rPr>
        <w:t>For purposes of this discussion, the term “non-U.S. holder” means a beneficial owner of our Class A common stock that is not any of the following:</w:t>
      </w:r>
    </w:p>
    <w:p>
      <w:pPr>
        <w:spacing w:after="0" w:line="76" w:lineRule="exact"/>
        <w:rPr>
          <w:sz w:val="20"/>
          <w:szCs w:val="20"/>
          <w:color w:val="auto"/>
        </w:rPr>
      </w:pPr>
    </w:p>
    <w:p>
      <w:pPr>
        <w:ind w:left="1760" w:hanging="181"/>
        <w:spacing w:after="0"/>
        <w:tabs>
          <w:tab w:leader="none" w:pos="1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08" w:lineRule="exact"/>
        <w:rPr>
          <w:rFonts w:ascii="Arial" w:cs="Arial" w:eastAsia="Arial" w:hAnsi="Arial"/>
          <w:sz w:val="18"/>
          <w:szCs w:val="18"/>
          <w:color w:val="auto"/>
        </w:rPr>
      </w:pPr>
    </w:p>
    <w:p>
      <w:pPr>
        <w:ind w:left="1760" w:right="699" w:hanging="181"/>
        <w:spacing w:after="0" w:line="252" w:lineRule="auto"/>
        <w:tabs>
          <w:tab w:leader="none" w:pos="1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United States or under the laws of the United States, any state thereof or the District of Columbia; or</w:t>
      </w:r>
    </w:p>
    <w:p>
      <w:pPr>
        <w:spacing w:after="0" w:line="84" w:lineRule="exact"/>
        <w:rPr>
          <w:rFonts w:ascii="Arial" w:cs="Arial" w:eastAsia="Arial" w:hAnsi="Arial"/>
          <w:sz w:val="18"/>
          <w:szCs w:val="18"/>
          <w:color w:val="auto"/>
        </w:rPr>
      </w:pPr>
    </w:p>
    <w:p>
      <w:pPr>
        <w:ind w:left="1760" w:right="879" w:hanging="181"/>
        <w:spacing w:after="0" w:line="261" w:lineRule="auto"/>
        <w:tabs>
          <w:tab w:leader="none" w:pos="1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02" w:lineRule="exact"/>
        <w:rPr>
          <w:sz w:val="20"/>
          <w:szCs w:val="20"/>
          <w:color w:val="auto"/>
        </w:rPr>
      </w:pPr>
    </w:p>
    <w:p>
      <w:pPr>
        <w:ind w:left="1220" w:right="539" w:firstLine="350"/>
        <w:spacing w:after="0" w:line="249" w:lineRule="auto"/>
        <w:rPr>
          <w:sz w:val="20"/>
          <w:szCs w:val="20"/>
          <w:color w:val="auto"/>
        </w:rPr>
      </w:pPr>
      <w:r>
        <w:rPr>
          <w:rFonts w:ascii="Arial" w:cs="Arial" w:eastAsia="Arial" w:hAnsi="Arial"/>
          <w:sz w:val="18"/>
          <w:szCs w:val="18"/>
          <w:color w:val="auto"/>
        </w:rPr>
        <w:t>If an entity or arrangement treated as a partnership for U.S. federal tax purposes holds shares of our Class A common stock, the tax treatment of a person treated as a partner generally will depend on the status of the partner and the activities of the partnership. Partnerships holding shares of our Class A common stock and partners in such partnerships should consult their tax advisors.</w:t>
      </w:r>
    </w:p>
    <w:p>
      <w:pPr>
        <w:spacing w:after="0" w:line="121" w:lineRule="exact"/>
        <w:rPr>
          <w:sz w:val="20"/>
          <w:szCs w:val="20"/>
          <w:color w:val="auto"/>
        </w:rPr>
      </w:pPr>
    </w:p>
    <w:p>
      <w:pPr>
        <w:ind w:left="1220" w:right="679" w:firstLine="350"/>
        <w:spacing w:after="0" w:line="331" w:lineRule="auto"/>
        <w:rPr>
          <w:sz w:val="20"/>
          <w:szCs w:val="20"/>
          <w:color w:val="auto"/>
        </w:rPr>
      </w:pPr>
      <w:r>
        <w:rPr>
          <w:rFonts w:ascii="Arial" w:cs="Arial" w:eastAsia="Arial" w:hAnsi="Arial"/>
          <w:sz w:val="15"/>
          <w:szCs w:val="15"/>
          <w:b w:val="1"/>
          <w:bCs w:val="1"/>
          <w:color w:val="auto"/>
        </w:rPr>
        <w:t>Prospective holders of our Class A common stock should consult with their tax advisors regarding the tax consequences to them (including the application and effect of any state, local, non-U.S. income and other tax laws) of the ownership and disposition of shares of our Class A common stock.</w:t>
      </w:r>
    </w:p>
    <w:p>
      <w:pPr>
        <w:spacing w:after="0" w:line="128"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54" w:lineRule="exact"/>
        <w:rPr>
          <w:sz w:val="20"/>
          <w:szCs w:val="20"/>
          <w:color w:val="auto"/>
        </w:rPr>
      </w:pPr>
    </w:p>
    <w:p>
      <w:pPr>
        <w:ind w:left="1220" w:right="599" w:firstLine="350"/>
        <w:spacing w:after="0" w:line="284" w:lineRule="auto"/>
        <w:rPr>
          <w:sz w:val="20"/>
          <w:szCs w:val="20"/>
          <w:color w:val="auto"/>
        </w:rPr>
      </w:pPr>
      <w:r>
        <w:rPr>
          <w:rFonts w:ascii="Arial" w:cs="Arial" w:eastAsia="Arial" w:hAnsi="Arial"/>
          <w:sz w:val="16"/>
          <w:szCs w:val="16"/>
          <w:color w:val="auto"/>
        </w:rPr>
        <w:t>A distribution generally will constitute a dividend for U.S. federal income tax purposes to the extent of our current or accumulated earnings and profits as determined for U.S. federal income tax purposes. To the extent any distribution exceeds our current and accumulated earnings and profits, such distribution will be treated as first reducing the adjusted basis in the non-U.S. holder’s shares of our Class A common stock, though not below zero, and, to the extent such distribution exceeds the adjusted basis in the non-U.S. holder’s shares of our Class A common stock, as gain from the sale or exchange of such shares.</w:t>
      </w:r>
    </w:p>
    <w:p>
      <w:pPr>
        <w:spacing w:after="0" w:line="87" w:lineRule="exact"/>
        <w:rPr>
          <w:sz w:val="20"/>
          <w:szCs w:val="20"/>
          <w:color w:val="auto"/>
        </w:rPr>
      </w:pPr>
    </w:p>
    <w:p>
      <w:pPr>
        <w:ind w:left="1220" w:right="519" w:firstLine="350"/>
        <w:spacing w:after="0" w:line="249" w:lineRule="auto"/>
        <w:rPr>
          <w:sz w:val="20"/>
          <w:szCs w:val="20"/>
          <w:color w:val="auto"/>
        </w:rPr>
      </w:pPr>
      <w:r>
        <w:rPr>
          <w:rFonts w:ascii="Arial" w:cs="Arial" w:eastAsia="Arial" w:hAnsi="Arial"/>
          <w:sz w:val="18"/>
          <w:szCs w:val="18"/>
          <w:color w:val="auto"/>
        </w:rPr>
        <w:t>In general, subject to the discussion below under “— FATCA,” any distributions we make to a non-U.S. holder with respect to its shares of our Class A common stock that constitute dividends for U.S. federal income tax purposes will be subject to U.S. withholding tax at a rate of 30% of the gross amount (or a reduced</w:t>
      </w:r>
    </w:p>
    <w:p>
      <w:pPr>
        <w:sectPr>
          <w:pgSz w:w="11900" w:h="16838" w:orient="portrait"/>
          <w:cols w:equalWidth="0" w:num="1">
            <w:col w:w="9739"/>
          </w:cols>
          <w:pgMar w:left="720" w:top="90" w:right="1440" w:bottom="1440" w:gutter="0" w:footer="0" w:header="0"/>
        </w:sectPr>
      </w:pPr>
    </w:p>
    <w:p>
      <w:pPr>
        <w:spacing w:after="0" w:line="377"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254000</wp:posOffset>
            </wp:positionV>
            <wp:extent cx="664400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20" w:right="559"/>
        <w:spacing w:after="0" w:line="238" w:lineRule="auto"/>
        <w:rPr>
          <w:sz w:val="20"/>
          <w:szCs w:val="20"/>
          <w:color w:val="auto"/>
        </w:rPr>
      </w:pPr>
      <w:r>
        <w:rPr>
          <w:rFonts w:ascii="Arial" w:cs="Arial" w:eastAsia="Arial" w:hAnsi="Arial"/>
          <w:sz w:val="18"/>
          <w:szCs w:val="18"/>
          <w:color w:val="auto"/>
        </w:rPr>
        <w:t>rate specified by an applicable income tax treaty), unless the dividends are effectively connected with a trade or business carried on by the non-U.S. holder within the United States (and, if required by an applicable income tax treaty, are attributable to a permanent establishment of the non-U.S. holder within the U.S.). In order to obtain a reduced rate of withholding, a non-U.S. holder will be required to provide a properly executed applicable Internal Revenue Service (“IRS”) Form W-8 certifying its entitlement to benefits under a treaty.</w:t>
      </w:r>
    </w:p>
    <w:p>
      <w:pPr>
        <w:spacing w:after="0" w:line="122" w:lineRule="exact"/>
        <w:rPr>
          <w:sz w:val="20"/>
          <w:szCs w:val="20"/>
          <w:color w:val="auto"/>
        </w:rPr>
      </w:pPr>
    </w:p>
    <w:p>
      <w:pPr>
        <w:ind w:left="1220" w:right="559" w:firstLine="350"/>
        <w:spacing w:after="0" w:line="271" w:lineRule="auto"/>
        <w:rPr>
          <w:sz w:val="20"/>
          <w:szCs w:val="20"/>
          <w:color w:val="auto"/>
        </w:rPr>
      </w:pPr>
      <w:r>
        <w:rPr>
          <w:rFonts w:ascii="Arial" w:cs="Arial" w:eastAsia="Arial" w:hAnsi="Arial"/>
          <w:sz w:val="16"/>
          <w:szCs w:val="16"/>
          <w:color w:val="auto"/>
        </w:rPr>
        <w:t>Dividends effectively connected with a U.S. trade or business (and, if required by an applicable income tax treaty, attributable to a U.S. permanent establishment) of a non-U.S. holder generally will not be subject to U.S. withholding tax if the non-U.S. holder provides a properly executed IRS Form W-8ECI. Instead, such dividends generally will be subject to U.S. federal income tax on a net income basis, in the same manner as if the non-U.S. holder were a resident of the U.S. A non-U.S. holder that is a corporation may be subject to an additional “branch profits tax” at a rate of 30% (or such lower rate as may be specified by an applicable income tax treaty) on such effectively connected dividends, subject to certain adjustments.</w:t>
      </w:r>
    </w:p>
    <w:p>
      <w:pPr>
        <w:spacing w:after="0" w:line="156"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Gain on Sale or Other Disposition of Our Class A Common Stock</w:t>
      </w:r>
    </w:p>
    <w:p>
      <w:pPr>
        <w:spacing w:after="0" w:line="154" w:lineRule="exact"/>
        <w:rPr>
          <w:sz w:val="20"/>
          <w:szCs w:val="20"/>
          <w:color w:val="auto"/>
        </w:rPr>
      </w:pPr>
    </w:p>
    <w:p>
      <w:pPr>
        <w:ind w:left="1220" w:right="899" w:firstLine="350"/>
        <w:spacing w:after="0" w:line="246" w:lineRule="auto"/>
        <w:rPr>
          <w:sz w:val="20"/>
          <w:szCs w:val="20"/>
          <w:color w:val="auto"/>
        </w:rPr>
      </w:pPr>
      <w:r>
        <w:rPr>
          <w:rFonts w:ascii="Arial" w:cs="Arial" w:eastAsia="Arial" w:hAnsi="Arial"/>
          <w:sz w:val="18"/>
          <w:szCs w:val="18"/>
          <w:color w:val="auto"/>
        </w:rPr>
        <w:t>In general, a non-U.S. holder will not be subject to U.S. federal income tax on any gain recognized upon the sale or other disposition of our Class A common stock unless:</w:t>
      </w:r>
    </w:p>
    <w:p>
      <w:pPr>
        <w:spacing w:after="0" w:line="75" w:lineRule="exact"/>
        <w:rPr>
          <w:sz w:val="20"/>
          <w:szCs w:val="20"/>
          <w:color w:val="auto"/>
        </w:rPr>
      </w:pPr>
    </w:p>
    <w:p>
      <w:pPr>
        <w:ind w:left="1760" w:right="639" w:hanging="181"/>
        <w:spacing w:after="0" w:line="252" w:lineRule="auto"/>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carried on by the non-U.S. holder within the United States and, if required by an applicable income tax treaty, is attributable to a U.S. permanent establishment of the non-U.S. holder;</w:t>
      </w:r>
    </w:p>
    <w:p>
      <w:pPr>
        <w:spacing w:after="0" w:line="84" w:lineRule="exact"/>
        <w:rPr>
          <w:rFonts w:ascii="Arial" w:cs="Arial" w:eastAsia="Arial" w:hAnsi="Arial"/>
          <w:sz w:val="18"/>
          <w:szCs w:val="18"/>
          <w:color w:val="auto"/>
        </w:rPr>
      </w:pPr>
    </w:p>
    <w:p>
      <w:pPr>
        <w:ind w:left="1760" w:right="759" w:hanging="181"/>
        <w:spacing w:after="0" w:line="261" w:lineRule="auto"/>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non-U.S. holder is an individual and is present in the United States for 183 days or more in the taxable year of disposition and certain other conditions are satisfied; or</w:t>
      </w:r>
    </w:p>
    <w:p>
      <w:pPr>
        <w:spacing w:after="0" w:line="75" w:lineRule="exact"/>
        <w:rPr>
          <w:rFonts w:ascii="Arial" w:cs="Arial" w:eastAsia="Arial" w:hAnsi="Arial"/>
          <w:sz w:val="18"/>
          <w:szCs w:val="18"/>
          <w:color w:val="auto"/>
        </w:rPr>
      </w:pPr>
    </w:p>
    <w:p>
      <w:pPr>
        <w:ind w:left="1760" w:right="599" w:hanging="181"/>
        <w:spacing w:after="0" w:line="299" w:lineRule="auto"/>
        <w:tabs>
          <w:tab w:leader="none" w:pos="1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(as​ described below) for U.S. federal income tax purposes at any time within the shorter of the five-year period ending on the date of the disposition and the non-U.S. holder’s holding period and certain other conditions are satisfied.</w:t>
      </w:r>
    </w:p>
    <w:p>
      <w:pPr>
        <w:spacing w:after="0" w:line="88" w:lineRule="exact"/>
        <w:rPr>
          <w:sz w:val="20"/>
          <w:szCs w:val="20"/>
          <w:color w:val="auto"/>
        </w:rPr>
      </w:pPr>
    </w:p>
    <w:p>
      <w:pPr>
        <w:ind w:left="1220" w:right="519" w:firstLine="350"/>
        <w:spacing w:after="0" w:line="271" w:lineRule="auto"/>
        <w:rPr>
          <w:sz w:val="20"/>
          <w:szCs w:val="20"/>
          <w:color w:val="auto"/>
        </w:rPr>
      </w:pPr>
      <w:r>
        <w:rPr>
          <w:rFonts w:ascii="Arial" w:cs="Arial" w:eastAsia="Arial" w:hAnsi="Arial"/>
          <w:sz w:val="16"/>
          <w:szCs w:val="16"/>
          <w:color w:val="auto"/>
        </w:rPr>
        <w:t>Gain that is effectively connected with the conduct of a trade or business in the United States generally will be subject to U.S. federal income tax, net of certain deductions, at regular U.S. federal income tax rates. If the non-U.S. holder is a foreign corporation, the branch profits tax described above also may apply to such effectively connected gain. An individual non-U.S. holder who is subject to U.S. federal income tax because the non- U.S. holder was present in the United States for 183 days or more during the year of sale or other disposition of our Class A common stock will be subject to a flat 30% tax on the gain derived from such sale or other disposition, which may be offset by U.S. source capital losses.</w:t>
      </w:r>
    </w:p>
    <w:p>
      <w:pPr>
        <w:spacing w:after="0" w:line="97" w:lineRule="exact"/>
        <w:rPr>
          <w:sz w:val="20"/>
          <w:szCs w:val="20"/>
          <w:color w:val="auto"/>
        </w:rPr>
      </w:pPr>
    </w:p>
    <w:p>
      <w:pPr>
        <w:ind w:left="1220" w:right="519" w:firstLine="350"/>
        <w:spacing w:after="0" w:line="273" w:lineRule="auto"/>
        <w:rPr>
          <w:sz w:val="20"/>
          <w:szCs w:val="20"/>
          <w:color w:val="auto"/>
        </w:rPr>
      </w:pPr>
      <w:r>
        <w:rPr>
          <w:rFonts w:ascii="Arial" w:cs="Arial" w:eastAsia="Arial" w:hAnsi="Arial"/>
          <w:sz w:val="16"/>
          <w:szCs w:val="16"/>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Although there can be no assurances in this regard, we believe that we are not currently, and do not anticipate becoming, a U.S. real property holding corporation.</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FATCA</w:t>
      </w:r>
    </w:p>
    <w:p>
      <w:pPr>
        <w:spacing w:after="0" w:line="154" w:lineRule="exact"/>
        <w:rPr>
          <w:sz w:val="20"/>
          <w:szCs w:val="20"/>
          <w:color w:val="auto"/>
        </w:rPr>
      </w:pPr>
    </w:p>
    <w:p>
      <w:pPr>
        <w:ind w:left="1220" w:right="619" w:firstLine="350"/>
        <w:spacing w:after="0" w:line="267" w:lineRule="auto"/>
        <w:rPr>
          <w:sz w:val="20"/>
          <w:szCs w:val="20"/>
          <w:color w:val="auto"/>
        </w:rPr>
      </w:pPr>
      <w:r>
        <w:rPr>
          <w:rFonts w:ascii="Arial" w:cs="Arial" w:eastAsia="Arial" w:hAnsi="Arial"/>
          <w:sz w:val="16"/>
          <w:szCs w:val="16"/>
          <w:color w:val="auto"/>
        </w:rPr>
        <w:t>Provisions commonly referred to as “FATCA” impose withholding (separate and apart from, but without duplication of, the withholding tax described above) at a rate of 30% on payments of dividends on shares of our Class A common stock and sales or redemption proceeds from dispositions of shares of our Class A common stock to certain foreign financial institutions (which is broadly defined for this purpose and in general includes investment vehicles) and certain non-financial foreign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or future Treasury regulations, may modify these requirements. Accordingly, the entity through which shares of our Class A common stock are held will affect the determination of whether such withholding is required. Proposed U.S. Treasury regulations would eliminate the requirements under FATCA in respect of withholding on gross proceeds from sales, exchanges or dispositions of our Class A common stock, and the preamble to the proposed</w:t>
      </w:r>
    </w:p>
    <w:p>
      <w:pPr>
        <w:spacing w:after="0" w:line="200" w:lineRule="exact"/>
        <w:rPr>
          <w:sz w:val="20"/>
          <w:szCs w:val="20"/>
          <w:color w:val="auto"/>
        </w:rPr>
      </w:pPr>
    </w:p>
    <w:p>
      <w:pPr>
        <w:spacing w:after="0" w:line="35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20" w:right="859"/>
        <w:spacing w:after="0" w:line="252" w:lineRule="auto"/>
        <w:rPr>
          <w:sz w:val="20"/>
          <w:szCs w:val="20"/>
          <w:color w:val="auto"/>
        </w:rPr>
      </w:pPr>
      <w:r>
        <w:rPr>
          <w:rFonts w:ascii="Arial" w:cs="Arial" w:eastAsia="Arial" w:hAnsi="Arial"/>
          <w:sz w:val="18"/>
          <w:szCs w:val="18"/>
          <w:color w:val="auto"/>
        </w:rPr>
        <w:t>regulations provides that taxpayers may rely on these proposed regulations pending their finalization. Prospective investors should consult their tax advisors regarding the possible implications of FATCA on their investment in our Class A common stock.</w:t>
      </w:r>
    </w:p>
    <w:p>
      <w:pPr>
        <w:spacing w:after="0" w:line="183"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54" w:lineRule="exact"/>
        <w:rPr>
          <w:sz w:val="20"/>
          <w:szCs w:val="20"/>
          <w:color w:val="auto"/>
        </w:rPr>
      </w:pPr>
    </w:p>
    <w:p>
      <w:pPr>
        <w:ind w:left="1220" w:right="599" w:firstLine="350"/>
        <w:spacing w:after="0" w:line="280" w:lineRule="auto"/>
        <w:rPr>
          <w:sz w:val="20"/>
          <w:szCs w:val="20"/>
          <w:color w:val="auto"/>
        </w:rPr>
      </w:pPr>
      <w:r>
        <w:rPr>
          <w:rFonts w:ascii="Arial" w:cs="Arial" w:eastAsia="Arial" w:hAnsi="Arial"/>
          <w:sz w:val="16"/>
          <w:szCs w:val="16"/>
          <w:color w:val="auto"/>
        </w:rPr>
        <w:t>Information returns are required to be filed with the IRS in connection with payments of dividends on our Class A common stock. Unless a non-U.S. holder complies with certification procedures to establish that it is not a U.S. person, information returns may also be filed with the IRS in connection with the proceeds from a sale or other disposition of our Class A common stock. A non-U.S. holder may also be subject to backup withholding on payments on our Class A common stock or on the proceeds from a sale or other disposition of our Class A common stock unless such non-U.S. holder complies with certification procedures to establish that such non-U.S. holder is not a U.S. person or otherwise establishes an exemption. A non-U.S. holder’s provision of a properly executed applicable IRS Form W-8 certifying its non-U.S. status will permit such holder to avoid backup withholding.</w:t>
      </w:r>
    </w:p>
    <w:p>
      <w:pPr>
        <w:spacing w:after="0" w:line="105" w:lineRule="exact"/>
        <w:rPr>
          <w:sz w:val="20"/>
          <w:szCs w:val="20"/>
          <w:color w:val="auto"/>
        </w:rPr>
      </w:pPr>
    </w:p>
    <w:p>
      <w:pPr>
        <w:ind w:left="1220" w:right="859" w:firstLine="350"/>
        <w:spacing w:after="0" w:line="252" w:lineRule="auto"/>
        <w:rPr>
          <w:sz w:val="20"/>
          <w:szCs w:val="20"/>
          <w:color w:val="auto"/>
        </w:rPr>
      </w:pPr>
      <w:r>
        <w:rPr>
          <w:rFonts w:ascii="Arial" w:cs="Arial" w:eastAsia="Arial" w:hAnsi="Arial"/>
          <w:sz w:val="18"/>
          <w:szCs w:val="18"/>
          <w:color w:val="auto"/>
        </w:rPr>
        <w:t>Backup withholding is not an additional tax. Amounts withheld under the backup withholding rules may be refunded or credited against a non-U.S. holder’s U.S. federal income tax liability, provided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UNDERWRITING</w:t>
      </w:r>
    </w:p>
    <w:p>
      <w:pPr>
        <w:spacing w:after="0" w:line="154"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We, the selling stockholder and the underwriters named below will enter into an underwriting</w:t>
      </w:r>
    </w:p>
    <w:p>
      <w:pPr>
        <w:spacing w:after="0" w:line="4" w:lineRule="exact"/>
        <w:rPr>
          <w:sz w:val="20"/>
          <w:szCs w:val="20"/>
          <w:color w:val="auto"/>
        </w:rPr>
      </w:pPr>
    </w:p>
    <w:p>
      <w:pPr>
        <w:ind w:left="1220" w:right="699"/>
        <w:spacing w:after="0" w:line="235" w:lineRule="auto"/>
        <w:rPr>
          <w:sz w:val="20"/>
          <w:szCs w:val="20"/>
          <w:color w:val="auto"/>
        </w:rPr>
      </w:pPr>
      <w:r>
        <w:rPr>
          <w:rFonts w:ascii="Arial" w:cs="Arial" w:eastAsia="Arial" w:hAnsi="Arial"/>
          <w:sz w:val="18"/>
          <w:szCs w:val="18"/>
          <w:color w:val="auto"/>
        </w:rPr>
        <w:t>agreement with respect to the shares being offered. Subject to certain conditions, each underwriter will severally agree to purchase from the selling stockholder the number of shares of Class A common stock indicated in the following table. Goldman Sachs &amp; Co. LLC and Morgan Stanley &amp; Co. LLC are acting as the representatives of the underwriters.</w:t>
      </w:r>
    </w:p>
    <w:p>
      <w:pPr>
        <w:spacing w:after="0" w:line="148"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w:t>
            </w:r>
          </w:p>
        </w:tc>
      </w:tr>
      <w:tr>
        <w:trPr>
          <w:trHeight w:val="220"/>
        </w:trPr>
        <w:tc>
          <w:tcPr>
            <w:tcW w:w="6280" w:type="dxa"/>
            <w:vAlign w:val="bottom"/>
          </w:tcPr>
          <w:p>
            <w:pPr>
              <w:spacing w:after="0"/>
              <w:rPr>
                <w:sz w:val="20"/>
                <w:szCs w:val="20"/>
                <w:color w:val="auto"/>
              </w:rPr>
            </w:pPr>
            <w:r>
              <w:rPr>
                <w:rFonts w:ascii="Arial" w:cs="Arial" w:eastAsia="Arial" w:hAnsi="Arial"/>
                <w:sz w:val="14"/>
                <w:szCs w:val="14"/>
                <w:b w:val="1"/>
                <w:bCs w:val="1"/>
                <w:color w:val="auto"/>
              </w:rPr>
              <w:t>Underwriters</w:t>
            </w:r>
          </w:p>
        </w:tc>
        <w:tc>
          <w:tcPr>
            <w:tcW w:w="200" w:type="dxa"/>
            <w:vAlign w:val="bottom"/>
          </w:tcPr>
          <w:p>
            <w:pPr>
              <w:spacing w:after="0"/>
              <w:rPr>
                <w:sz w:val="20"/>
                <w:szCs w:val="20"/>
                <w:color w:val="auto"/>
              </w:rPr>
            </w:pPr>
            <w:r>
              <w:rPr>
                <w:rFonts w:ascii="Arial" w:cs="Arial" w:eastAsia="Arial" w:hAnsi="Arial"/>
                <w:sz w:val="14"/>
                <w:szCs w:val="14"/>
                <w:b w:val="1"/>
                <w:bCs w:val="1"/>
                <w:color w:val="auto"/>
              </w:rPr>
              <w:t>​ ​</w:t>
            </w:r>
          </w:p>
        </w:tc>
        <w:tc>
          <w:tcPr>
            <w:tcW w:w="840" w:type="dxa"/>
            <w:vAlign w:val="bottom"/>
            <w:gridSpan w:val="2"/>
          </w:tcPr>
          <w:p>
            <w:pPr>
              <w:ind w:left="220"/>
              <w:spacing w:after="0" w:line="220"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25"/>
                <w:szCs w:val="25"/>
                <w:b w:val="1"/>
                <w:bCs w:val="1"/>
                <w:color w:val="auto"/>
                <w:vertAlign w:val="subscript"/>
              </w:rPr>
              <w:t>​</w:t>
            </w:r>
          </w:p>
        </w:tc>
      </w:tr>
      <w:tr>
        <w:trPr>
          <w:trHeight w:val="20"/>
        </w:trPr>
        <w:tc>
          <w:tcPr>
            <w:tcW w:w="6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-7620</wp:posOffset>
            </wp:positionV>
            <wp:extent cx="4632325" cy="167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32325" cy="167005"/>
                    </a:xfrm>
                    <a:prstGeom prst="rect">
                      <a:avLst/>
                    </a:prstGeom>
                    <a:noFill/>
                  </pic:spPr>
                </pic:pic>
              </a:graphicData>
            </a:graphic>
          </wp:anchor>
        </w:drawing>
      </w:r>
    </w:p>
    <w:p>
      <w:pPr>
        <w:spacing w:after="0" w:line="7" w:lineRule="exact"/>
        <w:rPr>
          <w:sz w:val="20"/>
          <w:szCs w:val="20"/>
          <w:color w:val="auto"/>
        </w:rPr>
      </w:pPr>
    </w:p>
    <w:tbl>
      <w:tblPr>
        <w:tblLayout w:type="fixed"/>
        <w:tblInd w:w="1580" w:type="dxa"/>
        <w:tblCellMar>
          <w:top w:w="0" w:type="dxa"/>
          <w:left w:w="0" w:type="dxa"/>
          <w:bottom w:w="0" w:type="dxa"/>
          <w:right w:w="0" w:type="dxa"/>
        </w:tblCellMar>
      </w:tblPr>
      <w:tr>
        <w:trPr>
          <w:trHeight w:val="248"/>
        </w:trPr>
        <w:tc>
          <w:tcPr>
            <w:tcW w:w="420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3100" w:type="dxa"/>
            <w:vAlign w:val="bottom"/>
            <w:gridSpan w:val="2"/>
          </w:tcPr>
          <w:p>
            <w:pPr>
              <w:ind w:left="2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3100" w:type="dxa"/>
            <w:vAlign w:val="bottom"/>
            <w:gridSpan w:val="2"/>
          </w:tcPr>
          <w:p>
            <w:pPr>
              <w:ind w:left="21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100" w:type="dxa"/>
            <w:vAlign w:val="bottom"/>
            <w:tcBorders>
              <w:bottom w:val="single" w:sz="8" w:color="CCEEFF"/>
              <w:right w:val="single" w:sz="8" w:color="CCEEFF"/>
            </w:tcBorders>
            <w:gridSpan w:val="2"/>
            <w:shd w:val="clear" w:color="auto" w:fill="CCEEFF"/>
          </w:tcPr>
          <w:p>
            <w:pPr>
              <w:ind w:left="2140"/>
              <w:spacing w:after="0"/>
              <w:rPr>
                <w:sz w:val="20"/>
                <w:szCs w:val="20"/>
                <w:color w:val="auto"/>
              </w:rPr>
            </w:pPr>
            <w:r>
              <w:rPr>
                <w:rFonts w:ascii="Arial" w:cs="Arial" w:eastAsia="Arial" w:hAnsi="Arial"/>
                <w:sz w:val="14"/>
                <w:szCs w:val="14"/>
                <w:b w:val="1"/>
                <w:bCs w:val="1"/>
                <w:color w:val="auto"/>
              </w:rPr>
              <w:t>​ ​ ​</w:t>
            </w: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26"/>
        </w:trPr>
        <w:tc>
          <w:tcPr>
            <w:tcW w:w="4200" w:type="dxa"/>
            <w:vAlign w:val="bottom"/>
          </w:tcPr>
          <w:p>
            <w:pPr>
              <w:spacing w:after="0"/>
              <w:rPr>
                <w:sz w:val="20"/>
                <w:szCs w:val="20"/>
                <w:color w:val="auto"/>
              </w:rPr>
            </w:pPr>
            <w:r>
              <w:rPr>
                <w:rFonts w:ascii="Arial" w:cs="Arial" w:eastAsia="Arial" w:hAnsi="Arial"/>
                <w:sz w:val="14"/>
                <w:szCs w:val="14"/>
                <w:b w:val="1"/>
                <w:bCs w:val="1"/>
                <w:color w:val="auto"/>
              </w:rPr>
              <w:t>​</w:t>
            </w:r>
          </w:p>
        </w:tc>
        <w:tc>
          <w:tcPr>
            <w:tcW w:w="3100" w:type="dxa"/>
            <w:vAlign w:val="bottom"/>
            <w:gridSpan w:val="2"/>
          </w:tcPr>
          <w:p>
            <w:pPr>
              <w:ind w:left="2140"/>
              <w:spacing w:after="0"/>
              <w:rPr>
                <w:sz w:val="20"/>
                <w:szCs w:val="20"/>
                <w:color w:val="auto"/>
              </w:rPr>
            </w:pPr>
            <w:r>
              <w:rPr>
                <w:rFonts w:ascii="Arial" w:cs="Arial" w:eastAsia="Arial" w:hAnsi="Arial"/>
                <w:sz w:val="14"/>
                <w:szCs w:val="14"/>
                <w:b w:val="1"/>
                <w:bCs w:val="1"/>
                <w:color w:val="auto"/>
              </w:rPr>
              <w:t>​ ​ ​</w:t>
            </w: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50"/>
        </w:trPr>
        <w:tc>
          <w:tcPr>
            <w:tcW w:w="4200" w:type="dxa"/>
            <w:vAlign w:val="bottom"/>
          </w:tcPr>
          <w:p>
            <w:pPr>
              <w:spacing w:after="0"/>
              <w:rPr>
                <w:sz w:val="4"/>
                <w:szCs w:val="4"/>
                <w:color w:val="auto"/>
              </w:rPr>
            </w:pPr>
          </w:p>
        </w:tc>
        <w:tc>
          <w:tcPr>
            <w:tcW w:w="2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100" w:type="dxa"/>
            <w:vAlign w:val="bottom"/>
            <w:tcBorders>
              <w:bottom w:val="single" w:sz="8" w:color="CCEEFF"/>
              <w:right w:val="single" w:sz="8" w:color="CCEEFF"/>
            </w:tcBorders>
            <w:gridSpan w:val="2"/>
            <w:shd w:val="clear" w:color="auto" w:fill="CCEEFF"/>
          </w:tcPr>
          <w:p>
            <w:pPr>
              <w:ind w:left="2140"/>
              <w:spacing w:after="0"/>
              <w:rPr>
                <w:sz w:val="20"/>
                <w:szCs w:val="20"/>
                <w:color w:val="auto"/>
              </w:rPr>
            </w:pPr>
            <w:r>
              <w:rPr>
                <w:rFonts w:ascii="Arial" w:cs="Arial" w:eastAsia="Arial" w:hAnsi="Arial"/>
                <w:sz w:val="14"/>
                <w:szCs w:val="14"/>
                <w:b w:val="1"/>
                <w:bCs w:val="1"/>
                <w:color w:val="auto"/>
              </w:rPr>
              <w:t>​ ​​</w:t>
            </w: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39"/>
        </w:trPr>
        <w:tc>
          <w:tcPr>
            <w:tcW w:w="4200" w:type="dxa"/>
            <w:vAlign w:val="bottom"/>
          </w:tcPr>
          <w:p>
            <w:pPr>
              <w:spacing w:after="0"/>
              <w:rPr>
                <w:sz w:val="20"/>
                <w:szCs w:val="20"/>
                <w:color w:val="auto"/>
              </w:rPr>
            </w:pPr>
            <w:r>
              <w:rPr>
                <w:rFonts w:ascii="Arial" w:cs="Arial" w:eastAsia="Arial" w:hAnsi="Arial"/>
                <w:sz w:val="14"/>
                <w:szCs w:val="14"/>
                <w:b w:val="1"/>
                <w:bCs w:val="1"/>
                <w:color w:val="auto"/>
              </w:rPr>
              <w:t>​</w:t>
            </w:r>
          </w:p>
        </w:tc>
        <w:tc>
          <w:tcPr>
            <w:tcW w:w="3100" w:type="dxa"/>
            <w:vAlign w:val="bottom"/>
            <w:gridSpan w:val="2"/>
          </w:tcPr>
          <w:p>
            <w:pPr>
              <w:ind w:left="2140"/>
              <w:spacing w:after="0"/>
              <w:rPr>
                <w:sz w:val="20"/>
                <w:szCs w:val="20"/>
                <w:color w:val="auto"/>
              </w:rPr>
            </w:pPr>
            <w:r>
              <w:rPr>
                <w:rFonts w:ascii="Arial" w:cs="Arial" w:eastAsia="Arial" w:hAnsi="Arial"/>
                <w:sz w:val="14"/>
                <w:szCs w:val="14"/>
                <w:b w:val="1"/>
                <w:bCs w:val="1"/>
                <w:color w:val="auto"/>
              </w:rPr>
              <w:t>​ ​ ​</w:t>
            </w: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50"/>
        </w:trPr>
        <w:tc>
          <w:tcPr>
            <w:tcW w:w="4200" w:type="dxa"/>
            <w:vAlign w:val="bottom"/>
            <w:tcBorders>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20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Total</w:t>
            </w:r>
          </w:p>
        </w:tc>
        <w:tc>
          <w:tcPr>
            <w:tcW w:w="22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w w:val="84"/>
              </w:rPr>
              <w:t>​35,000,000</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9"/>
        </w:trPr>
        <w:tc>
          <w:tcPr>
            <w:tcW w:w="4200" w:type="dxa"/>
            <w:vAlign w:val="bottom"/>
            <w:shd w:val="clear" w:color="auto" w:fill="CCEEFF"/>
          </w:tcPr>
          <w:p>
            <w:pPr>
              <w:spacing w:after="0"/>
              <w:rPr>
                <w:sz w:val="8"/>
                <w:szCs w:val="8"/>
                <w:color w:val="auto"/>
              </w:rPr>
            </w:pPr>
          </w:p>
        </w:tc>
        <w:tc>
          <w:tcPr>
            <w:tcW w:w="3100" w:type="dxa"/>
            <w:vAlign w:val="bottom"/>
            <w:tcBorders>
              <w:right w:val="single" w:sz="8" w:color="CCEEFF"/>
            </w:tcBorders>
            <w:gridSpan w:val="2"/>
            <w:shd w:val="clear" w:color="auto" w:fill="CCEEFF"/>
          </w:tcPr>
          <w:p>
            <w:pPr>
              <w:ind w:left="2140"/>
              <w:spacing w:after="0" w:line="79" w:lineRule="exact"/>
              <w:rPr>
                <w:sz w:val="20"/>
                <w:szCs w:val="20"/>
                <w:color w:val="auto"/>
              </w:rPr>
            </w:pPr>
            <w:r>
              <w:rPr>
                <w:rFonts w:ascii="Arial" w:cs="Arial" w:eastAsia="Arial" w:hAnsi="Arial"/>
                <w:sz w:val="9"/>
                <w:szCs w:val="9"/>
                <w:color w:val="auto"/>
              </w:rPr>
              <w:t>​ ​​</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-216535</wp:posOffset>
            </wp:positionV>
            <wp:extent cx="41230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191" w:lineRule="exact"/>
        <w:rPr>
          <w:sz w:val="20"/>
          <w:szCs w:val="20"/>
          <w:color w:val="auto"/>
        </w:rPr>
      </w:pPr>
    </w:p>
    <w:p>
      <w:pPr>
        <w:ind w:left="1220" w:right="579" w:firstLine="350"/>
        <w:spacing w:after="0" w:line="306" w:lineRule="auto"/>
        <w:rPr>
          <w:sz w:val="20"/>
          <w:szCs w:val="20"/>
          <w:color w:val="auto"/>
        </w:rPr>
      </w:pPr>
      <w:r>
        <w:rPr>
          <w:rFonts w:ascii="Arial" w:cs="Arial" w:eastAsia="Arial" w:hAnsi="Arial"/>
          <w:sz w:val="16"/>
          <w:szCs w:val="16"/>
          <w:color w:val="auto"/>
        </w:rPr>
        <w:t>The underwriters will be committed to take and pay for all of the shares being offered, if any are taken, other than the shares covered by the option described below unless and until this option is exercised.</w:t>
      </w:r>
    </w:p>
    <w:p>
      <w:pPr>
        <w:spacing w:after="0" w:line="70" w:lineRule="exact"/>
        <w:rPr>
          <w:sz w:val="20"/>
          <w:szCs w:val="20"/>
          <w:color w:val="auto"/>
        </w:rPr>
      </w:pPr>
    </w:p>
    <w:p>
      <w:pPr>
        <w:ind w:left="1220" w:right="539" w:firstLine="350"/>
        <w:spacing w:after="0" w:line="239" w:lineRule="auto"/>
        <w:rPr>
          <w:sz w:val="20"/>
          <w:szCs w:val="20"/>
          <w:color w:val="auto"/>
        </w:rPr>
      </w:pPr>
      <w:r>
        <w:rPr>
          <w:rFonts w:ascii="Arial" w:cs="Arial" w:eastAsia="Arial" w:hAnsi="Arial"/>
          <w:sz w:val="18"/>
          <w:szCs w:val="18"/>
          <w:color w:val="auto"/>
        </w:rPr>
        <w:t>The underwriters will have an option to purchase up to an additional 5,250,000 shares of Class A common stock from the selling stockholder. They may exercise that option for 30 days. If any shares are purchased pursuant to this option, the underwriters will severally purchase shares in approximately the same proportion as set forth in the table above.</w:t>
      </w:r>
    </w:p>
    <w:p>
      <w:pPr>
        <w:spacing w:after="0" w:line="122" w:lineRule="exact"/>
        <w:rPr>
          <w:sz w:val="20"/>
          <w:szCs w:val="20"/>
          <w:color w:val="auto"/>
        </w:rPr>
      </w:pPr>
    </w:p>
    <w:p>
      <w:pPr>
        <w:ind w:left="1220" w:right="519" w:firstLine="350"/>
        <w:spacing w:after="0" w:line="239"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the selling stockholder in connection with this offering. Such amounts are shown assuming both no exercise and full exercise of the underwriters’ option to purchase 5,250,000 additional shares.</w:t>
      </w:r>
    </w:p>
    <w:p>
      <w:pPr>
        <w:spacing w:after="0" w:line="2" w:lineRule="exact"/>
        <w:rPr>
          <w:sz w:val="20"/>
          <w:szCs w:val="20"/>
          <w:color w:val="auto"/>
        </w:rPr>
      </w:pPr>
    </w:p>
    <w:tbl>
      <w:tblPr>
        <w:tblLayout w:type="fixed"/>
        <w:tblInd w:w="1580" w:type="dxa"/>
        <w:tblCellMar>
          <w:top w:w="0" w:type="dxa"/>
          <w:left w:w="0" w:type="dxa"/>
          <w:bottom w:w="0" w:type="dxa"/>
          <w:right w:w="0" w:type="dxa"/>
        </w:tblCellMar>
      </w:tblPr>
      <w:tr>
        <w:trPr>
          <w:trHeight w:val="355"/>
        </w:trPr>
        <w:tc>
          <w:tcPr>
            <w:tcW w:w="3080" w:type="dxa"/>
            <w:vAlign w:val="bottom"/>
          </w:tcPr>
          <w:p>
            <w:pPr>
              <w:spacing w:after="0"/>
              <w:rPr>
                <w:sz w:val="20"/>
                <w:szCs w:val="20"/>
                <w:color w:val="auto"/>
              </w:rPr>
            </w:pPr>
            <w:r>
              <w:rPr>
                <w:rFonts w:ascii="Arial" w:cs="Arial" w:eastAsia="Arial" w:hAnsi="Arial"/>
                <w:sz w:val="14"/>
                <w:szCs w:val="14"/>
                <w:b w:val="1"/>
                <w:bCs w:val="1"/>
                <w:color w:val="auto"/>
              </w:rPr>
              <w:t>​</w:t>
            </w:r>
          </w:p>
        </w:tc>
        <w:tc>
          <w:tcPr>
            <w:tcW w:w="4260" w:type="dxa"/>
            <w:vAlign w:val="bottom"/>
            <w:gridSpan w:val="6"/>
          </w:tcPr>
          <w:p>
            <w:pPr>
              <w:ind w:left="2380"/>
              <w:spacing w:after="0"/>
              <w:rPr>
                <w:sz w:val="20"/>
                <w:szCs w:val="20"/>
                <w:color w:val="auto"/>
              </w:rPr>
            </w:pPr>
            <w:r>
              <w:rPr>
                <w:rFonts w:ascii="Arial" w:cs="Arial" w:eastAsia="Arial" w:hAnsi="Arial"/>
                <w:sz w:val="28"/>
                <w:szCs w:val="28"/>
                <w:b w:val="1"/>
                <w:bCs w:val="1"/>
                <w:color w:val="auto"/>
                <w:w w:val="98"/>
                <w:vertAlign w:val="subscript"/>
              </w:rPr>
              <w:t>​ ​</w:t>
            </w:r>
            <w:r>
              <w:rPr>
                <w:rFonts w:ascii="Arial" w:cs="Arial" w:eastAsia="Arial" w:hAnsi="Arial"/>
                <w:sz w:val="14"/>
                <w:szCs w:val="14"/>
                <w:b w:val="1"/>
                <w:bCs w:val="1"/>
                <w:color w:val="auto"/>
                <w:w w:val="98"/>
              </w:rPr>
              <w:t xml:space="preserve"> No Exercise </w:t>
            </w:r>
            <w:r>
              <w:rPr>
                <w:rFonts w:ascii="Arial" w:cs="Arial" w:eastAsia="Arial" w:hAnsi="Arial"/>
                <w:sz w:val="28"/>
                <w:szCs w:val="28"/>
                <w:b w:val="1"/>
                <w:bCs w:val="1"/>
                <w:color w:val="auto"/>
                <w:w w:val="98"/>
                <w:vertAlign w:val="subscript"/>
              </w:rPr>
              <w:t>​ ​</w:t>
            </w:r>
            <w:r>
              <w:rPr>
                <w:rFonts w:ascii="Arial" w:cs="Arial" w:eastAsia="Arial" w:hAnsi="Arial"/>
                <w:sz w:val="14"/>
                <w:szCs w:val="14"/>
                <w:b w:val="1"/>
                <w:bCs w:val="1"/>
                <w:color w:val="auto"/>
                <w:w w:val="98"/>
              </w:rPr>
              <w:t xml:space="preserve"> Full Exercise</w:t>
            </w:r>
            <w:r>
              <w:rPr>
                <w:rFonts w:ascii="Arial" w:cs="Arial" w:eastAsia="Arial" w:hAnsi="Arial"/>
                <w:sz w:val="28"/>
                <w:szCs w:val="28"/>
                <w:b w:val="1"/>
                <w:bCs w:val="1"/>
                <w:color w:val="auto"/>
                <w:w w:val="98"/>
                <w:vertAlign w:val="subscript"/>
              </w:rPr>
              <w:t>​</w:t>
            </w:r>
          </w:p>
        </w:tc>
        <w:tc>
          <w:tcPr>
            <w:tcW w:w="0" w:type="dxa"/>
            <w:vAlign w:val="bottom"/>
          </w:tcPr>
          <w:p>
            <w:pPr>
              <w:spacing w:after="0"/>
              <w:rPr>
                <w:sz w:val="1"/>
                <w:szCs w:val="1"/>
                <w:color w:val="auto"/>
              </w:rPr>
            </w:pPr>
          </w:p>
        </w:tc>
      </w:tr>
      <w:tr>
        <w:trPr>
          <w:trHeight w:val="190"/>
        </w:trPr>
        <w:tc>
          <w:tcPr>
            <w:tcW w:w="3080" w:type="dxa"/>
            <w:vAlign w:val="bottom"/>
            <w:tcBorders>
              <w:top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Per Share</w:t>
            </w:r>
          </w:p>
        </w:tc>
        <w:tc>
          <w:tcPr>
            <w:tcW w:w="25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ind w:left="60"/>
              <w:spacing w:after="0" w:line="190" w:lineRule="exact"/>
              <w:rPr>
                <w:sz w:val="20"/>
                <w:szCs w:val="20"/>
                <w:color w:val="auto"/>
              </w:rPr>
            </w:pPr>
            <w:r>
              <w:rPr>
                <w:rFonts w:ascii="Arial" w:cs="Arial" w:eastAsia="Arial" w:hAnsi="Arial"/>
                <w:sz w:val="18"/>
                <w:szCs w:val="18"/>
                <w:color w:val="auto"/>
              </w:rPr>
              <w:t xml:space="preserve">$      </w:t>
            </w:r>
          </w:p>
        </w:tc>
        <w:tc>
          <w:tcPr>
            <w:tcW w:w="20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700" w:type="dxa"/>
            <w:vAlign w:val="bottom"/>
            <w:tcBorders>
              <w:top w:val="single" w:sz="8" w:color="auto"/>
            </w:tcBorders>
            <w:shd w:val="clear" w:color="auto" w:fill="CCEEFF"/>
          </w:tcPr>
          <w:p>
            <w:pPr>
              <w:ind w:left="80"/>
              <w:spacing w:after="0" w:line="190" w:lineRule="exact"/>
              <w:rPr>
                <w:sz w:val="20"/>
                <w:szCs w:val="20"/>
                <w:color w:val="auto"/>
              </w:rPr>
            </w:pPr>
            <w:r>
              <w:rPr>
                <w:rFonts w:ascii="Arial" w:cs="Arial" w:eastAsia="Arial" w:hAnsi="Arial"/>
                <w:sz w:val="18"/>
                <w:szCs w:val="18"/>
                <w:color w:val="auto"/>
              </w:rPr>
              <w:t xml:space="preserve">$      </w:t>
            </w:r>
          </w:p>
        </w:tc>
        <w:tc>
          <w:tcPr>
            <w:tcW w:w="80" w:type="dxa"/>
            <w:vAlign w:val="bottom"/>
            <w:tcBorders>
              <w:top w:val="single" w:sz="8" w:color="auto"/>
              <w:right w:val="single" w:sz="8" w:color="CCEEFF"/>
            </w:tcBorders>
            <w:shd w:val="clear" w:color="auto" w:fill="CCEEFF"/>
          </w:tcPr>
          <w:p>
            <w:pPr>
              <w:spacing w:after="0"/>
              <w:rPr>
                <w:sz w:val="16"/>
                <w:szCs w:val="16"/>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3080" w:type="dxa"/>
            <w:vAlign w:val="bottom"/>
            <w:shd w:val="clear" w:color="auto" w:fill="CCEEFF"/>
          </w:tcPr>
          <w:p>
            <w:pPr>
              <w:spacing w:after="0"/>
              <w:rPr>
                <w:sz w:val="4"/>
                <w:szCs w:val="4"/>
                <w:color w:val="auto"/>
              </w:rPr>
            </w:pPr>
          </w:p>
        </w:tc>
        <w:tc>
          <w:tcPr>
            <w:tcW w:w="3240" w:type="dxa"/>
            <w:vAlign w:val="bottom"/>
            <w:gridSpan w:val="2"/>
            <w:shd w:val="clear" w:color="auto" w:fill="CCEEFF"/>
          </w:tcPr>
          <w:p>
            <w:pPr>
              <w:ind w:left="2380"/>
              <w:spacing w:after="0" w:line="53" w:lineRule="exact"/>
              <w:rPr>
                <w:sz w:val="20"/>
                <w:szCs w:val="20"/>
                <w:color w:val="auto"/>
              </w:rPr>
            </w:pPr>
            <w:r>
              <w:rPr>
                <w:rFonts w:ascii="Arial" w:cs="Arial" w:eastAsia="Arial" w:hAnsi="Arial"/>
                <w:sz w:val="5"/>
                <w:szCs w:val="5"/>
                <w:color w:val="auto"/>
              </w:rPr>
              <w:t>​ ​ ​</w:t>
            </w:r>
          </w:p>
        </w:tc>
        <w:tc>
          <w:tcPr>
            <w:tcW w:w="200" w:type="dxa"/>
            <w:vAlign w:val="bottom"/>
            <w:vMerge w:val="continue"/>
            <w:shd w:val="clear" w:color="auto" w:fill="CCEEFF"/>
          </w:tcPr>
          <w:p>
            <w:pPr>
              <w:spacing w:after="0"/>
              <w:rPr>
                <w:sz w:val="4"/>
                <w:szCs w:val="4"/>
                <w:color w:val="auto"/>
              </w:rPr>
            </w:pPr>
          </w:p>
        </w:tc>
        <w:tc>
          <w:tcPr>
            <w:tcW w:w="700" w:type="dxa"/>
            <w:vAlign w:val="bottom"/>
            <w:shd w:val="clear" w:color="auto" w:fill="CCEEFF"/>
          </w:tcPr>
          <w:p>
            <w:pPr>
              <w:ind w:left="80"/>
              <w:spacing w:after="0" w:line="53" w:lineRule="exact"/>
              <w:rPr>
                <w:sz w:val="20"/>
                <w:szCs w:val="20"/>
                <w:color w:val="auto"/>
              </w:rPr>
            </w:pPr>
            <w:r>
              <w:rPr>
                <w:rFonts w:ascii="Arial" w:cs="Arial" w:eastAsia="Arial" w:hAnsi="Arial"/>
                <w:sz w:val="5"/>
                <w:szCs w:val="5"/>
                <w:color w:val="auto"/>
              </w:rPr>
              <w:t>​</w:t>
            </w:r>
          </w:p>
        </w:tc>
        <w:tc>
          <w:tcPr>
            <w:tcW w:w="8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324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700" w:type="dxa"/>
            <w:vAlign w:val="bottom"/>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080" w:type="dxa"/>
            <w:vAlign w:val="bottom"/>
          </w:tcPr>
          <w:p>
            <w:pPr>
              <w:spacing w:after="0"/>
              <w:rPr>
                <w:sz w:val="17"/>
                <w:szCs w:val="17"/>
                <w:color w:val="auto"/>
              </w:rPr>
            </w:pPr>
          </w:p>
        </w:tc>
        <w:tc>
          <w:tcPr>
            <w:tcW w:w="3240" w:type="dxa"/>
            <w:vAlign w:val="bottom"/>
            <w:gridSpan w:val="2"/>
          </w:tcPr>
          <w:p>
            <w:pPr>
              <w:ind w:left="2380"/>
              <w:spacing w:after="0" w:line="199" w:lineRule="exact"/>
              <w:rPr>
                <w:sz w:val="20"/>
                <w:szCs w:val="20"/>
                <w:color w:val="auto"/>
              </w:rPr>
            </w:pPr>
            <w:r>
              <w:rPr>
                <w:rFonts w:ascii="Arial" w:cs="Arial" w:eastAsia="Arial" w:hAnsi="Arial"/>
                <w:sz w:val="18"/>
                <w:szCs w:val="18"/>
                <w:color w:val="auto"/>
              </w:rPr>
              <w:t>​ ​ ​</w:t>
            </w:r>
          </w:p>
        </w:tc>
        <w:tc>
          <w:tcPr>
            <w:tcW w:w="200" w:type="dxa"/>
            <w:vAlign w:val="bottom"/>
            <w:vMerge w:val="continue"/>
          </w:tcPr>
          <w:p>
            <w:pPr>
              <w:spacing w:after="0"/>
              <w:rPr>
                <w:sz w:val="17"/>
                <w:szCs w:val="17"/>
                <w:color w:val="auto"/>
              </w:rPr>
            </w:pPr>
          </w:p>
        </w:tc>
        <w:tc>
          <w:tcPr>
            <w:tcW w:w="700" w:type="dxa"/>
            <w:vAlign w:val="bottom"/>
          </w:tcPr>
          <w:p>
            <w:pPr>
              <w:ind w:left="80"/>
              <w:spacing w:after="0" w:line="19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-426085</wp:posOffset>
            </wp:positionV>
            <wp:extent cx="41478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147820" cy="8255"/>
                    </a:xfrm>
                    <a:prstGeom prst="rect">
                      <a:avLst/>
                    </a:prstGeom>
                    <a:noFill/>
                  </pic:spPr>
                </pic:pic>
              </a:graphicData>
            </a:graphic>
          </wp:anchor>
        </w:drawing>
      </w:r>
    </w:p>
    <w:p>
      <w:pPr>
        <w:ind w:left="1220" w:right="539" w:firstLine="350"/>
        <w:spacing w:after="0" w:line="235" w:lineRule="auto"/>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 prospectus. Any shares sold by the underwriters to securities dealers may be sold at a discount of up to $      per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24" w:lineRule="exact"/>
        <w:rPr>
          <w:sz w:val="20"/>
          <w:szCs w:val="20"/>
          <w:color w:val="auto"/>
        </w:rPr>
      </w:pPr>
    </w:p>
    <w:p>
      <w:pPr>
        <w:ind w:left="1220" w:right="519" w:firstLine="350"/>
        <w:spacing w:after="0" w:line="234" w:lineRule="auto"/>
        <w:rPr>
          <w:sz w:val="20"/>
          <w:szCs w:val="20"/>
          <w:color w:val="auto"/>
        </w:rPr>
      </w:pPr>
      <w:r>
        <w:rPr>
          <w:rFonts w:ascii="Arial" w:cs="Arial" w:eastAsia="Arial" w:hAnsi="Arial"/>
          <w:sz w:val="18"/>
          <w:szCs w:val="18"/>
          <w:color w:val="auto"/>
        </w:rPr>
        <w:t>We and the selling stockholder have agreed or will agree with the underwriters that, through and including the 90th day after the date of this prospectus (the “Lock- Up Period”), subject to certain exceptions, we and they will not, without the prior written consent of Goldman Sachs &amp; Co. LLC and Morgan Stanley &amp; Co. LLC, (1) offer, sell, contract to sell, pledge, grant any option right or warrant to purchase, purchase any option or contract to sell, lend or otherwise transfer or dispose of, directly or indirectly, any shares of our common stock, or any options or warrants to purchase any shares of our common stock, or any securities convertible into, exchangeable for or that represent the right to receive shares of our common stock (including, without limitation, shares that are beneficially owned by such holder),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such holder or someone other than such holder), or transfer of any of the economic consequences of ownership, in whole or in part, directly or indirectly, of any shares of our common stock, or any options or warrants to purchase any</w:t>
      </w:r>
    </w:p>
    <w:p>
      <w:pPr>
        <w:spacing w:after="0" w:line="37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20" w:right="679"/>
        <w:spacing w:after="0" w:line="274" w:lineRule="auto"/>
        <w:rPr>
          <w:sz w:val="20"/>
          <w:szCs w:val="20"/>
          <w:color w:val="auto"/>
        </w:rPr>
      </w:pPr>
      <w:r>
        <w:rPr>
          <w:rFonts w:ascii="Arial" w:cs="Arial" w:eastAsia="Arial" w:hAnsi="Arial"/>
          <w:sz w:val="16"/>
          <w:szCs w:val="16"/>
          <w:color w:val="auto"/>
        </w:rPr>
        <w:t>shares of our common stock, or any securities convertible into, exchangeable for or that represent the right to receive shares of our common stock, whether any such transaction or arrangement described in clause</w:t>
      </w:r>
    </w:p>
    <w:p>
      <w:pPr>
        <w:spacing w:after="0" w:line="1" w:lineRule="exact"/>
        <w:rPr>
          <w:sz w:val="20"/>
          <w:szCs w:val="20"/>
          <w:color w:val="auto"/>
        </w:rPr>
      </w:pPr>
    </w:p>
    <w:p>
      <w:pPr>
        <w:ind w:left="1220" w:right="519" w:firstLine="9"/>
        <w:spacing w:after="0" w:line="235" w:lineRule="auto"/>
        <w:tabs>
          <w:tab w:leader="none" w:pos="14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 (2) (or instrument provided for thereunder) would be settled by delivery of our common stock or other securities, in cash or otherwise, (3) make any demand for or exercise any right with respect to the registration of any shares of our common stock or (4) otherwise publicly announce any intention to engage in or cause any action or activity described in clauses (1), (2) or (3) above.</w:t>
      </w:r>
    </w:p>
    <w:p>
      <w:pPr>
        <w:spacing w:after="0" w:line="122" w:lineRule="exact"/>
        <w:rPr>
          <w:sz w:val="20"/>
          <w:szCs w:val="20"/>
          <w:color w:val="auto"/>
        </w:rPr>
      </w:pPr>
    </w:p>
    <w:p>
      <w:pPr>
        <w:ind w:left="1220" w:right="539" w:firstLine="350"/>
        <w:spacing w:after="0" w:line="244" w:lineRule="auto"/>
        <w:rPr>
          <w:sz w:val="20"/>
          <w:szCs w:val="20"/>
          <w:color w:val="auto"/>
        </w:rPr>
      </w:pPr>
      <w:r>
        <w:rPr>
          <w:rFonts w:ascii="Arial" w:cs="Arial" w:eastAsia="Arial" w:hAnsi="Arial"/>
          <w:sz w:val="18"/>
          <w:szCs w:val="18"/>
          <w:color w:val="auto"/>
        </w:rPr>
        <w:t>Subject to certain additional limitations, including those relating to public filings required to be or voluntarily made in connection with a transfer, the above restrictions on the selling stockholder do not apply to:</w:t>
      </w:r>
    </w:p>
    <w:p>
      <w:pPr>
        <w:spacing w:after="0" w:line="78" w:lineRule="exact"/>
        <w:rPr>
          <w:sz w:val="20"/>
          <w:szCs w:val="20"/>
          <w:color w:val="auto"/>
        </w:rPr>
      </w:pPr>
    </w:p>
    <w:p>
      <w:pPr>
        <w:ind w:left="2000" w:right="1619" w:hanging="421"/>
        <w:spacing w:after="0" w:line="261"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transfers as one or more bona fide gifts or charitable contributions, or for bona fide estate planning purposes;</w:t>
      </w:r>
    </w:p>
    <w:p>
      <w:pPr>
        <w:spacing w:after="0" w:line="88" w:lineRule="exact"/>
        <w:rPr>
          <w:rFonts w:ascii="Arial" w:cs="Arial" w:eastAsia="Arial" w:hAnsi="Arial"/>
          <w:sz w:val="18"/>
          <w:szCs w:val="18"/>
          <w:color w:val="auto"/>
        </w:rPr>
      </w:pPr>
    </w:p>
    <w:p>
      <w:pPr>
        <w:ind w:left="2000" w:hanging="421"/>
        <w:spacing w:after="0"/>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transfers upon death by will, testamentary document or intestate succession;</w:t>
      </w:r>
    </w:p>
    <w:p>
      <w:pPr>
        <w:spacing w:after="0" w:line="108" w:lineRule="exact"/>
        <w:rPr>
          <w:rFonts w:ascii="Arial" w:cs="Arial" w:eastAsia="Arial" w:hAnsi="Arial"/>
          <w:sz w:val="18"/>
          <w:szCs w:val="18"/>
          <w:color w:val="auto"/>
        </w:rPr>
      </w:pPr>
    </w:p>
    <w:p>
      <w:pPr>
        <w:ind w:left="2000" w:right="599" w:hanging="421"/>
        <w:spacing w:after="0" w:line="252"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transfers to a partnership, limited liability company or other entity of which the holder and the immediate family of the holder are the legal and beneficial owner of all of the outstanding equity securities or similar interests;</w:t>
      </w:r>
    </w:p>
    <w:p>
      <w:pPr>
        <w:spacing w:after="0" w:line="84" w:lineRule="exact"/>
        <w:rPr>
          <w:rFonts w:ascii="Arial" w:cs="Arial" w:eastAsia="Arial" w:hAnsi="Arial"/>
          <w:sz w:val="18"/>
          <w:szCs w:val="18"/>
          <w:color w:val="auto"/>
        </w:rPr>
      </w:pPr>
    </w:p>
    <w:p>
      <w:pPr>
        <w:ind w:left="2000" w:right="639" w:hanging="421"/>
        <w:spacing w:after="0" w:line="261"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transfers to a nominee or custodian of a person or entity to whom a disposition or transfer would be permissible under clauses (i) through (iii) above;</w:t>
      </w:r>
    </w:p>
    <w:p>
      <w:pPr>
        <w:spacing w:after="0" w:line="88" w:lineRule="exact"/>
        <w:rPr>
          <w:rFonts w:ascii="Arial" w:cs="Arial" w:eastAsia="Arial" w:hAnsi="Arial"/>
          <w:sz w:val="18"/>
          <w:szCs w:val="18"/>
          <w:color w:val="auto"/>
        </w:rPr>
      </w:pPr>
    </w:p>
    <w:p>
      <w:pPr>
        <w:ind w:left="2000" w:hanging="421"/>
        <w:spacing w:after="0"/>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transfers by a corporation, partnership, limited liability company or other business entity, to</w:t>
      </w:r>
    </w:p>
    <w:p>
      <w:pPr>
        <w:spacing w:after="0" w:line="15" w:lineRule="exact"/>
        <w:rPr>
          <w:rFonts w:ascii="Arial" w:cs="Arial" w:eastAsia="Arial" w:hAnsi="Arial"/>
          <w:sz w:val="18"/>
          <w:szCs w:val="18"/>
          <w:color w:val="auto"/>
        </w:rPr>
      </w:pPr>
    </w:p>
    <w:p>
      <w:pPr>
        <w:ind w:left="2000" w:right="599"/>
        <w:spacing w:after="0" w:line="282" w:lineRule="auto"/>
        <w:rPr>
          <w:rFonts w:ascii="Arial" w:cs="Arial" w:eastAsia="Arial" w:hAnsi="Arial"/>
          <w:sz w:val="18"/>
          <w:szCs w:val="18"/>
          <w:color w:val="auto"/>
        </w:rPr>
      </w:pPr>
      <w:r>
        <w:rPr>
          <w:rFonts w:ascii="Arial" w:cs="Arial" w:eastAsia="Arial" w:hAnsi="Arial"/>
          <w:sz w:val="16"/>
          <w:szCs w:val="16"/>
          <w:color w:val="auto"/>
        </w:rPr>
        <w:t>(A) to another corporation, partnership, limited liability company or other business entity that is an affiliate (as defined in Rule 405 under the Act) of the party, or to any investment fund or other entity which fund or entity is controlled or managed by the holder or its affiliates, or (B) as part of a distribution by to its stockholders, partners, members or other equityholders or to the estate of any such stockholders, partners, members or other equityholders;</w:t>
      </w:r>
    </w:p>
    <w:p>
      <w:pPr>
        <w:spacing w:after="0" w:line="63" w:lineRule="exact"/>
        <w:rPr>
          <w:rFonts w:ascii="Arial" w:cs="Arial" w:eastAsia="Arial" w:hAnsi="Arial"/>
          <w:sz w:val="18"/>
          <w:szCs w:val="18"/>
          <w:color w:val="auto"/>
        </w:rPr>
      </w:pPr>
    </w:p>
    <w:p>
      <w:pPr>
        <w:ind w:left="2000" w:right="679" w:hanging="421"/>
        <w:spacing w:after="0" w:line="261"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transfers by operation of law, such as pursuant to a qualified domestic order, divorce settlement, divorce decree or separation agreement;</w:t>
      </w:r>
    </w:p>
    <w:p>
      <w:pPr>
        <w:spacing w:after="0" w:line="75" w:lineRule="exact"/>
        <w:rPr>
          <w:rFonts w:ascii="Arial" w:cs="Arial" w:eastAsia="Arial" w:hAnsi="Arial"/>
          <w:sz w:val="18"/>
          <w:szCs w:val="18"/>
          <w:color w:val="auto"/>
        </w:rPr>
      </w:pPr>
    </w:p>
    <w:p>
      <w:pPr>
        <w:ind w:left="2000" w:right="1339" w:hanging="421"/>
        <w:spacing w:after="0" w:line="324" w:lineRule="auto"/>
        <w:tabs>
          <w:tab w:leader="none" w:pos="2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transfers to us from one of our employees or service providers upon death, disability or termination of employment, in each case, of such employee or service provider;</w:t>
      </w:r>
    </w:p>
    <w:p>
      <w:pPr>
        <w:spacing w:after="0" w:line="28" w:lineRule="exact"/>
        <w:rPr>
          <w:rFonts w:ascii="Arial" w:cs="Arial" w:eastAsia="Arial" w:hAnsi="Arial"/>
          <w:sz w:val="16"/>
          <w:szCs w:val="16"/>
          <w:color w:val="auto"/>
        </w:rPr>
      </w:pPr>
    </w:p>
    <w:p>
      <w:pPr>
        <w:ind w:left="2000" w:right="999" w:hanging="421"/>
        <w:spacing w:after="0" w:line="261"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transfers of shares acquired (A) from the underwriters in this offering or (B) in open market transactions after the closing of this offering;</w:t>
      </w:r>
    </w:p>
    <w:p>
      <w:pPr>
        <w:spacing w:after="0" w:line="88" w:lineRule="exact"/>
        <w:rPr>
          <w:rFonts w:ascii="Arial" w:cs="Arial" w:eastAsia="Arial" w:hAnsi="Arial"/>
          <w:sz w:val="18"/>
          <w:szCs w:val="18"/>
          <w:color w:val="auto"/>
        </w:rPr>
      </w:pPr>
    </w:p>
    <w:p>
      <w:pPr>
        <w:ind w:left="2000" w:right="559" w:hanging="421"/>
        <w:spacing w:after="0" w:line="281" w:lineRule="auto"/>
        <w:tabs>
          <w:tab w:leader="none" w:pos="2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transfers in connection with the vesting, settlement or exercise of RSUs, options, warrants or other rights to purchase shares of our common stock (including, in each case, by way of “net” or “cashless” exercise), including any transfers to us for the payment of tax withholdings or remittance payments due as a result of the vesting, settlement or exercise of such RSUs,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this prospectus, provided that any securities received upon such vesting, settlement, exercise or conversion shall be subject to the restrictions hereof;</w:t>
      </w:r>
    </w:p>
    <w:p>
      <w:pPr>
        <w:spacing w:after="0" w:line="274" w:lineRule="exact"/>
        <w:rPr>
          <w:rFonts w:ascii="Arial" w:cs="Arial" w:eastAsia="Arial" w:hAnsi="Arial"/>
          <w:sz w:val="16"/>
          <w:szCs w:val="16"/>
          <w:color w:val="auto"/>
        </w:rPr>
      </w:pPr>
    </w:p>
    <w:p>
      <w:pPr>
        <w:jc w:val="both"/>
        <w:ind w:left="2000" w:right="599" w:hanging="421"/>
        <w:spacing w:after="0" w:line="252"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entering into a written plan meeting the requirements of Rule 10b5-1 under the Exchange Act relating to the transfer of shares of common stock, provided that shares of common stock subject to such plan may not be sold during the Lock-Up period;</w:t>
      </w:r>
    </w:p>
    <w:p>
      <w:pPr>
        <w:spacing w:after="0" w:line="84" w:lineRule="exact"/>
        <w:rPr>
          <w:rFonts w:ascii="Arial" w:cs="Arial" w:eastAsia="Arial" w:hAnsi="Arial"/>
          <w:sz w:val="18"/>
          <w:szCs w:val="18"/>
          <w:color w:val="auto"/>
        </w:rPr>
      </w:pPr>
    </w:p>
    <w:p>
      <w:pPr>
        <w:ind w:left="2000" w:right="719" w:hanging="421"/>
        <w:spacing w:after="0" w:line="252"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that is approved by our board of directors and made to all holders of our common stock, and which involves a change in control; or</w:t>
      </w:r>
    </w:p>
    <w:p>
      <w:pPr>
        <w:spacing w:after="0" w:line="84" w:lineRule="exact"/>
        <w:rPr>
          <w:rFonts w:ascii="Arial" w:cs="Arial" w:eastAsia="Arial" w:hAnsi="Arial"/>
          <w:sz w:val="18"/>
          <w:szCs w:val="18"/>
          <w:color w:val="auto"/>
        </w:rPr>
      </w:pPr>
    </w:p>
    <w:p>
      <w:pPr>
        <w:ind w:left="2000" w:right="1239" w:hanging="421"/>
        <w:spacing w:after="0" w:line="261"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transfers made with the prior written consent of Goldman Sachs &amp; Co. LLC and Morgan Stanley &amp; Co. LLC on behalf of the underwriters.</w:t>
      </w:r>
    </w:p>
    <w:p>
      <w:pPr>
        <w:spacing w:after="0" w:line="115"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The restrictions on us set forth above are subject to certain exceptions, including with respect to:</w:t>
      </w:r>
    </w:p>
    <w:p>
      <w:pPr>
        <w:spacing w:after="0" w:line="131" w:lineRule="exact"/>
        <w:rPr>
          <w:sz w:val="20"/>
          <w:szCs w:val="20"/>
          <w:color w:val="auto"/>
        </w:rPr>
      </w:pPr>
    </w:p>
    <w:p>
      <w:pPr>
        <w:ind w:left="1920" w:right="559" w:hanging="341"/>
        <w:spacing w:after="0" w:line="261" w:lineRule="auto"/>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issuance of the shares of Class A common stock upon conversion of shares of Class B common stock to be sold to the underwriters pursuant to the underwriting agreement;</w:t>
      </w:r>
    </w:p>
    <w:p>
      <w:pPr>
        <w:sectPr>
          <w:pgSz w:w="11900" w:h="16838" w:orient="portrait"/>
          <w:cols w:equalWidth="0" w:num="1">
            <w:col w:w="9739"/>
          </w:cols>
          <w:pgMar w:left="720" w:top="90" w:right="1440" w:bottom="1440" w:gutter="0" w:footer="0" w:header="0"/>
        </w:sectPr>
      </w:pPr>
    </w:p>
    <w:p>
      <w:pPr>
        <w:spacing w:after="0" w:line="365"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254000</wp:posOffset>
            </wp:positionV>
            <wp:extent cx="664400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920" w:right="659" w:hanging="341"/>
        <w:spacing w:after="0" w:line="248" w:lineRule="auto"/>
        <w:tabs>
          <w:tab w:leader="none" w:pos="1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grant of options to purchase or the issuance of shares of common stock or securities convertible into, convertible into, exchangeable for or that represent the right to receive shares of common stock, including restricted stock units, pursuant to our equity compensation plans described in this prospectus, provided that any such options or securities shall not vest during the Lock-Up Period;</w:t>
      </w:r>
    </w:p>
    <w:p>
      <w:pPr>
        <w:spacing w:after="0" w:line="113" w:lineRule="exact"/>
        <w:rPr>
          <w:rFonts w:ascii="Arial" w:cs="Arial" w:eastAsia="Arial" w:hAnsi="Arial"/>
          <w:sz w:val="18"/>
          <w:szCs w:val="18"/>
          <w:color w:val="auto"/>
        </w:rPr>
      </w:pPr>
    </w:p>
    <w:p>
      <w:pPr>
        <w:ind w:left="1920" w:right="559" w:hanging="341"/>
        <w:spacing w:after="0" w:line="277" w:lineRule="auto"/>
        <w:tabs>
          <w:tab w:leader="none" w:pos="1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entry into an agreement providing for the issuance of shares of common stock or any security convertible into or exercisable for shares of common stock in connection with (A) the acquisition by us or any of our subsidiaries of the securities, business, technology, property or other assets of another person or entity or pursuant to an employee benefit plan assumed by us in connection with such acquisition, and the issuance of any such securities pursuant to any such agreement or</w:t>
      </w:r>
    </w:p>
    <w:p>
      <w:pPr>
        <w:spacing w:after="0" w:line="1" w:lineRule="exact"/>
        <w:rPr>
          <w:rFonts w:ascii="Arial" w:cs="Arial" w:eastAsia="Arial" w:hAnsi="Arial"/>
          <w:sz w:val="16"/>
          <w:szCs w:val="16"/>
          <w:color w:val="auto"/>
        </w:rPr>
      </w:pPr>
    </w:p>
    <w:p>
      <w:pPr>
        <w:ind w:left="1920" w:right="599" w:firstLine="9"/>
        <w:spacing w:after="0" w:line="285" w:lineRule="auto"/>
        <w:tabs>
          <w:tab w:leader="none" w:pos="2211" w:val="left"/>
        </w:tabs>
        <w:numPr>
          <w:ilvl w:val="1"/>
          <w:numId w:val="16"/>
        </w:numPr>
        <w:rPr>
          <w:rFonts w:ascii="Arial" w:cs="Arial" w:eastAsia="Arial" w:hAnsi="Arial"/>
          <w:sz w:val="16"/>
          <w:szCs w:val="16"/>
          <w:color w:val="auto"/>
        </w:rPr>
      </w:pPr>
      <w:r>
        <w:rPr>
          <w:rFonts w:ascii="Arial" w:cs="Arial" w:eastAsia="Arial" w:hAnsi="Arial"/>
          <w:sz w:val="16"/>
          <w:szCs w:val="16"/>
          <w:color w:val="auto"/>
        </w:rPr>
        <w:t>joint ventures, commercial relationships, debt financings, charitable contributions, or other strategic transactions, provided that the aggregate number of shares of common stock that we may sell or issue or agree to sell or issue pursuant to clause (A) and (B) may not exceed 10% of the total number of shares of common stock outstanding immediately following this offering; or</w:t>
      </w:r>
    </w:p>
    <w:p>
      <w:pPr>
        <w:spacing w:after="0" w:line="86" w:lineRule="exact"/>
        <w:rPr>
          <w:rFonts w:ascii="Arial" w:cs="Arial" w:eastAsia="Arial" w:hAnsi="Arial"/>
          <w:sz w:val="16"/>
          <w:szCs w:val="16"/>
          <w:color w:val="auto"/>
        </w:rPr>
      </w:pPr>
    </w:p>
    <w:p>
      <w:pPr>
        <w:ind w:left="1920" w:right="679" w:hanging="341"/>
        <w:spacing w:after="0" w:line="261" w:lineRule="auto"/>
        <w:tabs>
          <w:tab w:leader="none" w:pos="1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of any registration statement on Form S-8 relating to securities granted or to be granted pursuant to our equity incentive plans described in this prospectus.</w:t>
      </w:r>
    </w:p>
    <w:p>
      <w:pPr>
        <w:spacing w:after="0" w:line="115" w:lineRule="exact"/>
        <w:rPr>
          <w:sz w:val="20"/>
          <w:szCs w:val="20"/>
          <w:color w:val="auto"/>
        </w:rPr>
      </w:pPr>
    </w:p>
    <w:p>
      <w:pPr>
        <w:ind w:left="1220" w:right="599" w:firstLine="350"/>
        <w:spacing w:after="0" w:line="246" w:lineRule="auto"/>
        <w:rPr>
          <w:sz w:val="20"/>
          <w:szCs w:val="20"/>
          <w:color w:val="auto"/>
        </w:rPr>
      </w:pPr>
      <w:r>
        <w:rPr>
          <w:rFonts w:ascii="Arial" w:cs="Arial" w:eastAsia="Arial" w:hAnsi="Arial"/>
          <w:sz w:val="18"/>
          <w:szCs w:val="18"/>
          <w:color w:val="auto"/>
        </w:rPr>
        <w:t>Goldman Sachs &amp; Co. LLC and Morgan Stanley &amp; Co. LLC may, in their discretion, release any of the securities subject to these lock-up agreements at any time.</w:t>
      </w:r>
    </w:p>
    <w:p>
      <w:pPr>
        <w:spacing w:after="0" w:line="115" w:lineRule="exact"/>
        <w:rPr>
          <w:sz w:val="20"/>
          <w:szCs w:val="20"/>
          <w:color w:val="auto"/>
        </w:rPr>
      </w:pPr>
    </w:p>
    <w:p>
      <w:pPr>
        <w:ind w:left="1220" w:right="519" w:firstLine="350"/>
        <w:spacing w:after="0" w:line="266" w:lineRule="auto"/>
        <w:rPr>
          <w:sz w:val="20"/>
          <w:szCs w:val="20"/>
          <w:color w:val="auto"/>
        </w:rPr>
      </w:pPr>
      <w:r>
        <w:rPr>
          <w:rFonts w:ascii="Arial" w:cs="Arial" w:eastAsia="Arial" w:hAnsi="Arial"/>
          <w:sz w:val="16"/>
          <w:szCs w:val="16"/>
          <w:color w:val="auto"/>
        </w:rPr>
        <w:t>In connection with this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Stabilizing transactions consist of various bids for or purchases of Class A common stock made by the underwriters in the open market prior to the closing of this offering.</w:t>
      </w:r>
    </w:p>
    <w:p>
      <w:pPr>
        <w:spacing w:after="0" w:line="306" w:lineRule="exact"/>
        <w:rPr>
          <w:sz w:val="20"/>
          <w:szCs w:val="20"/>
          <w:color w:val="auto"/>
        </w:rPr>
      </w:pPr>
    </w:p>
    <w:p>
      <w:pPr>
        <w:ind w:left="1220" w:right="739" w:firstLine="350"/>
        <w:spacing w:after="0" w:line="23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22" w:lineRule="exact"/>
        <w:rPr>
          <w:sz w:val="20"/>
          <w:szCs w:val="20"/>
          <w:color w:val="auto"/>
        </w:rPr>
      </w:pPr>
    </w:p>
    <w:p>
      <w:pPr>
        <w:ind w:left="1220" w:right="639" w:firstLine="350"/>
        <w:spacing w:after="0" w:line="271"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the Nasdaq, in the over-the-counter market, or otherwise.</w:t>
      </w:r>
    </w:p>
    <w:p>
      <w:pPr>
        <w:spacing w:after="0" w:line="97" w:lineRule="exact"/>
        <w:rPr>
          <w:sz w:val="20"/>
          <w:szCs w:val="20"/>
          <w:color w:val="auto"/>
        </w:rPr>
      </w:pPr>
    </w:p>
    <w:p>
      <w:pPr>
        <w:ind w:left="1220" w:right="699" w:firstLine="350"/>
        <w:spacing w:after="0" w:line="246"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$1.1 million.</w:t>
      </w:r>
    </w:p>
    <w:p>
      <w:pPr>
        <w:spacing w:after="0" w:line="1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We will also agree to reimburse the underwriters for expenses in an amount not to exceed</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$      relating to clearance of this offering with the Financial Industry Regulatory Authority. We and the</w:t>
      </w:r>
    </w:p>
    <w:p>
      <w:pPr>
        <w:spacing w:after="0" w:line="24"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selling stockholder will also agree to indemnify the several underwriters against certain liabilities, including</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liabilities under the Securities Act.</w:t>
      </w:r>
    </w:p>
    <w:p>
      <w:pPr>
        <w:sectPr>
          <w:pgSz w:w="11900" w:h="16838" w:orient="portrait"/>
          <w:cols w:equalWidth="0" w:num="1">
            <w:col w:w="9739"/>
          </w:cols>
          <w:pgMar w:left="720" w:top="90" w:right="1440" w:bottom="1440" w:gutter="0" w:footer="0" w:header="0"/>
        </w:sectPr>
      </w:pPr>
    </w:p>
    <w:p>
      <w:pPr>
        <w:spacing w:after="0" w:line="370"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254000</wp:posOffset>
            </wp:positionV>
            <wp:extent cx="664400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20" w:right="579" w:firstLine="350"/>
        <w:spacing w:after="0" w:line="273"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98" w:lineRule="exact"/>
        <w:rPr>
          <w:sz w:val="20"/>
          <w:szCs w:val="20"/>
          <w:color w:val="auto"/>
        </w:rPr>
      </w:pPr>
    </w:p>
    <w:p>
      <w:pPr>
        <w:ind w:left="1220" w:right="539" w:firstLine="350"/>
        <w:spacing w:after="0" w:line="268"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whom we have relationships.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61"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Selling Restrictions</w:t>
      </w:r>
    </w:p>
    <w:p>
      <w:pPr>
        <w:spacing w:after="0" w:line="220"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42" w:lineRule="exact"/>
        <w:rPr>
          <w:sz w:val="20"/>
          <w:szCs w:val="20"/>
          <w:color w:val="auto"/>
        </w:rPr>
      </w:pPr>
    </w:p>
    <w:p>
      <w:pPr>
        <w:ind w:left="1220" w:right="539" w:firstLine="350"/>
        <w:spacing w:after="0" w:line="272" w:lineRule="auto"/>
        <w:rPr>
          <w:sz w:val="20"/>
          <w:szCs w:val="20"/>
          <w:color w:val="auto"/>
        </w:rPr>
      </w:pPr>
      <w:r>
        <w:rPr>
          <w:rFonts w:ascii="Arial" w:cs="Arial" w:eastAsia="Arial" w:hAnsi="Arial"/>
          <w:sz w:val="16"/>
          <w:szCs w:val="16"/>
          <w:color w:val="auto"/>
        </w:rPr>
        <w:t>In relation to each EEA Member State (each a “</w:t>
      </w:r>
      <w:r>
        <w:rPr>
          <w:rFonts w:ascii="Arial" w:cs="Arial" w:eastAsia="Arial" w:hAnsi="Arial"/>
          <w:sz w:val="16"/>
          <w:szCs w:val="16"/>
          <w:b w:val="1"/>
          <w:bCs w:val="1"/>
          <w:color w:val="auto"/>
        </w:rPr>
        <w:t>Relevant Member State</w:t>
      </w:r>
      <w:r>
        <w:rPr>
          <w:rFonts w:ascii="Arial" w:cs="Arial" w:eastAsia="Arial" w:hAnsi="Arial"/>
          <w:sz w:val="16"/>
          <w:szCs w:val="16"/>
          <w:color w:val="auto"/>
        </w:rPr>
        <w:t>”), no shares of Class A common stock have been offered or will be offered pursuant to the Offering to the public in that Relevant Member State prior to the publication of a prospectus in relation to the shares of Class A common stock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of Class A common stock may be offered to the public in that Relevant Member State at any time:</w:t>
      </w:r>
    </w:p>
    <w:p>
      <w:pPr>
        <w:spacing w:after="0" w:line="97" w:lineRule="exact"/>
        <w:rPr>
          <w:sz w:val="20"/>
          <w:szCs w:val="20"/>
          <w:color w:val="auto"/>
        </w:rPr>
      </w:pPr>
    </w:p>
    <w:p>
      <w:pPr>
        <w:ind w:left="1920" w:right="1099" w:hanging="341"/>
        <w:spacing w:after="0" w:line="261" w:lineRule="auto"/>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01" w:lineRule="exact"/>
        <w:rPr>
          <w:rFonts w:ascii="Arial" w:cs="Arial" w:eastAsia="Arial" w:hAnsi="Arial"/>
          <w:sz w:val="18"/>
          <w:szCs w:val="18"/>
          <w:color w:val="auto"/>
        </w:rPr>
      </w:pPr>
    </w:p>
    <w:p>
      <w:pPr>
        <w:ind w:left="1920" w:right="539" w:hanging="341"/>
        <w:spacing w:after="0" w:line="252" w:lineRule="auto"/>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Joint Global Coordinators for any such offer; or</w:t>
      </w:r>
    </w:p>
    <w:p>
      <w:pPr>
        <w:spacing w:after="0" w:line="123" w:lineRule="exact"/>
        <w:rPr>
          <w:rFonts w:ascii="Arial" w:cs="Arial" w:eastAsia="Arial" w:hAnsi="Arial"/>
          <w:sz w:val="18"/>
          <w:szCs w:val="18"/>
          <w:color w:val="auto"/>
        </w:rPr>
      </w:pPr>
    </w:p>
    <w:p>
      <w:pPr>
        <w:ind w:left="1920" w:hanging="341"/>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35" w:lineRule="exact"/>
        <w:rPr>
          <w:sz w:val="20"/>
          <w:szCs w:val="20"/>
          <w:color w:val="auto"/>
        </w:rPr>
      </w:pPr>
    </w:p>
    <w:p>
      <w:pPr>
        <w:ind w:left="1220" w:right="539"/>
        <w:spacing w:after="0" w:line="299" w:lineRule="auto"/>
        <w:rPr>
          <w:sz w:val="20"/>
          <w:szCs w:val="20"/>
          <w:color w:val="auto"/>
        </w:rPr>
      </w:pPr>
      <w:r>
        <w:rPr>
          <w:rFonts w:ascii="Arial" w:cs="Arial" w:eastAsia="Arial" w:hAnsi="Arial"/>
          <w:sz w:val="16"/>
          <w:szCs w:val="16"/>
          <w:color w:val="auto"/>
        </w:rPr>
        <w:t>provided that no such offer of the shares of Class A common stock shall require the Company and/or Selling Shareholders or any Bank to publish a prospectus pursuant to Article 3 of the Prospectus Regulation or supplement a prospectus pursuant to Article 23 of the Prospectus Regulation.</w:t>
      </w:r>
    </w:p>
    <w:p>
      <w:pPr>
        <w:spacing w:after="0" w:line="88" w:lineRule="exact"/>
        <w:rPr>
          <w:sz w:val="20"/>
          <w:szCs w:val="20"/>
          <w:color w:val="auto"/>
        </w:rPr>
      </w:pPr>
    </w:p>
    <w:p>
      <w:pPr>
        <w:ind w:left="1220" w:right="839" w:firstLine="350"/>
        <w:spacing w:after="0" w:line="286" w:lineRule="auto"/>
        <w:rPr>
          <w:sz w:val="20"/>
          <w:szCs w:val="20"/>
          <w:color w:val="auto"/>
        </w:rPr>
      </w:pPr>
      <w:r>
        <w:rPr>
          <w:rFonts w:ascii="Arial" w:cs="Arial" w:eastAsia="Arial" w:hAnsi="Arial"/>
          <w:sz w:val="16"/>
          <w:szCs w:val="16"/>
          <w:color w:val="auto"/>
        </w:rPr>
        <w:t>For the purposes of this provision, the expression an ‘offer to the public’ in relation to the shares of Class A common stock in any Relevant Member State means the communication in any form and by any means of sufficient information on the terms of the offer and any shares of Class A common stock to be offered so as to enable an investor to decide to purchase any shares of Class A common stock, and the expression “Prospectus Regulation” means Regulation (EU) 2017/1129.</w:t>
      </w:r>
    </w:p>
    <w:p>
      <w:pPr>
        <w:spacing w:after="0" w:line="100" w:lineRule="exact"/>
        <w:rPr>
          <w:sz w:val="20"/>
          <w:szCs w:val="20"/>
          <w:color w:val="auto"/>
        </w:rPr>
      </w:pPr>
    </w:p>
    <w:p>
      <w:pPr>
        <w:ind w:left="1220" w:right="779" w:firstLine="350"/>
        <w:spacing w:after="0" w:line="249"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shares of Class A common stock under, the Offering contemplated hereby will be deemed to have represented, warranted and agreed to and with each of the Underwriters and their affiliates and the Company that:</w:t>
      </w:r>
    </w:p>
    <w:p>
      <w:pPr>
        <w:spacing w:after="0" w:line="114" w:lineRule="exact"/>
        <w:rPr>
          <w:sz w:val="20"/>
          <w:szCs w:val="20"/>
          <w:color w:val="auto"/>
        </w:rPr>
      </w:pPr>
    </w:p>
    <w:p>
      <w:pPr>
        <w:ind w:left="1920" w:hanging="341"/>
        <w:spacing w:after="0"/>
        <w:tabs>
          <w:tab w:leader="none" w:pos="1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Prospectus Regulation; and</w:t>
      </w:r>
    </w:p>
    <w:p>
      <w:pPr>
        <w:spacing w:after="0" w:line="147" w:lineRule="exact"/>
        <w:rPr>
          <w:rFonts w:ascii="Arial" w:cs="Arial" w:eastAsia="Arial" w:hAnsi="Arial"/>
          <w:sz w:val="18"/>
          <w:szCs w:val="18"/>
          <w:color w:val="auto"/>
        </w:rPr>
      </w:pPr>
    </w:p>
    <w:p>
      <w:pPr>
        <w:ind w:left="1920" w:right="579" w:hanging="341"/>
        <w:spacing w:after="0" w:line="299" w:lineRule="auto"/>
        <w:tabs>
          <w:tab w:leader="none" w:pos="1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case of any shares of Class A common stock acquired by it as a financial intermediary, as that term is used in Article 5 of the Prospectus Regulation, (i) the shares of Class A common stock acquired by it in the Offering have not been acquired on a non-discretionary basis on behalf of,</w:t>
      </w:r>
    </w:p>
    <w:p>
      <w:pPr>
        <w:spacing w:after="0" w:line="32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664400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920" w:right="539"/>
        <w:spacing w:after="0" w:line="237" w:lineRule="auto"/>
        <w:rPr>
          <w:sz w:val="20"/>
          <w:szCs w:val="20"/>
          <w:color w:val="auto"/>
        </w:rPr>
      </w:pPr>
      <w:r>
        <w:rPr>
          <w:rFonts w:ascii="Arial" w:cs="Arial" w:eastAsia="Arial" w:hAnsi="Arial"/>
          <w:sz w:val="18"/>
          <w:szCs w:val="18"/>
          <w:color w:val="auto"/>
        </w:rPr>
        <w:t>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Joint Global Coordinators has been given to the offer or resale; or (ii) where the shares of Class A common stock have been acquired by it on behalf of persons in any Relevant Member State other than qualified investors, the offer of those shares of Class A common stock to it is not treated under the Prospectus Regulation as having been made to such persons.</w:t>
      </w:r>
    </w:p>
    <w:p>
      <w:pPr>
        <w:spacing w:after="0" w:line="126" w:lineRule="exact"/>
        <w:rPr>
          <w:sz w:val="20"/>
          <w:szCs w:val="20"/>
          <w:color w:val="auto"/>
        </w:rPr>
      </w:pPr>
    </w:p>
    <w:p>
      <w:pPr>
        <w:jc w:val="both"/>
        <w:ind w:left="1220" w:right="559" w:firstLine="350"/>
        <w:spacing w:after="0" w:line="237" w:lineRule="auto"/>
        <w:rPr>
          <w:sz w:val="20"/>
          <w:szCs w:val="20"/>
          <w:color w:val="auto"/>
        </w:rPr>
      </w:pPr>
      <w:r>
        <w:rPr>
          <w:rFonts w:ascii="Arial" w:cs="Arial" w:eastAsia="Arial" w:hAnsi="Arial"/>
          <w:sz w:val="18"/>
          <w:szCs w:val="18"/>
          <w:color w:val="auto"/>
        </w:rPr>
        <w:t>The Company, the Underwriters and their affiliates, and others will rely upon the truth and accuracy of the foregoing representation, acknowledgement and agreement. Notwithstanding the above, a person who is not a qualified investor and who has notified the Joint Global Coordinators of such fact in writing may, with the prior consent of the Joint Global Coordinators, be permitted to acquire shares of Class A common stock in the Offering.</w:t>
      </w:r>
    </w:p>
    <w:p>
      <w:pPr>
        <w:spacing w:after="0" w:line="187"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48" w:lineRule="exact"/>
        <w:rPr>
          <w:sz w:val="20"/>
          <w:szCs w:val="20"/>
          <w:color w:val="auto"/>
        </w:rPr>
      </w:pPr>
    </w:p>
    <w:p>
      <w:pPr>
        <w:ind w:left="1220" w:right="859" w:firstLine="350"/>
        <w:spacing w:after="0" w:line="268" w:lineRule="auto"/>
        <w:rPr>
          <w:sz w:val="20"/>
          <w:szCs w:val="20"/>
          <w:color w:val="auto"/>
        </w:rPr>
      </w:pPr>
      <w:r>
        <w:rPr>
          <w:rFonts w:ascii="Arial" w:cs="Arial" w:eastAsia="Arial" w:hAnsi="Arial"/>
          <w:sz w:val="16"/>
          <w:szCs w:val="16"/>
          <w:color w:val="auto"/>
        </w:rPr>
        <w:t>This Prospectus and any other material in relation to the shares of Class A common stock described herein is only being distributed to, and is only directed at, and any investment or investment activity to which this Prospectus relates is available only to, and will be engaged in only with persons who are</w:t>
      </w:r>
    </w:p>
    <w:p>
      <w:pPr>
        <w:spacing w:after="0" w:line="2" w:lineRule="exact"/>
        <w:rPr>
          <w:sz w:val="20"/>
          <w:szCs w:val="20"/>
          <w:color w:val="auto"/>
        </w:rPr>
      </w:pPr>
    </w:p>
    <w:p>
      <w:pPr>
        <w:ind w:left="1220" w:right="559" w:firstLine="9"/>
        <w:spacing w:after="0" w:line="265" w:lineRule="auto"/>
        <w:tabs>
          <w:tab w:leader="none" w:pos="1443"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of Class A common stock may otherwise lawfully be communicated or caused to be communicated, (all such persons together being referred to as “</w:t>
      </w:r>
      <w:r>
        <w:rPr>
          <w:rFonts w:ascii="Arial" w:cs="Arial" w:eastAsia="Arial" w:hAnsi="Arial"/>
          <w:sz w:val="16"/>
          <w:szCs w:val="16"/>
          <w:b w:val="1"/>
          <w:bCs w:val="1"/>
          <w:color w:val="auto"/>
        </w:rPr>
        <w:t>Relevant Persons</w:t>
      </w:r>
      <w:r>
        <w:rPr>
          <w:rFonts w:ascii="Arial" w:cs="Arial" w:eastAsia="Arial" w:hAnsi="Arial"/>
          <w:sz w:val="16"/>
          <w:szCs w:val="16"/>
          <w:color w:val="auto"/>
        </w:rPr>
        <w:t>”). The shares of Class A common stock are only available in the UK to, and any invitation, offer or agreement to purchase or otherwise acquire the shares of Class A common stock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04" w:lineRule="exact"/>
        <w:rPr>
          <w:sz w:val="20"/>
          <w:szCs w:val="20"/>
          <w:color w:val="auto"/>
        </w:rPr>
      </w:pPr>
    </w:p>
    <w:p>
      <w:pPr>
        <w:ind w:left="1220" w:right="539" w:firstLine="350"/>
        <w:spacing w:after="0" w:line="279" w:lineRule="auto"/>
        <w:rPr>
          <w:sz w:val="20"/>
          <w:szCs w:val="20"/>
          <w:color w:val="auto"/>
        </w:rPr>
      </w:pPr>
      <w:r>
        <w:rPr>
          <w:rFonts w:ascii="Arial" w:cs="Arial" w:eastAsia="Arial" w:hAnsi="Arial"/>
          <w:sz w:val="16"/>
          <w:szCs w:val="16"/>
          <w:color w:val="auto"/>
        </w:rPr>
        <w:t>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except that the shares of Class A common stock may be offered to the public in the United Kingdom at any time:</w:t>
      </w:r>
    </w:p>
    <w:p>
      <w:pPr>
        <w:spacing w:after="0" w:line="91" w:lineRule="exact"/>
        <w:rPr>
          <w:sz w:val="20"/>
          <w:szCs w:val="20"/>
          <w:color w:val="auto"/>
        </w:rPr>
      </w:pPr>
    </w:p>
    <w:p>
      <w:pPr>
        <w:ind w:left="1920" w:right="779" w:hanging="341"/>
        <w:spacing w:after="0" w:line="261" w:lineRule="auto"/>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01" w:lineRule="exact"/>
        <w:rPr>
          <w:rFonts w:ascii="Arial" w:cs="Arial" w:eastAsia="Arial" w:hAnsi="Arial"/>
          <w:sz w:val="18"/>
          <w:szCs w:val="18"/>
          <w:color w:val="auto"/>
        </w:rPr>
      </w:pPr>
    </w:p>
    <w:p>
      <w:pPr>
        <w:ind w:left="1920" w:right="539" w:hanging="341"/>
        <w:spacing w:after="0" w:line="252" w:lineRule="auto"/>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Global Coordinators for any such offer; or</w:t>
      </w:r>
    </w:p>
    <w:p>
      <w:pPr>
        <w:spacing w:after="0" w:line="123" w:lineRule="exact"/>
        <w:rPr>
          <w:rFonts w:ascii="Arial" w:cs="Arial" w:eastAsia="Arial" w:hAnsi="Arial"/>
          <w:sz w:val="18"/>
          <w:szCs w:val="18"/>
          <w:color w:val="auto"/>
        </w:rPr>
      </w:pPr>
    </w:p>
    <w:p>
      <w:pPr>
        <w:ind w:left="1920" w:hanging="341"/>
        <w:spacing w:after="0"/>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35" w:lineRule="exact"/>
        <w:rPr>
          <w:sz w:val="20"/>
          <w:szCs w:val="20"/>
          <w:color w:val="auto"/>
        </w:rPr>
      </w:pPr>
    </w:p>
    <w:p>
      <w:pPr>
        <w:ind w:left="1220" w:right="559"/>
        <w:spacing w:after="0" w:line="236" w:lineRule="auto"/>
        <w:rPr>
          <w:sz w:val="20"/>
          <w:szCs w:val="20"/>
          <w:color w:val="auto"/>
        </w:rPr>
      </w:pPr>
      <w:r>
        <w:rPr>
          <w:rFonts w:ascii="Arial" w:cs="Arial" w:eastAsia="Arial" w:hAnsi="Arial"/>
          <w:sz w:val="18"/>
          <w:szCs w:val="18"/>
          <w:color w:val="auto"/>
        </w:rPr>
        <w:t>provided that no such offer of the shares of Class A common stock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of Class A common stock in the United Kingdom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“UK Prospectus Regulation” means Regulation (EU) 2017/1129 as it forms part of domestic law by virtue of the European Union (Withdrawal) Act 2018.</w:t>
      </w:r>
    </w:p>
    <w:p>
      <w:pPr>
        <w:spacing w:after="0" w:line="127" w:lineRule="exact"/>
        <w:rPr>
          <w:sz w:val="20"/>
          <w:szCs w:val="20"/>
          <w:color w:val="auto"/>
        </w:rPr>
      </w:pPr>
    </w:p>
    <w:p>
      <w:pPr>
        <w:jc w:val="both"/>
        <w:ind w:left="1220" w:right="619" w:firstLine="350"/>
        <w:spacing w:after="0" w:line="290" w:lineRule="auto"/>
        <w:rPr>
          <w:sz w:val="20"/>
          <w:szCs w:val="20"/>
          <w:color w:val="auto"/>
        </w:rPr>
      </w:pPr>
      <w:r>
        <w:rPr>
          <w:rFonts w:ascii="Arial" w:cs="Arial" w:eastAsia="Arial" w:hAnsi="Arial"/>
          <w:sz w:val="16"/>
          <w:szCs w:val="16"/>
          <w:color w:val="auto"/>
        </w:rPr>
        <w:t>Each person in the UK who acquires any shares of Class A common stock in the Offer or to whom any offer is made will be deemed to have represented, acknowledged and agreed to and with the Company, the Underwriters and their affiliates that it meets the criteria outlined in this section.</w:t>
      </w:r>
    </w:p>
    <w:p>
      <w:pPr>
        <w:spacing w:after="0" w:line="31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Israel</w:t>
      </w:r>
    </w:p>
    <w:p>
      <w:pPr>
        <w:spacing w:after="0" w:line="148" w:lineRule="exact"/>
        <w:rPr>
          <w:sz w:val="20"/>
          <w:szCs w:val="20"/>
          <w:color w:val="auto"/>
        </w:rPr>
      </w:pPr>
    </w:p>
    <w:p>
      <w:pPr>
        <w:ind w:left="1220" w:right="939" w:firstLine="350"/>
        <w:spacing w:after="0" w:line="266" w:lineRule="auto"/>
        <w:rPr>
          <w:sz w:val="20"/>
          <w:szCs w:val="20"/>
          <w:color w:val="auto"/>
        </w:rPr>
      </w:pPr>
      <w:r>
        <w:rPr>
          <w:rFonts w:ascii="Arial" w:cs="Arial" w:eastAsia="Arial" w:hAnsi="Arial"/>
          <w:sz w:val="16"/>
          <w:szCs w:val="16"/>
          <w:color w:val="auto"/>
        </w:rPr>
        <w:t>This prospectus does not constitute a prospectus as defined under the Israeli Securities Law (the “Israeli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w:t>
      </w:r>
    </w:p>
    <w:p>
      <w:pPr>
        <w:ind w:left="1220" w:right="579" w:firstLine="9"/>
        <w:spacing w:after="0" w:line="269" w:lineRule="auto"/>
        <w:tabs>
          <w:tab w:leader="none" w:pos="14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investors listed in the first addendum (as it may be amended from time to time,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63"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Canada</w:t>
      </w:r>
    </w:p>
    <w:p>
      <w:pPr>
        <w:spacing w:after="0" w:line="148" w:lineRule="exact"/>
        <w:rPr>
          <w:sz w:val="20"/>
          <w:szCs w:val="20"/>
          <w:color w:val="auto"/>
        </w:rPr>
      </w:pPr>
    </w:p>
    <w:p>
      <w:pPr>
        <w:ind w:left="1220" w:right="559" w:firstLine="350"/>
        <w:spacing w:after="0" w:line="270"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45- 106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99" w:lineRule="exact"/>
        <w:rPr>
          <w:sz w:val="20"/>
          <w:szCs w:val="20"/>
          <w:color w:val="auto"/>
        </w:rPr>
      </w:pPr>
    </w:p>
    <w:p>
      <w:pPr>
        <w:ind w:left="1220" w:right="939" w:firstLine="350"/>
        <w:spacing w:after="0" w:line="273"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98" w:lineRule="exact"/>
        <w:rPr>
          <w:sz w:val="20"/>
          <w:szCs w:val="20"/>
          <w:color w:val="auto"/>
        </w:rPr>
      </w:pPr>
    </w:p>
    <w:p>
      <w:pPr>
        <w:ind w:left="1220" w:right="1079" w:firstLine="350"/>
        <w:spacing w:after="0" w:line="23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99"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Hong Kong</w:t>
      </w:r>
    </w:p>
    <w:p>
      <w:pPr>
        <w:spacing w:after="0" w:line="135" w:lineRule="exact"/>
        <w:rPr>
          <w:sz w:val="20"/>
          <w:szCs w:val="20"/>
          <w:color w:val="auto"/>
        </w:rPr>
      </w:pPr>
    </w:p>
    <w:p>
      <w:pPr>
        <w:jc w:val="both"/>
        <w:ind w:left="1220" w:right="539" w:firstLine="350"/>
        <w:spacing w:after="0" w:line="268" w:lineRule="auto"/>
        <w:rPr>
          <w:sz w:val="20"/>
          <w:szCs w:val="20"/>
          <w:color w:val="auto"/>
        </w:rPr>
      </w:pPr>
      <w:r>
        <w:rPr>
          <w:rFonts w:ascii="Arial" w:cs="Arial" w:eastAsia="Arial" w:hAnsi="Arial"/>
          <w:sz w:val="16"/>
          <w:szCs w:val="16"/>
          <w:color w:val="auto"/>
        </w:rPr>
        <w:t>Our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w:t>
      </w:r>
    </w:p>
    <w:p>
      <w:pPr>
        <w:spacing w:after="0" w:line="2" w:lineRule="exact"/>
        <w:rPr>
          <w:sz w:val="20"/>
          <w:szCs w:val="20"/>
          <w:color w:val="auto"/>
        </w:rPr>
      </w:pPr>
    </w:p>
    <w:p>
      <w:pPr>
        <w:ind w:left="1220" w:right="639"/>
        <w:spacing w:after="0" w:line="266" w:lineRule="auto"/>
        <w:rPr>
          <w:sz w:val="20"/>
          <w:szCs w:val="20"/>
          <w:color w:val="auto"/>
        </w:rPr>
      </w:pPr>
      <w:r>
        <w:rPr>
          <w:rFonts w:ascii="Arial" w:cs="Arial" w:eastAsia="Arial" w:hAnsi="Arial"/>
          <w:sz w:val="16"/>
          <w:szCs w:val="16"/>
          <w:color w:val="auto"/>
        </w:rPr>
        <w:t>(Winding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372"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Singapore</w:t>
      </w:r>
    </w:p>
    <w:p>
      <w:pPr>
        <w:spacing w:after="0" w:line="148" w:lineRule="exact"/>
        <w:rPr>
          <w:sz w:val="20"/>
          <w:szCs w:val="20"/>
          <w:color w:val="auto"/>
        </w:rPr>
      </w:pPr>
    </w:p>
    <w:p>
      <w:pPr>
        <w:ind w:left="1220" w:right="719" w:firstLine="350"/>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our Class A common stock may not be circulated or distributed,</w:t>
      </w:r>
    </w:p>
    <w:p>
      <w:pPr>
        <w:spacing w:after="0" w:line="31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20" w:right="539"/>
        <w:spacing w:after="0" w:line="237" w:lineRule="auto"/>
        <w:rPr>
          <w:sz w:val="20"/>
          <w:szCs w:val="20"/>
          <w:color w:val="auto"/>
        </w:rPr>
      </w:pPr>
      <w:r>
        <w:rPr>
          <w:rFonts w:ascii="Arial" w:cs="Arial" w:eastAsia="Arial" w:hAnsi="Arial"/>
          <w:sz w:val="18"/>
          <w:szCs w:val="18"/>
          <w:color w:val="auto"/>
        </w:rPr>
        <w:t>nor may our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26" w:lineRule="exact"/>
        <w:rPr>
          <w:sz w:val="20"/>
          <w:szCs w:val="20"/>
          <w:color w:val="auto"/>
        </w:rPr>
      </w:pPr>
    </w:p>
    <w:p>
      <w:pPr>
        <w:ind w:left="1220" w:right="559" w:firstLine="350"/>
        <w:spacing w:after="0" w:line="263" w:lineRule="auto"/>
        <w:rPr>
          <w:sz w:val="20"/>
          <w:szCs w:val="20"/>
          <w:color w:val="auto"/>
        </w:rPr>
      </w:pPr>
      <w:r>
        <w:rPr>
          <w:rFonts w:ascii="Arial" w:cs="Arial" w:eastAsia="Arial" w:hAnsi="Arial"/>
          <w:sz w:val="16"/>
          <w:szCs w:val="16"/>
          <w:color w:val="auto"/>
        </w:rPr>
        <w:t>Where our Class A common stock is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spacing w:after="0" w:line="5" w:lineRule="exact"/>
        <w:rPr>
          <w:sz w:val="20"/>
          <w:szCs w:val="20"/>
          <w:color w:val="auto"/>
        </w:rPr>
      </w:pPr>
    </w:p>
    <w:p>
      <w:pPr>
        <w:ind w:left="1500" w:hanging="271"/>
        <w:spacing w:after="0"/>
        <w:tabs>
          <w:tab w:leader="none" w:pos="1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where no consideration is or will be given for the transfer, (4) where the transfer is by operation of law,</w:t>
      </w:r>
    </w:p>
    <w:p>
      <w:pPr>
        <w:spacing w:after="0" w:line="24" w:lineRule="exact"/>
        <w:rPr>
          <w:rFonts w:ascii="Arial" w:cs="Arial" w:eastAsia="Arial" w:hAnsi="Arial"/>
          <w:sz w:val="16"/>
          <w:szCs w:val="16"/>
          <w:color w:val="auto"/>
        </w:rPr>
      </w:pPr>
    </w:p>
    <w:p>
      <w:pPr>
        <w:ind w:left="1220" w:right="779" w:firstLine="9"/>
        <w:spacing w:after="0" w:line="291" w:lineRule="auto"/>
        <w:tabs>
          <w:tab w:leader="none" w:pos="14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specified in Section 276(7) of the SFA, or (6) as specified in Regulation 32 of the Securities and Futures (Offers of Investments) (Shares and Debentures) Regulations 2005 of Singapore (Regulation 32).</w:t>
      </w:r>
    </w:p>
    <w:p>
      <w:pPr>
        <w:spacing w:after="0" w:line="81" w:lineRule="exact"/>
        <w:rPr>
          <w:sz w:val="20"/>
          <w:szCs w:val="20"/>
          <w:color w:val="auto"/>
        </w:rPr>
      </w:pPr>
    </w:p>
    <w:p>
      <w:pPr>
        <w:ind w:left="1220" w:right="519" w:firstLine="350"/>
        <w:spacing w:after="0" w:line="264" w:lineRule="auto"/>
        <w:rPr>
          <w:sz w:val="20"/>
          <w:szCs w:val="20"/>
          <w:color w:val="auto"/>
        </w:rPr>
      </w:pPr>
      <w:r>
        <w:rPr>
          <w:rFonts w:ascii="Arial" w:cs="Arial" w:eastAsia="Arial" w:hAnsi="Arial"/>
          <w:sz w:val="16"/>
          <w:szCs w:val="16"/>
          <w:color w:val="auto"/>
        </w:rPr>
        <w:t>Where our Class A common stock is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our Class A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w:t>
      </w:r>
    </w:p>
    <w:p>
      <w:pPr>
        <w:spacing w:after="0" w:line="4" w:lineRule="exact"/>
        <w:rPr>
          <w:sz w:val="20"/>
          <w:szCs w:val="20"/>
          <w:color w:val="auto"/>
        </w:rPr>
      </w:pPr>
    </w:p>
    <w:p>
      <w:pPr>
        <w:ind w:left="1500" w:hanging="271"/>
        <w:spacing w:after="0"/>
        <w:tabs>
          <w:tab w:leader="none" w:pos="1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where no consideration is or will be given for the transfer, (4) where the transfer is by operation of law,</w:t>
      </w:r>
    </w:p>
    <w:p>
      <w:pPr>
        <w:spacing w:after="0" w:line="15" w:lineRule="exact"/>
        <w:rPr>
          <w:rFonts w:ascii="Arial" w:cs="Arial" w:eastAsia="Arial" w:hAnsi="Arial"/>
          <w:sz w:val="16"/>
          <w:szCs w:val="16"/>
          <w:color w:val="auto"/>
        </w:rPr>
      </w:pPr>
    </w:p>
    <w:p>
      <w:pPr>
        <w:ind w:left="1500" w:hanging="271"/>
        <w:spacing w:after="0"/>
        <w:tabs>
          <w:tab w:leader="none" w:pos="1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specified in Section 276(7) of the SFA, or (6) as specified in Regulation 32.</w:t>
      </w:r>
    </w:p>
    <w:p>
      <w:pPr>
        <w:spacing w:after="0" w:line="186"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Japan</w:t>
      </w:r>
    </w:p>
    <w:p>
      <w:pPr>
        <w:spacing w:after="0" w:line="148" w:lineRule="exact"/>
        <w:rPr>
          <w:sz w:val="20"/>
          <w:szCs w:val="20"/>
          <w:color w:val="auto"/>
        </w:rPr>
      </w:pPr>
    </w:p>
    <w:p>
      <w:pPr>
        <w:ind w:left="1220" w:right="539" w:firstLine="350"/>
        <w:spacing w:after="0" w:line="23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86"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48" w:lineRule="exact"/>
        <w:rPr>
          <w:sz w:val="20"/>
          <w:szCs w:val="20"/>
          <w:color w:val="auto"/>
        </w:rPr>
      </w:pPr>
    </w:p>
    <w:p>
      <w:pPr>
        <w:ind w:left="1220" w:right="539" w:firstLine="350"/>
        <w:spacing w:after="0" w:line="269"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Class A common stock to which this prospectus relates may be illiquid and/or subject to restrictions on their resale. Prospective purchasers of the shares of our Class A common stock should conduct their own due diligence on such shares. If you do not understand the contents of this prospectus, you should consult an authorized financial advisor.</w:t>
      </w:r>
    </w:p>
    <w:p>
      <w:pPr>
        <w:spacing w:after="0" w:line="168"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Switzerland</w:t>
      </w:r>
    </w:p>
    <w:p>
      <w:pPr>
        <w:spacing w:after="0" w:line="148" w:lineRule="exact"/>
        <w:rPr>
          <w:sz w:val="20"/>
          <w:szCs w:val="20"/>
          <w:color w:val="auto"/>
        </w:rPr>
      </w:pPr>
    </w:p>
    <w:p>
      <w:pPr>
        <w:ind w:left="1220" w:right="579" w:firstLine="350"/>
        <w:spacing w:after="0" w:line="306" w:lineRule="auto"/>
        <w:rPr>
          <w:sz w:val="20"/>
          <w:szCs w:val="20"/>
          <w:color w:val="auto"/>
        </w:rPr>
      </w:pPr>
      <w:r>
        <w:rPr>
          <w:rFonts w:ascii="Arial" w:cs="Arial" w:eastAsia="Arial" w:hAnsi="Arial"/>
          <w:sz w:val="16"/>
          <w:szCs w:val="16"/>
          <w:color w:val="auto"/>
        </w:rPr>
        <w:t>The Class A common stock may not be publicly offered in Switzerland and will not be listed on the SIX Swiss Exchange (SIX) or on any other stock exchange or regulated trading facility in Switzerland. This</w:t>
      </w:r>
    </w:p>
    <w:p>
      <w:pPr>
        <w:spacing w:after="0" w:line="31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20" w:right="579"/>
        <w:spacing w:after="0" w:line="284" w:lineRule="auto"/>
        <w:rPr>
          <w:sz w:val="20"/>
          <w:szCs w:val="20"/>
          <w:color w:val="auto"/>
        </w:rPr>
      </w:pPr>
      <w:r>
        <w:rPr>
          <w:rFonts w:ascii="Arial" w:cs="Arial" w:eastAsia="Arial" w:hAnsi="Arial"/>
          <w:sz w:val="16"/>
          <w:szCs w:val="16"/>
          <w:color w:val="auto"/>
        </w:rPr>
        <w:t>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Class A common stock or the offering may be publicly distributed or otherwise made publicly available in Switzerland.</w:t>
      </w:r>
    </w:p>
    <w:p>
      <w:pPr>
        <w:spacing w:after="0" w:line="100" w:lineRule="exact"/>
        <w:rPr>
          <w:sz w:val="20"/>
          <w:szCs w:val="20"/>
          <w:color w:val="auto"/>
        </w:rPr>
      </w:pPr>
    </w:p>
    <w:p>
      <w:pPr>
        <w:ind w:left="1220" w:right="519" w:firstLine="350"/>
        <w:spacing w:after="0" w:line="282" w:lineRule="auto"/>
        <w:rPr>
          <w:sz w:val="20"/>
          <w:szCs w:val="20"/>
          <w:color w:val="auto"/>
        </w:rPr>
      </w:pPr>
      <w:r>
        <w:rPr>
          <w:rFonts w:ascii="Arial" w:cs="Arial" w:eastAsia="Arial" w:hAnsi="Arial"/>
          <w:sz w:val="16"/>
          <w:szCs w:val="16"/>
          <w:color w:val="auto"/>
        </w:rPr>
        <w:t>Neither this document nor any other offering or marketing material relating to the offering, our company or our Class A common stock has been or will be filed with or approved by any Swiss regulatory authority. In particular, this document will not be filed with, and the offer of Class A common stock will not be supervised by, the Swiss Financial Market Supervisory Authority and the offer of Class A common stock has not been and will not be authorized under the Swiss Federal Act on Collective Investment Schemes (CISA). The investor protection afforded to acquirers of interests in collective investment schemes under the CISA does not extend to acquirers of Class A common stock.</w:t>
      </w:r>
    </w:p>
    <w:p>
      <w:pPr>
        <w:spacing w:after="0" w:line="169"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Australia</w:t>
      </w:r>
    </w:p>
    <w:p>
      <w:pPr>
        <w:spacing w:after="0" w:line="148" w:lineRule="exact"/>
        <w:rPr>
          <w:sz w:val="20"/>
          <w:szCs w:val="20"/>
          <w:color w:val="auto"/>
        </w:rPr>
      </w:pPr>
    </w:p>
    <w:p>
      <w:pPr>
        <w:ind w:left="1220" w:right="659" w:firstLine="350"/>
        <w:spacing w:after="0" w:line="24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Any offer in Australia of our Class A common stock may only be made to persons, or Exempt</w:t>
      </w:r>
    </w:p>
    <w:p>
      <w:pPr>
        <w:spacing w:after="0" w:line="15" w:lineRule="exact"/>
        <w:rPr>
          <w:sz w:val="20"/>
          <w:szCs w:val="20"/>
          <w:color w:val="auto"/>
        </w:rPr>
      </w:pPr>
    </w:p>
    <w:p>
      <w:pPr>
        <w:ind w:left="1220" w:right="559"/>
        <w:spacing w:after="0" w:line="285" w:lineRule="auto"/>
        <w:rPr>
          <w:sz w:val="20"/>
          <w:szCs w:val="20"/>
          <w:color w:val="auto"/>
        </w:rPr>
      </w:pPr>
      <w:r>
        <w:rPr>
          <w:rFonts w:ascii="Arial" w:cs="Arial" w:eastAsia="Arial" w:hAnsi="Arial"/>
          <w:sz w:val="16"/>
          <w:szCs w:val="16"/>
          <w:color w:val="auto"/>
        </w:rPr>
        <w:t>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00" w:lineRule="exact"/>
        <w:rPr>
          <w:sz w:val="20"/>
          <w:szCs w:val="20"/>
          <w:color w:val="auto"/>
        </w:rPr>
      </w:pPr>
    </w:p>
    <w:p>
      <w:pPr>
        <w:ind w:left="1220" w:right="539" w:firstLine="350"/>
        <w:spacing w:after="0" w:line="284" w:lineRule="auto"/>
        <w:rPr>
          <w:sz w:val="20"/>
          <w:szCs w:val="20"/>
          <w:color w:val="auto"/>
        </w:rPr>
      </w:pPr>
      <w:r>
        <w:rPr>
          <w:rFonts w:ascii="Arial" w:cs="Arial" w:eastAsia="Arial" w:hAnsi="Arial"/>
          <w:sz w:val="16"/>
          <w:szCs w:val="16"/>
          <w:color w:val="auto"/>
        </w:rPr>
        <w:t>The shares of our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our Class A common stock must observe such Australian on-sale restrictions.</w:t>
      </w:r>
    </w:p>
    <w:p>
      <w:pPr>
        <w:spacing w:after="0" w:line="100" w:lineRule="exact"/>
        <w:rPr>
          <w:sz w:val="20"/>
          <w:szCs w:val="20"/>
          <w:color w:val="auto"/>
        </w:rPr>
      </w:pPr>
    </w:p>
    <w:p>
      <w:pPr>
        <w:ind w:left="1220" w:right="619" w:firstLine="350"/>
        <w:spacing w:after="0" w:line="248"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LEGAL MATTERS</w:t>
      </w:r>
    </w:p>
    <w:p>
      <w:pPr>
        <w:spacing w:after="0" w:line="154" w:lineRule="exact"/>
        <w:rPr>
          <w:sz w:val="20"/>
          <w:szCs w:val="20"/>
          <w:color w:val="auto"/>
        </w:rPr>
      </w:pPr>
    </w:p>
    <w:p>
      <w:pPr>
        <w:ind w:left="1220" w:right="619" w:firstLine="350"/>
        <w:spacing w:after="0" w:line="260" w:lineRule="auto"/>
        <w:rPr>
          <w:sz w:val="20"/>
          <w:szCs w:val="20"/>
          <w:color w:val="auto"/>
        </w:rPr>
      </w:pPr>
      <w:r>
        <w:rPr>
          <w:rFonts w:ascii="Arial" w:cs="Arial" w:eastAsia="Arial" w:hAnsi="Arial"/>
          <w:sz w:val="18"/>
          <w:szCs w:val="18"/>
          <w:color w:val="auto"/>
        </w:rPr>
        <w:t>The validity of the shares of our Class A common stock offered by this prospectus will be passed upon for us by Davis Polk &amp; Wardwell LLP, New York, New York, and for the underwriters by Sullivan &amp; Cromwell LLP, Palo Alto, California.</w:t>
      </w:r>
    </w:p>
    <w:p>
      <w:pPr>
        <w:spacing w:after="0" w:line="189"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EXPERTS</w:t>
      </w:r>
    </w:p>
    <w:p>
      <w:pPr>
        <w:spacing w:after="0" w:line="154" w:lineRule="exact"/>
        <w:rPr>
          <w:sz w:val="20"/>
          <w:szCs w:val="20"/>
          <w:color w:val="auto"/>
        </w:rPr>
      </w:pPr>
    </w:p>
    <w:p>
      <w:pPr>
        <w:ind w:left="1220" w:right="539" w:firstLine="350"/>
        <w:spacing w:after="0" w:line="282" w:lineRule="auto"/>
        <w:rPr>
          <w:sz w:val="20"/>
          <w:szCs w:val="20"/>
          <w:color w:val="auto"/>
        </w:rPr>
      </w:pPr>
      <w:r>
        <w:rPr>
          <w:rFonts w:ascii="Arial" w:cs="Arial" w:eastAsia="Arial" w:hAnsi="Arial"/>
          <w:sz w:val="16"/>
          <w:szCs w:val="16"/>
          <w:color w:val="auto"/>
        </w:rPr>
        <w:t>The financial statements incorporated in this Prospectus by reference to the Annual Report on Form 10-K for the year ended December 31, 2022 have been so incorporated in reliance on the report of Kesselman</w:t>
      </w:r>
    </w:p>
    <w:p>
      <w:pPr>
        <w:jc w:val="both"/>
        <w:ind w:left="1220" w:right="639" w:firstLine="9"/>
        <w:spacing w:after="0" w:line="245" w:lineRule="auto"/>
        <w:tabs>
          <w:tab w:leader="none" w:pos="14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Kesselman, Certified Public Accountants (Isr.), a member firm of PricewaterhouseCoopers International Limited, an independent registered public accounting firm, given on the authority of said firm as experts in auditing and accounting.</w:t>
      </w:r>
    </w:p>
    <w:p>
      <w:pPr>
        <w:spacing w:after="0" w:line="117" w:lineRule="exact"/>
        <w:rPr>
          <w:sz w:val="20"/>
          <w:szCs w:val="20"/>
          <w:color w:val="auto"/>
        </w:rPr>
      </w:pPr>
    </w:p>
    <w:p>
      <w:pPr>
        <w:ind w:left="1220" w:right="639" w:firstLine="350"/>
        <w:spacing w:after="0" w:line="256" w:lineRule="auto"/>
        <w:rPr>
          <w:sz w:val="20"/>
          <w:szCs w:val="20"/>
          <w:color w:val="auto"/>
        </w:rPr>
      </w:pPr>
      <w:r>
        <w:rPr>
          <w:rFonts w:ascii="Arial" w:cs="Arial" w:eastAsia="Arial" w:hAnsi="Arial"/>
          <w:sz w:val="18"/>
          <w:szCs w:val="18"/>
          <w:color w:val="auto"/>
        </w:rPr>
        <w:t>Kesselman &amp; Kesselman (“PwC”) completed an independence assessment to evaluate the services and relationships with the Company and its affiliates that may bear on PwC’s independence under the SEC and the PCAOB independence rules for the audit periods commencing December 30, 2018 through December 31, 2022. As described below, services and relationships were found to exist at controlled subsidiaries of the Company’s indirect parent, Intel Corporation and/or benefitting an upstream affiliate of the Company, within the audit period which are not in accordance with the independence standards of Regulation S-X and the PCAOB.</w:t>
      </w:r>
    </w:p>
    <w:p>
      <w:pPr>
        <w:spacing w:after="0" w:line="111" w:lineRule="exact"/>
        <w:rPr>
          <w:sz w:val="20"/>
          <w:szCs w:val="20"/>
          <w:color w:val="auto"/>
        </w:rPr>
      </w:pPr>
    </w:p>
    <w:p>
      <w:pPr>
        <w:ind w:left="1760" w:right="519" w:hanging="181"/>
        <w:spacing w:after="0" w:line="282" w:lineRule="auto"/>
        <w:tabs>
          <w:tab w:leader="none" w:pos="1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Prior to December 30, 2018 and through January 2022, certain member firms of PricewaterhouseCoopers International Limited (“PwC member firms”) performed certain payroll and human resource administrative services inconsistent with Rule 2-01 of Regulation S-X, which included records administration, employee registration with local authorities, statistical reporting and signing and stamping declarations on behalf of Intel Corporation, transmission of payroll information to banks and to third party service providers for actual payment, data storage of employee data, as well as manually and/or electronically distributing pay stubs to employees of Intel Corporation.</w:t>
      </w:r>
    </w:p>
    <w:p>
      <w:pPr>
        <w:spacing w:after="0" w:line="63" w:lineRule="exact"/>
        <w:rPr>
          <w:rFonts w:ascii="Arial" w:cs="Arial" w:eastAsia="Arial" w:hAnsi="Arial"/>
          <w:sz w:val="16"/>
          <w:szCs w:val="16"/>
          <w:color w:val="auto"/>
        </w:rPr>
      </w:pPr>
    </w:p>
    <w:p>
      <w:pPr>
        <w:ind w:left="1760" w:right="1099" w:hanging="181"/>
        <w:spacing w:after="0" w:line="261" w:lineRule="auto"/>
        <w:tabs>
          <w:tab w:leader="none" w:pos="1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From July 2020 through December 2021, a PwC member firm provided services pursuant to a contingent fee arrangement.</w:t>
      </w:r>
    </w:p>
    <w:p>
      <w:pPr>
        <w:spacing w:after="0" w:line="88" w:lineRule="exact"/>
        <w:rPr>
          <w:rFonts w:ascii="Arial" w:cs="Arial" w:eastAsia="Arial" w:hAnsi="Arial"/>
          <w:sz w:val="18"/>
          <w:szCs w:val="18"/>
          <w:color w:val="auto"/>
        </w:rPr>
      </w:pPr>
    </w:p>
    <w:p>
      <w:pPr>
        <w:ind w:left="1760" w:right="619" w:hanging="181"/>
        <w:spacing w:after="0" w:line="249" w:lineRule="auto"/>
        <w:tabs>
          <w:tab w:leader="none" w:pos="1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From June 2021 through January 2022, certain PwC member firms provided non-audit services for which certain activities inconsistent with Rule 2-01 of Regulation S-X were performed, which were hosting applications, filing a document with a non-taxing authority and making a payment on behalf of an affiliate.</w:t>
      </w:r>
    </w:p>
    <w:p>
      <w:pPr>
        <w:spacing w:after="0" w:line="87" w:lineRule="exact"/>
        <w:rPr>
          <w:rFonts w:ascii="Arial" w:cs="Arial" w:eastAsia="Arial" w:hAnsi="Arial"/>
          <w:sz w:val="18"/>
          <w:szCs w:val="18"/>
          <w:color w:val="auto"/>
        </w:rPr>
      </w:pPr>
    </w:p>
    <w:p>
      <w:pPr>
        <w:ind w:left="1760" w:right="599" w:hanging="181"/>
        <w:spacing w:after="0" w:line="286" w:lineRule="auto"/>
        <w:tabs>
          <w:tab w:leader="none" w:pos="1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Certain professionals of PwC member firms who are covered persons with respect to the audit of the Company under PCAOB standards hold shares in Intel Corporation. Ownership of shares in Intel Corporation is prohibited under the SEC and PCAOB independence rules for covered persons. The shares, where allowed under federal law, were disposed of promptly upon notification of these matters and were not material to the respective professionals’ net worth.</w:t>
      </w:r>
    </w:p>
    <w:p>
      <w:pPr>
        <w:spacing w:after="0" w:line="100" w:lineRule="exact"/>
        <w:rPr>
          <w:sz w:val="20"/>
          <w:szCs w:val="20"/>
          <w:color w:val="auto"/>
        </w:rPr>
      </w:pPr>
    </w:p>
    <w:p>
      <w:pPr>
        <w:ind w:left="1220" w:right="539" w:firstLine="350"/>
        <w:spacing w:after="0" w:line="279" w:lineRule="auto"/>
        <w:rPr>
          <w:sz w:val="20"/>
          <w:szCs w:val="20"/>
          <w:color w:val="auto"/>
        </w:rPr>
      </w:pPr>
      <w:r>
        <w:rPr>
          <w:rFonts w:ascii="Arial" w:cs="Arial" w:eastAsia="Arial" w:hAnsi="Arial"/>
          <w:sz w:val="16"/>
          <w:szCs w:val="16"/>
          <w:color w:val="auto"/>
        </w:rPr>
        <w:t>PwC provided an overview to our Board of Directors, the Audit Committee and Executive Management team of the facts and circumstances surrounding the services and relationships, including the entities involved, the nature of the services and relationships, the period over which the services and relationships existed, and the fees earned by the PwC network firms. Additionally, the services, relationships and fees are not significant to the PwC network firms, do not place PwC in a position of auditing its own work, do not result in PwC acting as management or an employee of the Company and do not place PwC in a position of being an advocate for the Company. Considering the facts presented, our Board of Directors, the Audit Committee, Executive Management team and PwC have concluded (1) that the services and relationships do not and would not impair PwC’s application of objective and impartial judgment on any matter encompassed within PwC’s audits of our financial statements as of December 31, 2022 and December 25, 2021 and for the years ended December 31, 2022, December 25, 2021 and December 26, 2020 and (2) no reasonable investor would conclude otherwise.</w:t>
      </w:r>
    </w:p>
    <w:p>
      <w:pPr>
        <w:spacing w:after="0" w:line="200" w:lineRule="exact"/>
        <w:rPr>
          <w:sz w:val="20"/>
          <w:szCs w:val="20"/>
          <w:color w:val="auto"/>
        </w:rPr>
      </w:pPr>
    </w:p>
    <w:p>
      <w:pPr>
        <w:spacing w:after="0" w:line="35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INCORPORATION BY REFERENCE</w:t>
      </w:r>
    </w:p>
    <w:p>
      <w:pPr>
        <w:spacing w:after="0" w:line="154" w:lineRule="exact"/>
        <w:rPr>
          <w:sz w:val="20"/>
          <w:szCs w:val="20"/>
          <w:color w:val="auto"/>
        </w:rPr>
      </w:pPr>
    </w:p>
    <w:p>
      <w:pPr>
        <w:jc w:val="both"/>
        <w:ind w:left="1220" w:right="1159" w:firstLine="350"/>
        <w:spacing w:after="0" w:line="252" w:lineRule="auto"/>
        <w:rPr>
          <w:sz w:val="20"/>
          <w:szCs w:val="20"/>
          <w:color w:val="auto"/>
        </w:rPr>
      </w:pPr>
      <w:r>
        <w:rPr>
          <w:rFonts w:ascii="Arial" w:cs="Arial" w:eastAsia="Arial" w:hAnsi="Arial"/>
          <w:sz w:val="18"/>
          <w:szCs w:val="18"/>
          <w:color w:val="auto"/>
        </w:rPr>
        <w:t>The rules of the SEC allow us to incorporate information into this prospectus by reference. The information incorporated by reference is considered to be a part of this prospectus. This prospectus incorporates by reference the documents listed below.</w:t>
      </w:r>
    </w:p>
    <w:p>
      <w:pPr>
        <w:spacing w:after="0" w:line="84" w:lineRule="exact"/>
        <w:rPr>
          <w:sz w:val="20"/>
          <w:szCs w:val="20"/>
          <w:color w:val="auto"/>
        </w:rPr>
      </w:pPr>
    </w:p>
    <w:p>
      <w:pPr>
        <w:ind w:left="1760" w:right="859" w:hanging="181"/>
        <w:spacing w:after="0" w:line="261" w:lineRule="auto"/>
        <w:tabs>
          <w:tab w:leader="none" w:pos="1760" w:val="left"/>
        </w:tabs>
        <w:numPr>
          <w:ilvl w:val="0"/>
          <w:numId w:val="28"/>
        </w:numPr>
        <w:rPr>
          <w:rFonts w:ascii="Arial" w:cs="Arial" w:eastAsia="Arial" w:hAnsi="Arial"/>
          <w:sz w:val="18"/>
          <w:szCs w:val="18"/>
          <w:u w:val="single" w:color="auto"/>
          <w:color w:val="0000EE"/>
        </w:rPr>
      </w:pPr>
      <w:hyperlink r:id="rId80">
        <w:r>
          <w:rPr>
            <w:rFonts w:ascii="Arial" w:cs="Arial" w:eastAsia="Arial" w:hAnsi="Arial"/>
            <w:sz w:val="18"/>
            <w:szCs w:val="18"/>
            <w:color w:val="auto"/>
          </w:rPr>
          <w:t xml:space="preserve">our </w:t>
        </w:r>
        <w:r>
          <w:rPr>
            <w:rFonts w:ascii="Arial" w:cs="Arial" w:eastAsia="Arial" w:hAnsi="Arial"/>
            <w:sz w:val="18"/>
            <w:szCs w:val="18"/>
            <w:u w:val="single" w:color="auto"/>
            <w:color w:val="0000EE"/>
          </w:rPr>
          <w:t>Annual Report on Form 10-K for the fiscal year ended December 31, 2022, filed on March 9,</w:t>
        </w:r>
      </w:hyperlink>
      <w:r>
        <w:rPr>
          <w:rFonts w:ascii="Arial" w:cs="Arial" w:eastAsia="Arial" w:hAnsi="Arial"/>
          <w:sz w:val="18"/>
          <w:szCs w:val="18"/>
          <w:color w:val="auto"/>
        </w:rPr>
        <w:t xml:space="preserve"> </w:t>
      </w:r>
      <w:hyperlink r:id="rId80">
        <w:r>
          <w:rPr>
            <w:rFonts w:ascii="Arial" w:cs="Arial" w:eastAsia="Arial" w:hAnsi="Arial"/>
            <w:sz w:val="18"/>
            <w:szCs w:val="18"/>
            <w:u w:val="single" w:color="auto"/>
            <w:color w:val="0000EE"/>
          </w:rPr>
          <w:t>2023;</w:t>
        </w:r>
      </w:hyperlink>
    </w:p>
    <w:p>
      <w:pPr>
        <w:spacing w:after="0" w:line="75" w:lineRule="exact"/>
        <w:rPr>
          <w:rFonts w:ascii="Arial" w:cs="Arial" w:eastAsia="Arial" w:hAnsi="Arial"/>
          <w:sz w:val="18"/>
          <w:szCs w:val="18"/>
          <w:u w:val="single" w:color="auto"/>
          <w:color w:val="0000EE"/>
        </w:rPr>
      </w:pPr>
    </w:p>
    <w:p>
      <w:pPr>
        <w:ind w:left="1760" w:right="779" w:hanging="181"/>
        <w:spacing w:after="0" w:line="261" w:lineRule="auto"/>
        <w:tabs>
          <w:tab w:leader="none" w:pos="1760" w:val="left"/>
        </w:tabs>
        <w:numPr>
          <w:ilvl w:val="0"/>
          <w:numId w:val="28"/>
        </w:numPr>
        <w:rPr>
          <w:rFonts w:ascii="Arial" w:cs="Arial" w:eastAsia="Arial" w:hAnsi="Arial"/>
          <w:sz w:val="18"/>
          <w:szCs w:val="18"/>
          <w:u w:val="single" w:color="auto"/>
          <w:color w:val="0000EE"/>
        </w:rPr>
      </w:pPr>
      <w:hyperlink r:id="rId81">
        <w:r>
          <w:rPr>
            <w:rFonts w:ascii="Arial" w:cs="Arial" w:eastAsia="Arial" w:hAnsi="Arial"/>
            <w:sz w:val="18"/>
            <w:szCs w:val="18"/>
            <w:color w:val="auto"/>
          </w:rPr>
          <w:t xml:space="preserve">our </w:t>
        </w:r>
        <w:r>
          <w:rPr>
            <w:rFonts w:ascii="Arial" w:cs="Arial" w:eastAsia="Arial" w:hAnsi="Arial"/>
            <w:sz w:val="18"/>
            <w:szCs w:val="18"/>
            <w:u w:val="single" w:color="auto"/>
            <w:color w:val="0000EE"/>
          </w:rPr>
          <w:t>Quarterly Report on Form 10-Q for the quarterly period ended April 1, 2023, filed on May 11,</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EE"/>
          </w:rPr>
          <w:t>2023;</w:t>
        </w:r>
      </w:hyperlink>
    </w:p>
    <w:p>
      <w:pPr>
        <w:spacing w:after="0" w:line="75" w:lineRule="exact"/>
        <w:rPr>
          <w:rFonts w:ascii="Arial" w:cs="Arial" w:eastAsia="Arial" w:hAnsi="Arial"/>
          <w:sz w:val="18"/>
          <w:szCs w:val="18"/>
          <w:u w:val="single" w:color="auto"/>
          <w:color w:val="0000EE"/>
        </w:rPr>
      </w:pPr>
    </w:p>
    <w:p>
      <w:pPr>
        <w:ind w:left="1760" w:right="539" w:hanging="181"/>
        <w:spacing w:after="0" w:line="252" w:lineRule="auto"/>
        <w:tabs>
          <w:tab w:leader="none" w:pos="1760" w:val="left"/>
        </w:tabs>
        <w:numPr>
          <w:ilvl w:val="0"/>
          <w:numId w:val="28"/>
        </w:numPr>
        <w:rPr>
          <w:rFonts w:ascii="Arial" w:cs="Arial" w:eastAsia="Arial" w:hAnsi="Arial"/>
          <w:sz w:val="18"/>
          <w:szCs w:val="18"/>
          <w:color w:val="0000EE"/>
        </w:rPr>
      </w:pPr>
      <w:r>
        <w:rPr>
          <w:rFonts w:ascii="Arial" w:cs="Arial" w:eastAsia="Arial" w:hAnsi="Arial"/>
          <w:sz w:val="18"/>
          <w:szCs w:val="18"/>
          <w:color w:val="auto"/>
        </w:rPr>
        <w:t xml:space="preserve">our </w:t>
      </w:r>
      <w:hyperlink r:id="rId82">
        <w:r>
          <w:rPr>
            <w:rFonts w:ascii="Arial" w:cs="Arial" w:eastAsia="Arial" w:hAnsi="Arial"/>
            <w:sz w:val="18"/>
            <w:szCs w:val="18"/>
            <w:u w:val="single" w:color="auto"/>
            <w:color w:val="0000EE"/>
          </w:rPr>
          <w:t>Definitive Proxy Statement on Schedule 14A filed on April 28,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(excluding any portions that </w:t>
      </w:r>
      <w:hyperlink r:id="rId80">
        <w:r>
          <w:rPr>
            <w:rFonts w:ascii="Arial" w:cs="Arial" w:eastAsia="Arial" w:hAnsi="Arial"/>
            <w:sz w:val="18"/>
            <w:szCs w:val="18"/>
            <w:color w:val="auto"/>
          </w:rPr>
          <w:t xml:space="preserve">were not incorporated by reference into Part III of our </w:t>
        </w:r>
        <w:r>
          <w:rPr>
            <w:rFonts w:ascii="Arial" w:cs="Arial" w:eastAsia="Arial" w:hAnsi="Arial"/>
            <w:sz w:val="18"/>
            <w:szCs w:val="18"/>
            <w:u w:val="single" w:color="auto"/>
            <w:color w:val="0000EE"/>
          </w:rPr>
          <w:t>Annual Report on Form 10-K for the fiscal</w:t>
        </w:r>
      </w:hyperlink>
      <w:r>
        <w:rPr>
          <w:rFonts w:ascii="Arial" w:cs="Arial" w:eastAsia="Arial" w:hAnsi="Arial"/>
          <w:sz w:val="18"/>
          <w:szCs w:val="18"/>
          <w:color w:val="auto"/>
        </w:rPr>
        <w:t xml:space="preserve"> </w:t>
      </w:r>
      <w:hyperlink r:id="rId80">
        <w:r>
          <w:rPr>
            <w:rFonts w:ascii="Arial" w:cs="Arial" w:eastAsia="Arial" w:hAnsi="Arial"/>
            <w:sz w:val="18"/>
            <w:szCs w:val="18"/>
            <w:u w:val="single" w:color="auto"/>
            <w:color w:val="0000EE"/>
          </w:rPr>
          <w:t>year ended December 31, 2022</w:t>
        </w:r>
        <w:r>
          <w:rPr>
            <w:rFonts w:ascii="Arial" w:cs="Arial" w:eastAsia="Arial" w:hAnsi="Arial"/>
            <w:sz w:val="18"/>
            <w:szCs w:val="18"/>
            <w:color w:val="000000"/>
          </w:rPr>
          <w:t>); and</w:t>
        </w:r>
      </w:hyperlink>
    </w:p>
    <w:p>
      <w:pPr>
        <w:spacing w:after="0" w:line="84" w:lineRule="exact"/>
        <w:rPr>
          <w:rFonts w:ascii="Arial" w:cs="Arial" w:eastAsia="Arial" w:hAnsi="Arial"/>
          <w:sz w:val="18"/>
          <w:szCs w:val="18"/>
          <w:color w:val="0000EE"/>
        </w:rPr>
      </w:pPr>
    </w:p>
    <w:p>
      <w:pPr>
        <w:ind w:left="1760" w:right="539" w:hanging="181"/>
        <w:spacing w:after="0" w:line="286" w:lineRule="auto"/>
        <w:tabs>
          <w:tab w:leader="none" w:pos="1760" w:val="left"/>
        </w:tabs>
        <w:numPr>
          <w:ilvl w:val="0"/>
          <w:numId w:val="28"/>
        </w:numPr>
        <w:rPr>
          <w:rFonts w:ascii="Arial" w:cs="Arial" w:eastAsia="Arial" w:hAnsi="Arial"/>
          <w:sz w:val="16"/>
          <w:szCs w:val="16"/>
          <w:color w:val="0000EE"/>
        </w:rPr>
      </w:pPr>
      <w:hyperlink r:id="rId83">
        <w:r>
          <w:rPr>
            <w:rFonts w:ascii="Arial" w:cs="Arial" w:eastAsia="Arial" w:hAnsi="Arial"/>
            <w:sz w:val="16"/>
            <w:szCs w:val="16"/>
            <w:color w:val="auto"/>
          </w:rPr>
          <w:t xml:space="preserve">the description of our common stock contained in </w:t>
        </w:r>
        <w:r>
          <w:rPr>
            <w:rFonts w:ascii="Arial" w:cs="Arial" w:eastAsia="Arial" w:hAnsi="Arial"/>
            <w:sz w:val="16"/>
            <w:szCs w:val="16"/>
            <w:u w:val="single" w:color="auto"/>
            <w:color w:val="0000EE"/>
          </w:rPr>
          <w:t>our Registration Statement on Form 8-A, filed</w:t>
        </w:r>
      </w:hyperlink>
      <w:r>
        <w:rPr>
          <w:rFonts w:ascii="Arial" w:cs="Arial" w:eastAsia="Arial" w:hAnsi="Arial"/>
          <w:sz w:val="16"/>
          <w:szCs w:val="16"/>
          <w:color w:val="auto"/>
        </w:rPr>
        <w:t xml:space="preserve"> </w:t>
      </w:r>
      <w:hyperlink r:id="rId83">
        <w:r>
          <w:rPr>
            <w:rFonts w:ascii="Arial" w:cs="Arial" w:eastAsia="Arial" w:hAnsi="Arial"/>
            <w:sz w:val="16"/>
            <w:szCs w:val="16"/>
            <w:u w:val="single" w:color="auto"/>
            <w:color w:val="0000EE"/>
          </w:rPr>
          <w:t>with the SEC on October 26, 2022 (File No. 001-41541),</w:t>
        </w:r>
        <w:r>
          <w:rPr>
            <w:rFonts w:ascii="Arial" w:cs="Arial" w:eastAsia="Arial" w:hAnsi="Arial"/>
            <w:sz w:val="16"/>
            <w:szCs w:val="16"/>
            <w:color w:val="0000EE"/>
          </w:rPr>
          <w:t xml:space="preserve"> </w:t>
        </w:r>
        <w:r>
          <w:rPr>
            <w:rFonts w:ascii="Arial" w:cs="Arial" w:eastAsia="Arial" w:hAnsi="Arial"/>
            <w:sz w:val="16"/>
            <w:szCs w:val="16"/>
            <w:color w:val="000000"/>
          </w:rPr>
          <w:t>pursuant to Section 12(b) of the Securities</w:t>
        </w:r>
      </w:hyperlink>
      <w:r>
        <w:rPr>
          <w:rFonts w:ascii="Arial" w:cs="Arial" w:eastAsia="Arial" w:hAnsi="Arial"/>
          <w:sz w:val="16"/>
          <w:szCs w:val="16"/>
          <w:color w:val="0000EE"/>
        </w:rPr>
        <w:t xml:space="preserve"> </w:t>
      </w:r>
      <w:r>
        <w:rPr>
          <w:rFonts w:ascii="Arial" w:cs="Arial" w:eastAsia="Arial" w:hAnsi="Arial"/>
          <w:sz w:val="16"/>
          <w:szCs w:val="16"/>
          <w:color w:val="000000"/>
        </w:rPr>
        <w:t>Exchange Act of 1934, as amended (the “Exchange Act”), including any amendments or reports filed for the purpose of updating such description, including the description of our common stock included as Exhibit 4.1 to our Annual Report on Form 10-K filed with the SEC on March 9, 2023.</w:t>
      </w:r>
    </w:p>
    <w:p>
      <w:pPr>
        <w:spacing w:after="0" w:line="100" w:lineRule="exact"/>
        <w:rPr>
          <w:rFonts w:ascii="Arial" w:cs="Arial" w:eastAsia="Arial" w:hAnsi="Arial"/>
          <w:sz w:val="16"/>
          <w:szCs w:val="16"/>
          <w:color w:val="auto"/>
        </w:rPr>
      </w:pPr>
    </w:p>
    <w:p>
      <w:pPr>
        <w:ind w:left="1220" w:right="579" w:firstLine="350"/>
        <w:spacing w:after="0" w:line="248" w:lineRule="auto"/>
        <w:rPr>
          <w:sz w:val="20"/>
          <w:szCs w:val="20"/>
          <w:color w:val="auto"/>
        </w:rPr>
      </w:pPr>
      <w:r>
        <w:rPr>
          <w:rFonts w:ascii="Arial" w:cs="Arial" w:eastAsia="Arial" w:hAnsi="Arial"/>
          <w:sz w:val="18"/>
          <w:szCs w:val="18"/>
          <w:color w:val="auto"/>
        </w:rPr>
        <w:t>Any statement made in a document incorporated by reference into this prospectus will be deemed to be modified or superseded for purposes of this prospectus to the extent that a statement contained in this prospectus modifies or supersedes that statement. Any statement so modified or superseded will not be deemed as so modified or superseded, except as so modified or superseded, to constitute a part of this prospectus.</w:t>
      </w:r>
    </w:p>
    <w:p>
      <w:pPr>
        <w:spacing w:after="0" w:line="113" w:lineRule="exact"/>
        <w:rPr>
          <w:rFonts w:ascii="Arial" w:cs="Arial" w:eastAsia="Arial" w:hAnsi="Arial"/>
          <w:sz w:val="16"/>
          <w:szCs w:val="16"/>
          <w:color w:val="auto"/>
        </w:rPr>
      </w:pPr>
    </w:p>
    <w:p>
      <w:pPr>
        <w:ind w:left="1220" w:right="579" w:firstLine="350"/>
        <w:spacing w:after="0" w:line="284" w:lineRule="auto"/>
        <w:rPr>
          <w:sz w:val="20"/>
          <w:szCs w:val="20"/>
          <w:color w:val="auto"/>
        </w:rPr>
      </w:pPr>
      <w:r>
        <w:rPr>
          <w:rFonts w:ascii="Arial" w:cs="Arial" w:eastAsia="Arial" w:hAnsi="Arial"/>
          <w:sz w:val="16"/>
          <w:szCs w:val="16"/>
          <w:color w:val="auto"/>
        </w:rPr>
        <w:t xml:space="preserve">You can obtain any of the filings incorporated by reference into this prospectus through us or from the SEC through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We will provide, without charge, to each person, including any beneficial owner, to whom a copy of this prospectus is delivered, upon written or oral request of such person, a copy of any or all of the reports and documents referred to above which have been or may be incorporated by reference into this prospectus. You should direct requests for those documents to: Mobileye Investor Relations; investors@mobileye.com; telephone: +1 (917) 960-1525.</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40" w:lineRule="exact"/>
        <w:rPr>
          <w:rFonts w:ascii="Arial" w:cs="Arial" w:eastAsia="Arial" w:hAnsi="Arial"/>
          <w:sz w:val="16"/>
          <w:szCs w:val="16"/>
          <w:color w:val="auto"/>
        </w:rPr>
      </w:pPr>
    </w:p>
    <w:p>
      <w:pPr>
        <w:ind w:left="5140"/>
        <w:spacing w:after="0"/>
        <w:rPr>
          <w:sz w:val="20"/>
          <w:szCs w:val="20"/>
          <w:color w:val="auto"/>
        </w:rPr>
      </w:pPr>
      <w:r>
        <w:rPr>
          <w:rFonts w:ascii="Arial" w:cs="Arial" w:eastAsia="Arial" w:hAnsi="Arial"/>
          <w:sz w:val="18"/>
          <w:szCs w:val="18"/>
          <w:color w:val="auto"/>
        </w:rPr>
        <w:t>29</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54" w:lineRule="exact"/>
        <w:rPr>
          <w:sz w:val="20"/>
          <w:szCs w:val="20"/>
          <w:color w:val="auto"/>
        </w:rPr>
      </w:pPr>
    </w:p>
    <w:p>
      <w:pPr>
        <w:ind w:left="1220" w:right="539" w:firstLine="350"/>
        <w:spacing w:after="0" w:line="281" w:lineRule="auto"/>
        <w:rPr>
          <w:sz w:val="20"/>
          <w:szCs w:val="20"/>
          <w:color w:val="auto"/>
        </w:rPr>
      </w:pPr>
      <w:r>
        <w:rPr>
          <w:rFonts w:ascii="Arial" w:cs="Arial" w:eastAsia="Arial" w:hAnsi="Arial"/>
          <w:sz w:val="16"/>
          <w:szCs w:val="16"/>
          <w:color w:val="auto"/>
        </w:rPr>
        <w:t>We have filed a registration statement on Form S-1 with the SEC with respect to the registration of the Class A common stock offered for sale with this prospectus. This prospectus does not contain all of the information set forth in the registration statement and the exhibits to the registration statement. For further information about us, the Class A common stock we are offering by this prospectus and related matters, you should review the registration statement, including the exhibits filed as a part of the registration statement. Statements contained in this prospectus about the contents of any contract or any other document that is filed as an exhibit to the registration statement are not necessarily complete, and we refer you to the full text of the contract or other document filed as an exhibit to the registration statement.</w:t>
      </w:r>
    </w:p>
    <w:p>
      <w:pPr>
        <w:spacing w:after="0" w:line="104" w:lineRule="exact"/>
        <w:rPr>
          <w:sz w:val="20"/>
          <w:szCs w:val="20"/>
          <w:color w:val="auto"/>
        </w:rPr>
      </w:pPr>
    </w:p>
    <w:p>
      <w:pPr>
        <w:ind w:left="1220" w:right="619" w:firstLine="350"/>
        <w:spacing w:after="0" w:line="284" w:lineRule="auto"/>
        <w:rPr>
          <w:sz w:val="20"/>
          <w:szCs w:val="20"/>
          <w:color w:val="auto"/>
        </w:rPr>
      </w:pPr>
      <w:r>
        <w:rPr>
          <w:rFonts w:ascii="Arial" w:cs="Arial" w:eastAsia="Arial" w:hAnsi="Arial"/>
          <w:sz w:val="16"/>
          <w:szCs w:val="16"/>
          <w:color w:val="auto"/>
        </w:rPr>
        <w:t xml:space="preserve">We are required to file periodic reports, proxy statements and other information with the SEC. These periodic reports, proxy statements and other information are available for inspection and copying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We also maintain a website at www.mobileye.com at which you may access our SEC filings free of charge as soon as reasonably practicable after they are electronically filed with, or furnished to, the SEC. The information contained in, or that can be accessed through, our website is not incorporated by reference in, and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86" w:lineRule="exact"/>
        <w:rPr>
          <w:sz w:val="20"/>
          <w:szCs w:val="20"/>
          <w:color w:val="auto"/>
        </w:rPr>
      </w:pPr>
    </w:p>
    <w:p>
      <w:pPr>
        <w:ind w:left="12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0</wp:posOffset>
            </wp:positionV>
            <wp:extent cx="507428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5074285" cy="16510"/>
                    </a:xfrm>
                    <a:prstGeom prst="rect">
                      <a:avLst/>
                    </a:prstGeom>
                    <a:noFill/>
                  </pic:spPr>
                </pic:pic>
              </a:graphicData>
            </a:graphic>
          </wp:anchor>
        </w:drawing>
        <w:drawing>
          <wp:anchor simplePos="0" relativeHeight="251657728" behindDoc="1" locked="0" layoutInCell="0" allowOverlap="1">
            <wp:simplePos x="0" y="0"/>
            <wp:positionH relativeFrom="column">
              <wp:posOffset>784225</wp:posOffset>
            </wp:positionH>
            <wp:positionV relativeFrom="paragraph">
              <wp:posOffset>49530</wp:posOffset>
            </wp:positionV>
            <wp:extent cx="50742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5074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340"/>
        <w:spacing w:after="0"/>
        <w:rPr>
          <w:sz w:val="20"/>
          <w:szCs w:val="20"/>
          <w:color w:val="auto"/>
        </w:rPr>
      </w:pPr>
      <w:r>
        <w:rPr>
          <w:rFonts w:ascii="Arial" w:cs="Arial" w:eastAsia="Arial" w:hAnsi="Arial"/>
          <w:sz w:val="25"/>
          <w:szCs w:val="25"/>
          <w:b w:val="1"/>
          <w:bCs w:val="1"/>
          <w:color w:val="auto"/>
        </w:rPr>
        <w:t>35,000,000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499745</wp:posOffset>
            </wp:positionV>
            <wp:extent cx="2654300" cy="408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654300" cy="40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20"/>
        <w:spacing w:after="0"/>
        <w:rPr>
          <w:sz w:val="20"/>
          <w:szCs w:val="20"/>
          <w:color w:val="auto"/>
        </w:rPr>
      </w:pPr>
      <w:r>
        <w:rPr>
          <w:rFonts w:ascii="Arial" w:cs="Arial" w:eastAsia="Arial" w:hAnsi="Arial"/>
          <w:sz w:val="28"/>
          <w:szCs w:val="28"/>
          <w:b w:val="1"/>
          <w:bCs w:val="1"/>
          <w:color w:val="auto"/>
        </w:rPr>
        <w:t>Mobileye Global Inc.</w:t>
      </w:r>
    </w:p>
    <w:p>
      <w:pPr>
        <w:spacing w:after="0" w:line="213" w:lineRule="exact"/>
        <w:rPr>
          <w:sz w:val="20"/>
          <w:szCs w:val="20"/>
          <w:color w:val="auto"/>
        </w:rPr>
      </w:pPr>
    </w:p>
    <w:p>
      <w:pPr>
        <w:ind w:left="404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1301115</wp:posOffset>
            </wp:positionV>
            <wp:extent cx="12020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0"/>
        <w:spacing w:after="0"/>
        <w:rPr>
          <w:sz w:val="20"/>
          <w:szCs w:val="20"/>
          <w:color w:val="auto"/>
        </w:rPr>
      </w:pPr>
      <w:r>
        <w:rPr>
          <w:rFonts w:ascii="Arial" w:cs="Arial" w:eastAsia="Arial" w:hAnsi="Arial"/>
          <w:sz w:val="21"/>
          <w:szCs w:val="21"/>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519"/>
        <w:spacing w:after="0"/>
        <w:tabs>
          <w:tab w:leader="none" w:pos="2060" w:val="left"/>
        </w:tabs>
        <w:rPr>
          <w:sz w:val="20"/>
          <w:szCs w:val="20"/>
          <w:color w:val="auto"/>
        </w:rPr>
      </w:pPr>
      <w:r>
        <w:rPr>
          <w:rFonts w:ascii="Arial" w:cs="Arial" w:eastAsia="Arial" w:hAnsi="Arial"/>
          <w:sz w:val="32"/>
          <w:szCs w:val="32"/>
          <w:b w:val="1"/>
          <w:bCs w:val="1"/>
          <w:color w:val="auto"/>
        </w:rPr>
        <w:t>Goldman Sachs &amp; Co. LLC</w:t>
      </w:r>
      <w:r>
        <w:rPr>
          <w:sz w:val="20"/>
          <w:szCs w:val="20"/>
          <w:color w:val="auto"/>
        </w:rPr>
        <w:tab/>
      </w:r>
      <w:r>
        <w:rPr>
          <w:rFonts w:ascii="Arial" w:cs="Arial" w:eastAsia="Arial" w:hAnsi="Arial"/>
          <w:sz w:val="27"/>
          <w:szCs w:val="27"/>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2054225</wp:posOffset>
            </wp:positionV>
            <wp:extent cx="50742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5074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0</wp:posOffset>
            </wp:positionV>
            <wp:extent cx="507428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507428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245745</wp:posOffset>
            </wp:positionV>
            <wp:extent cx="664400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PART II</w:t>
      </w:r>
    </w:p>
    <w:p>
      <w:pPr>
        <w:spacing w:after="0" w:line="214" w:lineRule="exact"/>
        <w:rPr>
          <w:sz w:val="20"/>
          <w:szCs w:val="20"/>
          <w:color w:val="auto"/>
        </w:rPr>
      </w:pPr>
    </w:p>
    <w:p>
      <w:pPr>
        <w:ind w:left="1220" w:right="2499" w:firstLine="1992"/>
        <w:spacing w:after="0" w:line="422" w:lineRule="auto"/>
        <w:rPr>
          <w:sz w:val="20"/>
          <w:szCs w:val="20"/>
          <w:color w:val="auto"/>
        </w:rPr>
      </w:pPr>
      <w:r>
        <w:rPr>
          <w:rFonts w:ascii="Arial" w:cs="Arial" w:eastAsia="Arial" w:hAnsi="Arial"/>
          <w:sz w:val="18"/>
          <w:szCs w:val="18"/>
          <w:b w:val="1"/>
          <w:bCs w:val="1"/>
          <w:color w:val="auto"/>
        </w:rPr>
        <w:t>INFORMATION NOT REQUIRED IN PROSPECTUS Item 13. Other Expenses of Issuance and Distribution.</w:t>
      </w:r>
    </w:p>
    <w:p>
      <w:pPr>
        <w:spacing w:after="0" w:line="1" w:lineRule="exact"/>
        <w:rPr>
          <w:sz w:val="20"/>
          <w:szCs w:val="20"/>
          <w:color w:val="auto"/>
        </w:rPr>
      </w:pPr>
    </w:p>
    <w:p>
      <w:pPr>
        <w:jc w:val="both"/>
        <w:ind w:left="1220" w:right="939" w:firstLine="350"/>
        <w:spacing w:after="0" w:line="239" w:lineRule="auto"/>
        <w:rPr>
          <w:sz w:val="20"/>
          <w:szCs w:val="20"/>
          <w:color w:val="auto"/>
        </w:rPr>
      </w:pPr>
      <w:r>
        <w:rPr>
          <w:rFonts w:ascii="Arial" w:cs="Arial" w:eastAsia="Arial" w:hAnsi="Arial"/>
          <w:sz w:val="18"/>
          <w:szCs w:val="18"/>
          <w:color w:val="auto"/>
        </w:rPr>
        <w:t>The following table sets forth all costs and expenses to be paid by us, other than the underwriting discounts and commissions, in connection with the offer and sale of the securities being registered. All amounts shown are estimates except for the SEC registration fee and the Financial Industry Regulatory Authority, Inc. (“FINRA”) filing fee.</w:t>
      </w:r>
    </w:p>
    <w:p>
      <w:pPr>
        <w:spacing w:after="0" w:line="148"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w w:val="90"/>
              </w:rPr>
              <w:t>Amount</w:t>
            </w:r>
          </w:p>
        </w:tc>
      </w:tr>
      <w:tr>
        <w:trPr>
          <w:trHeight w:val="220"/>
        </w:trPr>
        <w:tc>
          <w:tcPr>
            <w:tcW w:w="4800" w:type="dxa"/>
            <w:vAlign w:val="bottom"/>
          </w:tcPr>
          <w:p>
            <w:pPr>
              <w:spacing w:after="0"/>
              <w:rPr>
                <w:sz w:val="20"/>
                <w:szCs w:val="20"/>
                <w:color w:val="auto"/>
              </w:rPr>
            </w:pPr>
            <w:r>
              <w:rPr>
                <w:rFonts w:ascii="Arial" w:cs="Arial" w:eastAsia="Arial" w:hAnsi="Arial"/>
                <w:sz w:val="14"/>
                <w:szCs w:val="14"/>
                <w:b w:val="1"/>
                <w:bCs w:val="1"/>
                <w:color w:val="auto"/>
              </w:rPr>
              <w:t>​</w:t>
            </w:r>
          </w:p>
        </w:tc>
        <w:tc>
          <w:tcPr>
            <w:tcW w:w="2540" w:type="dxa"/>
            <w:vAlign w:val="bottom"/>
            <w:gridSpan w:val="4"/>
          </w:tcPr>
          <w:p>
            <w:pPr>
              <w:ind w:left="1480"/>
              <w:spacing w:after="0" w:line="220"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To Be Paid </w:t>
            </w:r>
            <w:r>
              <w:rPr>
                <w:rFonts w:ascii="Arial" w:cs="Arial" w:eastAsia="Arial" w:hAnsi="Arial"/>
                <w:sz w:val="25"/>
                <w:szCs w:val="25"/>
                <w:b w:val="1"/>
                <w:bCs w:val="1"/>
                <w:color w:val="auto"/>
                <w:vertAlign w:val="subscript"/>
              </w:rPr>
              <w:t>​</w:t>
            </w:r>
          </w:p>
        </w:tc>
      </w:tr>
      <w:tr>
        <w:trPr>
          <w:trHeight w:val="20"/>
        </w:trPr>
        <w:tc>
          <w:tcPr>
            <w:tcW w:w="48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18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197,500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800" w:type="dxa"/>
            <w:vAlign w:val="bottom"/>
          </w:tcPr>
          <w:p>
            <w:pPr>
              <w:spacing w:after="0"/>
              <w:rPr>
                <w:sz w:val="20"/>
                <w:szCs w:val="20"/>
                <w:color w:val="auto"/>
              </w:rPr>
            </w:pPr>
            <w:r>
              <w:rPr>
                <w:rFonts w:ascii="Arial" w:cs="Arial" w:eastAsia="Arial" w:hAnsi="Arial"/>
                <w:sz w:val="18"/>
                <w:szCs w:val="18"/>
                <w:color w:val="auto"/>
              </w:rPr>
              <w:t>FINRA filing fee</w:t>
            </w:r>
          </w:p>
        </w:tc>
        <w:tc>
          <w:tcPr>
            <w:tcW w:w="1840" w:type="dxa"/>
            <w:vAlign w:val="bottom"/>
            <w:gridSpan w:val="2"/>
          </w:tcPr>
          <w:p>
            <w:pPr>
              <w:ind w:left="1540"/>
              <w:spacing w:after="0"/>
              <w:rPr>
                <w:sz w:val="20"/>
                <w:szCs w:val="20"/>
                <w:color w:val="auto"/>
              </w:rPr>
            </w:pPr>
            <w:r>
              <w:rPr>
                <w:rFonts w:ascii="Arial" w:cs="Arial" w:eastAsia="Arial" w:hAnsi="Arial"/>
                <w:sz w:val="18"/>
                <w:szCs w:val="18"/>
                <w:color w:val="auto"/>
              </w:rPr>
              <w:t>​ ​​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225,500​</w:t>
            </w:r>
          </w:p>
        </w:tc>
      </w:tr>
      <w:tr>
        <w:trPr>
          <w:trHeight w:val="26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Listing fees</w:t>
            </w:r>
          </w:p>
        </w:tc>
        <w:tc>
          <w:tcPr>
            <w:tcW w:w="18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 ​​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800" w:type="dxa"/>
            <w:vAlign w:val="bottom"/>
          </w:tcPr>
          <w:p>
            <w:pPr>
              <w:spacing w:after="0"/>
              <w:rPr>
                <w:sz w:val="20"/>
                <w:szCs w:val="20"/>
                <w:color w:val="auto"/>
              </w:rPr>
            </w:pPr>
            <w:r>
              <w:rPr>
                <w:rFonts w:ascii="Arial" w:cs="Arial" w:eastAsia="Arial" w:hAnsi="Arial"/>
                <w:sz w:val="18"/>
                <w:szCs w:val="18"/>
                <w:color w:val="auto"/>
              </w:rPr>
              <w:t>Printing expenses</w:t>
            </w:r>
          </w:p>
        </w:tc>
        <w:tc>
          <w:tcPr>
            <w:tcW w:w="1840" w:type="dxa"/>
            <w:vAlign w:val="bottom"/>
            <w:gridSpan w:val="2"/>
          </w:tcPr>
          <w:p>
            <w:pPr>
              <w:ind w:left="1540"/>
              <w:spacing w:after="0"/>
              <w:rPr>
                <w:sz w:val="20"/>
                <w:szCs w:val="20"/>
                <w:color w:val="auto"/>
              </w:rPr>
            </w:pPr>
            <w:r>
              <w:rPr>
                <w:rFonts w:ascii="Arial" w:cs="Arial" w:eastAsia="Arial" w:hAnsi="Arial"/>
                <w:sz w:val="18"/>
                <w:szCs w:val="18"/>
                <w:color w:val="auto"/>
              </w:rPr>
              <w:t>​ ​​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50,000​</w:t>
            </w:r>
          </w:p>
        </w:tc>
      </w:tr>
      <w:tr>
        <w:trPr>
          <w:trHeight w:val="26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8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 ​​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840" w:type="dxa"/>
            <w:vAlign w:val="bottom"/>
            <w:gridSpan w:val="2"/>
          </w:tcPr>
          <w:p>
            <w:pPr>
              <w:ind w:left="1540"/>
              <w:spacing w:after="0"/>
              <w:rPr>
                <w:sz w:val="20"/>
                <w:szCs w:val="20"/>
                <w:color w:val="auto"/>
              </w:rPr>
            </w:pPr>
            <w:r>
              <w:rPr>
                <w:rFonts w:ascii="Arial" w:cs="Arial" w:eastAsia="Arial" w:hAnsi="Arial"/>
                <w:sz w:val="18"/>
                <w:szCs w:val="18"/>
                <w:color w:val="auto"/>
              </w:rPr>
              <w:t>​ ​​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194,500​</w:t>
            </w:r>
          </w:p>
        </w:tc>
      </w:tr>
      <w:tr>
        <w:trPr>
          <w:trHeight w:val="26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w:t>
            </w:r>
          </w:p>
        </w:tc>
        <w:tc>
          <w:tcPr>
            <w:tcW w:w="18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 ​​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9"/>
        </w:trPr>
        <w:tc>
          <w:tcPr>
            <w:tcW w:w="4800" w:type="dxa"/>
            <w:vAlign w:val="bottom"/>
          </w:tcPr>
          <w:p>
            <w:pPr>
              <w:spacing w:after="0"/>
              <w:rPr>
                <w:sz w:val="20"/>
                <w:szCs w:val="20"/>
                <w:color w:val="auto"/>
              </w:rPr>
            </w:pPr>
            <w:r>
              <w:rPr>
                <w:rFonts w:ascii="Arial" w:cs="Arial" w:eastAsia="Arial" w:hAnsi="Arial"/>
                <w:sz w:val="18"/>
                <w:szCs w:val="18"/>
                <w:color w:val="auto"/>
              </w:rPr>
              <w:t>Miscellaneous</w:t>
            </w:r>
          </w:p>
        </w:tc>
        <w:tc>
          <w:tcPr>
            <w:tcW w:w="1840" w:type="dxa"/>
            <w:vAlign w:val="bottom"/>
            <w:gridSpan w:val="2"/>
          </w:tcPr>
          <w:p>
            <w:pPr>
              <w:ind w:left="1540"/>
              <w:spacing w:after="0" w:line="288"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3"/>
                <w:szCs w:val="33"/>
                <w:color w:val="auto"/>
                <w:vertAlign w:val="superscript"/>
              </w:rPr>
              <w:t>​</w:t>
            </w:r>
          </w:p>
        </w:tc>
        <w:tc>
          <w:tcPr>
            <w:tcW w:w="700" w:type="dxa"/>
            <w:vAlign w:val="bottom"/>
            <w:gridSpan w:val="2"/>
          </w:tcPr>
          <w:p>
            <w:pPr>
              <w:jc w:val="right"/>
              <w:spacing w:after="0" w:line="288" w:lineRule="exact"/>
              <w:rPr>
                <w:sz w:val="20"/>
                <w:szCs w:val="20"/>
                <w:color w:val="auto"/>
              </w:rPr>
            </w:pPr>
            <w:r>
              <w:rPr>
                <w:rFonts w:ascii="Arial" w:cs="Arial" w:eastAsia="Arial" w:hAnsi="Arial"/>
                <w:sz w:val="17"/>
                <w:szCs w:val="17"/>
                <w:color w:val="auto"/>
              </w:rPr>
              <w:t>—</w:t>
            </w:r>
            <w:r>
              <w:rPr>
                <w:rFonts w:ascii="Arial" w:cs="Arial" w:eastAsia="Arial" w:hAnsi="Arial"/>
                <w:sz w:val="33"/>
                <w:szCs w:val="33"/>
                <w:color w:val="auto"/>
                <w:vertAlign w:val="subscript"/>
              </w:rPr>
              <w:t>​</w:t>
            </w:r>
          </w:p>
        </w:tc>
      </w:tr>
      <w:tr>
        <w:trPr>
          <w:trHeight w:val="20"/>
        </w:trPr>
        <w:tc>
          <w:tcPr>
            <w:tcW w:w="48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gridSpan w:val="3"/>
            <w:shd w:val="clear" w:color="auto" w:fill="CCEEFF"/>
          </w:tcPr>
          <w:p>
            <w:pPr>
              <w:ind w:left="1540"/>
              <w:spacing w:after="0" w:line="269" w:lineRule="exact"/>
              <w:rPr>
                <w:sz w:val="20"/>
                <w:szCs w:val="20"/>
                <w:color w:val="auto"/>
              </w:rPr>
            </w:pPr>
            <w:r>
              <w:rPr>
                <w:rFonts w:ascii="Arial" w:cs="Arial" w:eastAsia="Arial" w:hAnsi="Arial"/>
                <w:sz w:val="31"/>
                <w:szCs w:val="31"/>
                <w:color w:val="auto"/>
                <w:vertAlign w:val="subscript"/>
              </w:rPr>
              <w:t>​ ​​</w:t>
            </w:r>
            <w:r>
              <w:rPr>
                <w:rFonts w:ascii="Arial" w:cs="Arial" w:eastAsia="Arial" w:hAnsi="Arial"/>
                <w:sz w:val="16"/>
                <w:szCs w:val="16"/>
                <w:u w:val="single" w:color="auto"/>
                <w:color w:val="auto"/>
              </w:rPr>
              <w:t>$</w:t>
            </w:r>
            <w:r>
              <w:rPr>
                <w:rFonts w:ascii="Arial" w:cs="Arial" w:eastAsia="Arial" w:hAnsi="Arial"/>
                <w:sz w:val="16"/>
                <w:szCs w:val="16"/>
                <w:color w:val="auto"/>
              </w:rPr>
              <w:t>1,125,000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-1568450</wp:posOffset>
            </wp:positionV>
            <wp:extent cx="41230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4123055" cy="8255"/>
                    </a:xfrm>
                    <a:prstGeom prst="rect">
                      <a:avLst/>
                    </a:prstGeom>
                    <a:noFill/>
                  </pic:spPr>
                </pic:pic>
              </a:graphicData>
            </a:graphic>
          </wp:anchor>
        </w:drawing>
        <w:drawing>
          <wp:anchor simplePos="0" relativeHeight="251657728" behindDoc="1" locked="0" layoutInCell="0" allowOverlap="1">
            <wp:simplePos x="0" y="0"/>
            <wp:positionH relativeFrom="column">
              <wp:posOffset>1001395</wp:posOffset>
            </wp:positionH>
            <wp:positionV relativeFrom="paragraph">
              <wp:posOffset>-216535</wp:posOffset>
            </wp:positionV>
            <wp:extent cx="41230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251" w:lineRule="exact"/>
        <w:rPr>
          <w:sz w:val="20"/>
          <w:szCs w:val="20"/>
          <w:color w:val="auto"/>
        </w:rPr>
      </w:pPr>
    </w:p>
    <w:p>
      <w:pPr>
        <w:ind w:left="1220"/>
        <w:spacing w:after="0"/>
        <w:tabs>
          <w:tab w:leader="none" w:pos="1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154" w:lineRule="exact"/>
        <w:rPr>
          <w:sz w:val="20"/>
          <w:szCs w:val="20"/>
          <w:color w:val="auto"/>
        </w:rPr>
      </w:pPr>
    </w:p>
    <w:p>
      <w:pPr>
        <w:ind w:left="1220" w:right="599" w:firstLine="350"/>
        <w:spacing w:after="0" w:line="267" w:lineRule="auto"/>
        <w:rPr>
          <w:sz w:val="20"/>
          <w:szCs w:val="20"/>
          <w:color w:val="auto"/>
        </w:rPr>
      </w:pPr>
      <w:r>
        <w:rPr>
          <w:rFonts w:ascii="Arial" w:cs="Arial" w:eastAsia="Arial" w:hAnsi="Arial"/>
          <w:sz w:val="16"/>
          <w:szCs w:val="16"/>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certificate of incorporation provides for indemnification by the Registrant of members of its board of directors, members of committees of its board of directors and of other committees of the Registrant, and its executive officers, and allows the Registrant to provide indemnification for its other officers and its agents and employees, and those serving another corporation, partnership, joint venture, trust or other enterprise at the request of the Registrant, in each case to the maximum extent permitted by the DGCL.</w:t>
      </w:r>
    </w:p>
    <w:p>
      <w:pPr>
        <w:spacing w:after="0" w:line="304" w:lineRule="exact"/>
        <w:rPr>
          <w:sz w:val="20"/>
          <w:szCs w:val="20"/>
          <w:color w:val="auto"/>
        </w:rPr>
      </w:pPr>
    </w:p>
    <w:p>
      <w:pPr>
        <w:ind w:left="1220" w:right="539" w:firstLine="350"/>
        <w:spacing w:after="0" w:line="236" w:lineRule="auto"/>
        <w:rPr>
          <w:sz w:val="20"/>
          <w:szCs w:val="20"/>
          <w:color w:val="auto"/>
        </w:rPr>
      </w:pPr>
      <w:r>
        <w:rPr>
          <w:rFonts w:ascii="Arial" w:cs="Arial" w:eastAsia="Arial" w:hAnsi="Arial"/>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certificate of incorporation provides for such limitation of liability.</w:t>
      </w:r>
    </w:p>
    <w:p>
      <w:pPr>
        <w:spacing w:after="0" w:line="120" w:lineRule="exact"/>
        <w:rPr>
          <w:sz w:val="20"/>
          <w:szCs w:val="20"/>
          <w:color w:val="auto"/>
        </w:rPr>
      </w:pPr>
    </w:p>
    <w:p>
      <w:pPr>
        <w:ind w:left="1220" w:right="599" w:firstLine="350"/>
        <w:spacing w:after="0" w:line="236" w:lineRule="auto"/>
        <w:rPr>
          <w:sz w:val="20"/>
          <w:szCs w:val="20"/>
          <w:color w:val="auto"/>
        </w:rPr>
      </w:pPr>
      <w:r>
        <w:rPr>
          <w:rFonts w:ascii="Arial" w:cs="Arial" w:eastAsia="Arial" w:hAnsi="Arial"/>
          <w:sz w:val="18"/>
          <w:szCs w:val="18"/>
          <w:color w:val="auto"/>
        </w:rPr>
        <w:t>The Registrant has also entered into separate indemnification agreements with each of its directors and officers which are in addition to the Registrant’s indemnification obligations under its certificate of incorporation. These indemnification agreements may require the Registrant, among other things, to indemnify its directors and officers against expenses and liabilities that may arise by reason of their status as directors and officers, subject to certain exceptions. These indemnification agreements may also require the Registrant to advance any expenses incurred by its directors and officers as a result of any proceeding against them as to which they could be indemnified and to obtain and maintain directors’ and officers’ insurance.</w:t>
      </w:r>
    </w:p>
    <w:p>
      <w:pPr>
        <w:spacing w:after="0" w:line="37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20" w:right="579" w:firstLine="350"/>
        <w:spacing w:after="0" w:line="279" w:lineRule="auto"/>
        <w:rPr>
          <w:sz w:val="20"/>
          <w:szCs w:val="20"/>
          <w:color w:val="auto"/>
        </w:rPr>
      </w:pPr>
      <w:r>
        <w:rPr>
          <w:rFonts w:ascii="Arial" w:cs="Arial" w:eastAsia="Arial" w:hAnsi="Arial"/>
          <w:sz w:val="16"/>
          <w:szCs w:val="16"/>
          <w:color w:val="auto"/>
        </w:rPr>
        <w:t>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9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The proposed form of underwriting agreement filed as Exhibit 1.1 to this Registration Statement</w:t>
      </w:r>
    </w:p>
    <w:p>
      <w:pPr>
        <w:spacing w:after="0" w:line="15" w:lineRule="exact"/>
        <w:rPr>
          <w:sz w:val="20"/>
          <w:szCs w:val="20"/>
          <w:color w:val="auto"/>
        </w:rPr>
      </w:pPr>
    </w:p>
    <w:p>
      <w:pPr>
        <w:ind w:left="1220" w:right="739"/>
        <w:spacing w:after="0" w:line="236" w:lineRule="auto"/>
        <w:rPr>
          <w:sz w:val="20"/>
          <w:szCs w:val="20"/>
          <w:color w:val="auto"/>
        </w:rPr>
      </w:pPr>
      <w:r>
        <w:rPr>
          <w:rFonts w:ascii="Arial" w:cs="Arial" w:eastAsia="Arial" w:hAnsi="Arial"/>
          <w:sz w:val="18"/>
          <w:szCs w:val="18"/>
          <w:color w:val="auto"/>
        </w:rPr>
        <w:t>provides for indemnification of directors and officers of the Registrant by the underwriters against certain liabilities.</w:t>
      </w:r>
    </w:p>
    <w:p>
      <w:pPr>
        <w:spacing w:after="0" w:line="180" w:lineRule="exact"/>
        <w:rPr>
          <w:sz w:val="20"/>
          <w:szCs w:val="20"/>
          <w:color w:val="auto"/>
        </w:rPr>
      </w:pPr>
    </w:p>
    <w:p>
      <w:pPr>
        <w:ind w:left="1220"/>
        <w:spacing w:after="0"/>
        <w:tabs>
          <w:tab w:leader="none" w:pos="1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154" w:lineRule="exact"/>
        <w:rPr>
          <w:sz w:val="20"/>
          <w:szCs w:val="20"/>
          <w:color w:val="auto"/>
        </w:rPr>
      </w:pPr>
    </w:p>
    <w:p>
      <w:pPr>
        <w:ind w:left="1220" w:right="619" w:firstLine="350"/>
        <w:spacing w:after="0" w:line="239" w:lineRule="auto"/>
        <w:rPr>
          <w:sz w:val="20"/>
          <w:szCs w:val="20"/>
          <w:color w:val="auto"/>
        </w:rPr>
      </w:pPr>
      <w:r>
        <w:rPr>
          <w:rFonts w:ascii="Arial" w:cs="Arial" w:eastAsia="Arial" w:hAnsi="Arial"/>
          <w:sz w:val="18"/>
          <w:szCs w:val="18"/>
          <w:color w:val="auto"/>
        </w:rPr>
        <w:t>On January 21, 2022, in connection with the formation of Mobileye Global Inc., we sold 100 shares of our common stock, par value $0.01 per share, to Intel Overseas Funding Corporation, a wholly owned subsidiary of Intel Corporation, at par value for an aggregate purchase price of $1.00 pursuant to Section 4(a)(2) of the Securities Act.</w:t>
      </w:r>
    </w:p>
    <w:p>
      <w:pPr>
        <w:spacing w:after="0" w:line="122" w:lineRule="exact"/>
        <w:rPr>
          <w:sz w:val="20"/>
          <w:szCs w:val="20"/>
          <w:color w:val="auto"/>
        </w:rPr>
      </w:pPr>
    </w:p>
    <w:p>
      <w:pPr>
        <w:ind w:left="1220" w:right="879" w:firstLine="350"/>
        <w:spacing w:after="0" w:line="239" w:lineRule="auto"/>
        <w:rPr>
          <w:sz w:val="20"/>
          <w:szCs w:val="20"/>
          <w:color w:val="auto"/>
        </w:rPr>
      </w:pPr>
      <w:r>
        <w:rPr>
          <w:rFonts w:ascii="Arial" w:cs="Arial" w:eastAsia="Arial" w:hAnsi="Arial"/>
          <w:sz w:val="18"/>
          <w:szCs w:val="18"/>
          <w:color w:val="auto"/>
        </w:rPr>
        <w:t>Concurrently with the closing of the Mobileye IPO, we closed the sale of 4,761,905 shares of our Class A common stock to General Atlantic (ME), L.P., a Delaware limited partnership, at $21 per share, pursuant to a private placement exempt from registration under Section 4(a)(2) of the Securities Act of 1933, as amended, for gross proceeds of $100 million.</w:t>
      </w:r>
    </w:p>
    <w:p>
      <w:pPr>
        <w:spacing w:after="0" w:line="182" w:lineRule="exact"/>
        <w:rPr>
          <w:sz w:val="20"/>
          <w:szCs w:val="20"/>
          <w:color w:val="auto"/>
        </w:rPr>
      </w:pPr>
    </w:p>
    <w:p>
      <w:pPr>
        <w:ind w:left="1220"/>
        <w:spacing w:after="0"/>
        <w:tabs>
          <w:tab w:leader="none" w:pos="19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4"/>
          <w:szCs w:val="14"/>
          <w:b w:val="1"/>
          <w:bCs w:val="1"/>
          <w:color w:val="auto"/>
        </w:rPr>
        <w:t>Exhibits and Financial Statement Schedules.</w:t>
      </w:r>
    </w:p>
    <w:p>
      <w:pPr>
        <w:spacing w:after="0" w:line="141" w:lineRule="exact"/>
        <w:rPr>
          <w:sz w:val="20"/>
          <w:szCs w:val="20"/>
          <w:color w:val="auto"/>
        </w:rPr>
      </w:pPr>
    </w:p>
    <w:p>
      <w:pPr>
        <w:ind w:left="1920" w:hanging="341"/>
        <w:spacing w:after="0"/>
        <w:tabs>
          <w:tab w:leader="none" w:pos="1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w:t>
      </w:r>
    </w:p>
    <w:p>
      <w:pPr>
        <w:spacing w:after="0" w:line="14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135" w:lineRule="exact"/>
        <w:rPr>
          <w:sz w:val="20"/>
          <w:szCs w:val="20"/>
          <w:color w:val="auto"/>
        </w:rPr>
      </w:pPr>
    </w:p>
    <w:p>
      <w:pPr>
        <w:ind w:left="1920" w:hanging="341"/>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48" w:lineRule="exact"/>
        <w:rPr>
          <w:sz w:val="20"/>
          <w:szCs w:val="20"/>
          <w:color w:val="auto"/>
        </w:rPr>
      </w:pPr>
    </w:p>
    <w:p>
      <w:pPr>
        <w:ind w:left="1220" w:right="579" w:firstLine="350"/>
        <w:spacing w:after="0" w:line="246" w:lineRule="auto"/>
        <w:rPr>
          <w:sz w:val="20"/>
          <w:szCs w:val="20"/>
          <w:color w:val="auto"/>
        </w:rPr>
      </w:pPr>
      <w:r>
        <w:rPr>
          <w:rFonts w:ascii="Arial" w:cs="Arial" w:eastAsia="Arial" w:hAnsi="Arial"/>
          <w:sz w:val="18"/>
          <w:szCs w:val="18"/>
          <w:color w:val="auto"/>
        </w:rPr>
        <w:t>No financial statement schedules are provided because the information called for is not applicable or is shown in the financial statements or notes thereto.</w:t>
      </w:r>
    </w:p>
    <w:p>
      <w:pPr>
        <w:spacing w:after="0" w:line="174" w:lineRule="exact"/>
        <w:rPr>
          <w:sz w:val="20"/>
          <w:szCs w:val="20"/>
          <w:color w:val="auto"/>
        </w:rPr>
      </w:pPr>
    </w:p>
    <w:p>
      <w:pPr>
        <w:ind w:left="1220"/>
        <w:spacing w:after="0"/>
        <w:tabs>
          <w:tab w:leader="none" w:pos="19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154"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The undersigned registrant hereby undertakes that:</w:t>
      </w:r>
    </w:p>
    <w:p>
      <w:pPr>
        <w:spacing w:after="0" w:line="135" w:lineRule="exact"/>
        <w:rPr>
          <w:sz w:val="20"/>
          <w:szCs w:val="20"/>
          <w:color w:val="auto"/>
        </w:rPr>
      </w:pPr>
    </w:p>
    <w:p>
      <w:pPr>
        <w:ind w:left="1220" w:right="539" w:firstLine="350"/>
        <w:spacing w:after="0" w:line="269"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The undersigned registrant hereby undertakes that:</w:t>
      </w:r>
    </w:p>
    <w:p>
      <w:pPr>
        <w:spacing w:after="0" w:line="135" w:lineRule="exact"/>
        <w:rPr>
          <w:sz w:val="20"/>
          <w:szCs w:val="20"/>
          <w:color w:val="auto"/>
        </w:rPr>
      </w:pPr>
    </w:p>
    <w:p>
      <w:pPr>
        <w:ind w:left="1920" w:right="699" w:hanging="341"/>
        <w:spacing w:after="0" w:line="248" w:lineRule="auto"/>
        <w:tabs>
          <w:tab w:leader="none" w:pos="1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424(b) (1) or (4) or 497(h) under the Securities Act shall be deemed to be part of this registration statement as of the time it was declared effective; and</w:t>
      </w:r>
    </w:p>
    <w:p>
      <w:pPr>
        <w:spacing w:after="0" w:line="126" w:lineRule="exact"/>
        <w:rPr>
          <w:rFonts w:ascii="Arial" w:cs="Arial" w:eastAsia="Arial" w:hAnsi="Arial"/>
          <w:sz w:val="18"/>
          <w:szCs w:val="18"/>
          <w:color w:val="auto"/>
        </w:rPr>
      </w:pPr>
    </w:p>
    <w:p>
      <w:pPr>
        <w:ind w:left="1920" w:right="659" w:hanging="341"/>
        <w:spacing w:after="0" w:line="249" w:lineRule="auto"/>
        <w:tabs>
          <w:tab w:leader="none" w:pos="1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3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440"/>
          </w:cols>
          <w:pgMar w:left="720" w:top="90" w:right="739" w:bottom="1440" w:gutter="0" w:footer="0" w:header="0"/>
        </w:sectPr>
      </w:pPr>
    </w:p>
    <w:p>
      <w:pPr>
        <w:spacing w:after="0" w:line="180"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20"/>
        </w:trPr>
        <w:tc>
          <w:tcPr>
            <w:tcW w:w="520" w:type="dxa"/>
            <w:vAlign w:val="bottom"/>
            <w:tcBorders>
              <w:bottom w:val="single" w:sz="8" w:color="auto"/>
            </w:tcBorders>
          </w:tcPr>
          <w:p>
            <w:pPr>
              <w:spacing w:after="0" w:line="220"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No.</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2480" w:type="dxa"/>
            <w:vAlign w:val="bottom"/>
          </w:tcPr>
          <w:p>
            <w:pPr>
              <w:spacing w:after="0"/>
              <w:rPr>
                <w:sz w:val="19"/>
                <w:szCs w:val="19"/>
                <w:color w:val="auto"/>
              </w:rPr>
            </w:pPr>
          </w:p>
        </w:tc>
        <w:tc>
          <w:tcPr>
            <w:tcW w:w="4380" w:type="dxa"/>
            <w:vAlign w:val="bottom"/>
            <w:gridSpan w:val="2"/>
          </w:tcPr>
          <w:p>
            <w:pPr>
              <w:ind w:left="840"/>
              <w:spacing w:after="0"/>
              <w:rPr>
                <w:sz w:val="20"/>
                <w:szCs w:val="20"/>
                <w:color w:val="auto"/>
              </w:rPr>
            </w:pPr>
            <w:r>
              <w:rPr>
                <w:rFonts w:ascii="Arial" w:cs="Arial" w:eastAsia="Arial" w:hAnsi="Arial"/>
                <w:sz w:val="14"/>
                <w:szCs w:val="14"/>
                <w:b w:val="1"/>
                <w:bCs w:val="1"/>
                <w:color w:val="auto"/>
              </w:rPr>
              <w:t>Description</w:t>
            </w:r>
          </w:p>
        </w:tc>
      </w:tr>
      <w:tr>
        <w:trPr>
          <w:trHeight w:val="203"/>
        </w:trPr>
        <w:tc>
          <w:tcPr>
            <w:tcW w:w="520" w:type="dxa"/>
            <w:vAlign w:val="bottom"/>
          </w:tcPr>
          <w:p>
            <w:pPr>
              <w:spacing w:after="0" w:line="203"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1.1</w:t>
            </w:r>
          </w:p>
        </w:tc>
        <w:tc>
          <w:tcPr>
            <w:tcW w:w="7060" w:type="dxa"/>
            <w:vAlign w:val="bottom"/>
            <w:gridSpan w:val="4"/>
          </w:tcPr>
          <w:p>
            <w:pPr>
              <w:spacing w:after="0" w:line="203" w:lineRule="exact"/>
              <w:rPr>
                <w:sz w:val="20"/>
                <w:szCs w:val="20"/>
                <w:color w:val="auto"/>
              </w:rPr>
            </w:pPr>
            <w:r>
              <w:rPr>
                <w:rFonts w:ascii="Arial" w:cs="Arial" w:eastAsia="Arial" w:hAnsi="Arial"/>
                <w:sz w:val="23"/>
                <w:szCs w:val="23"/>
                <w:color w:val="000000"/>
                <w:vertAlign w:val="superscript"/>
              </w:rPr>
              <w:t>​ ​</w:t>
            </w:r>
            <w:r>
              <w:rPr>
                <w:rFonts w:ascii="Arial" w:cs="Arial" w:eastAsia="Arial" w:hAnsi="Arial"/>
                <w:sz w:val="13"/>
                <w:szCs w:val="13"/>
                <w:color w:val="0000EE"/>
              </w:rPr>
              <w:t xml:space="preserve"> Form of Underwriting Agreement</w:t>
            </w: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0"/>
        </w:trPr>
        <w:tc>
          <w:tcPr>
            <w:tcW w:w="520" w:type="dxa"/>
            <w:vAlign w:val="bottom"/>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3.1</w:t>
            </w:r>
          </w:p>
        </w:tc>
        <w:tc>
          <w:tcPr>
            <w:tcW w:w="7060" w:type="dxa"/>
            <w:vAlign w:val="bottom"/>
            <w:gridSpan w:val="4"/>
          </w:tcPr>
          <w:p>
            <w:pPr>
              <w:spacing w:after="0" w:line="230" w:lineRule="exact"/>
              <w:rPr>
                <w:rFonts w:ascii="Arial" w:cs="Arial" w:eastAsia="Arial" w:hAnsi="Arial"/>
                <w:sz w:val="14"/>
                <w:szCs w:val="14"/>
                <w:color w:val="0000EE"/>
              </w:rPr>
            </w:pPr>
            <w:hyperlink r:id="rId97"/>
            <w:r>
              <w:rPr>
                <w:rFonts w:ascii="Arial" w:cs="Arial" w:eastAsia="Arial" w:hAnsi="Arial"/>
                <w:sz w:val="26"/>
                <w:szCs w:val="26"/>
                <w:color w:val="000000"/>
                <w:vertAlign w:val="superscript"/>
              </w:rPr>
              <w:t>​</w:t>
            </w:r>
            <w:r>
              <w:rPr>
                <w:rFonts w:ascii="Arial" w:cs="Arial" w:eastAsia="Arial" w:hAnsi="Arial"/>
                <w:sz w:val="14"/>
                <w:szCs w:val="14"/>
                <w:color w:val="0000EE"/>
              </w:rPr>
              <w:t xml:space="preserve"> </w:t>
            </w:r>
            <w:r>
              <w:rPr>
                <w:rFonts w:ascii="Arial" w:cs="Arial" w:eastAsia="Arial" w:hAnsi="Arial"/>
                <w:sz w:val="26"/>
                <w:szCs w:val="26"/>
                <w:color w:val="000000"/>
                <w:vertAlign w:val="superscript"/>
              </w:rPr>
              <w:t>​</w:t>
            </w:r>
            <w:r>
              <w:rPr>
                <w:rFonts w:ascii="Arial" w:cs="Arial" w:eastAsia="Arial" w:hAnsi="Arial"/>
                <w:sz w:val="14"/>
                <w:szCs w:val="14"/>
                <w:color w:val="0000EE"/>
              </w:rPr>
              <w:t xml:space="preserve"> </w:t>
            </w:r>
            <w:hyperlink r:id="rId97">
              <w:r>
                <w:rPr>
                  <w:rFonts w:ascii="Arial" w:cs="Arial" w:eastAsia="Arial" w:hAnsi="Arial"/>
                  <w:sz w:val="14"/>
                  <w:szCs w:val="14"/>
                  <w:color w:val="0000EE"/>
                </w:rPr>
                <w:t>Amended and Restated Certificate of Incorporation of Mobileye Global Inc. (incorporated by</w:t>
              </w:r>
            </w:hyperlink>
          </w:p>
        </w:tc>
      </w:tr>
      <w:tr>
        <w:trPr>
          <w:trHeight w:val="190"/>
        </w:trPr>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60" w:type="dxa"/>
            <w:vAlign w:val="bottom"/>
            <w:tcBorders>
              <w:top w:val="single" w:sz="8" w:color="0000EE"/>
              <w:bottom w:val="single" w:sz="8" w:color="0000EE"/>
            </w:tcBorders>
            <w:gridSpan w:val="2"/>
          </w:tcPr>
          <w:p>
            <w:pPr>
              <w:spacing w:after="0" w:line="190"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reference to Exhibit 3.1 to the Company’s Form 8-K filed on October 28, 2022)</w:t>
              </w:r>
            </w:hyperlink>
          </w:p>
        </w:tc>
        <w:tc>
          <w:tcPr>
            <w:tcW w:w="1000" w:type="dxa"/>
            <w:vAlign w:val="bottom"/>
            <w:tcBorders>
              <w:top w:val="single" w:sz="8" w:color="0000EE"/>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1235075</wp:posOffset>
            </wp:positionH>
            <wp:positionV relativeFrom="paragraph">
              <wp:posOffset>-441960</wp:posOffset>
            </wp:positionV>
            <wp:extent cx="46240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46240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40" w:lineRule="exact"/>
        <w:rPr>
          <w:sz w:val="20"/>
          <w:szCs w:val="20"/>
          <w:color w:val="auto"/>
        </w:rPr>
      </w:pPr>
    </w:p>
    <w:p>
      <w:pPr>
        <w:sectPr>
          <w:pgSz w:w="11900" w:h="16838" w:orient="portrait"/>
          <w:cols w:equalWidth="0" w:num="2">
            <w:col w:w="8800" w:space="420"/>
            <w:col w:w="1220"/>
          </w:cols>
          <w:pgMar w:left="720" w:top="90" w:right="739" w:bottom="1440" w:gutter="0" w:footer="0" w:header="0"/>
          <w:type w:val="continuous"/>
        </w:sectPr>
      </w:pPr>
    </w:p>
    <w:p>
      <w:pPr>
        <w:ind w:left="1320" w:hanging="91"/>
        <w:spacing w:after="0" w:line="182" w:lineRule="auto"/>
        <w:tabs>
          <w:tab w:leader="none" w:pos="1320" w:val="left"/>
        </w:tabs>
        <w:numPr>
          <w:ilvl w:val="0"/>
          <w:numId w:val="32"/>
        </w:numPr>
        <w:rPr>
          <w:rFonts w:ascii="Arial" w:cs="Arial" w:eastAsia="Arial" w:hAnsi="Arial"/>
          <w:sz w:val="33"/>
          <w:szCs w:val="33"/>
          <w:color w:val="auto"/>
          <w:vertAlign w:val="superscript"/>
        </w:rPr>
      </w:pPr>
      <w:r>
        <w:rPr>
          <w:rFonts w:ascii="Arial" w:cs="Arial" w:eastAsia="Arial" w:hAnsi="Arial"/>
          <w:sz w:val="17"/>
          <w:szCs w:val="17"/>
          <w:color w:val="auto"/>
        </w:rPr>
        <w:t>3.2</w:t>
      </w:r>
    </w:p>
    <w:p>
      <w:pPr>
        <w:spacing w:after="0" w:line="265" w:lineRule="exact"/>
        <w:rPr>
          <w:rFonts w:ascii="Arial" w:cs="Arial" w:eastAsia="Arial" w:hAnsi="Arial"/>
          <w:sz w:val="33"/>
          <w:szCs w:val="33"/>
          <w:color w:val="auto"/>
          <w:vertAlign w:val="superscript"/>
        </w:rPr>
      </w:pPr>
    </w:p>
    <w:p>
      <w:pPr>
        <w:jc w:val="both"/>
        <w:ind w:left="1220" w:right="100" w:firstLine="9"/>
        <w:spacing w:after="0" w:line="217" w:lineRule="auto"/>
        <w:tabs>
          <w:tab w:leader="none" w:pos="1307" w:val="left"/>
        </w:tabs>
        <w:numPr>
          <w:ilvl w:val="0"/>
          <w:numId w:val="32"/>
        </w:numPr>
        <w:rPr>
          <w:rFonts w:ascii="Arial" w:cs="Arial" w:eastAsia="Arial" w:hAnsi="Arial"/>
          <w:sz w:val="32"/>
          <w:szCs w:val="32"/>
          <w:color w:val="auto"/>
          <w:vertAlign w:val="superscript"/>
        </w:rPr>
      </w:pPr>
      <w:r>
        <w:rPr>
          <w:rFonts w:ascii="Arial" w:cs="Arial" w:eastAsia="Arial" w:hAnsi="Arial"/>
          <w:sz w:val="16"/>
          <w:szCs w:val="16"/>
          <w:color w:val="auto"/>
        </w:rPr>
        <w:t xml:space="preserve">5.1 </w:t>
      </w:r>
      <w:r>
        <w:rPr>
          <w:rFonts w:ascii="Arial" w:cs="Arial" w:eastAsia="Arial" w:hAnsi="Arial"/>
          <w:sz w:val="32"/>
          <w:szCs w:val="32"/>
          <w:color w:val="auto"/>
          <w:vertAlign w:val="superscript"/>
        </w:rPr>
        <w:t>​</w:t>
      </w:r>
      <w:r>
        <w:rPr>
          <w:rFonts w:ascii="Arial" w:cs="Arial" w:eastAsia="Arial" w:hAnsi="Arial"/>
          <w:sz w:val="16"/>
          <w:szCs w:val="16"/>
          <w:color w:val="auto"/>
        </w:rPr>
        <w:t>10.1</w:t>
      </w:r>
    </w:p>
    <w:p>
      <w:pPr>
        <w:spacing w:after="0" w:line="18" w:lineRule="exact"/>
        <w:rPr>
          <w:sz w:val="20"/>
          <w:szCs w:val="20"/>
          <w:color w:val="auto"/>
        </w:rPr>
      </w:pPr>
    </w:p>
    <w:p>
      <w:pPr>
        <w:ind w:left="122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10.2+</w:t>
      </w:r>
    </w:p>
    <w:p>
      <w:pPr>
        <w:spacing w:after="0" w:line="105" w:lineRule="exact"/>
        <w:rPr>
          <w:sz w:val="20"/>
          <w:szCs w:val="20"/>
          <w:color w:val="auto"/>
        </w:rPr>
      </w:pPr>
    </w:p>
    <w:p>
      <w:pPr>
        <w:ind w:left="122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10.3+</w:t>
      </w:r>
    </w:p>
    <w:p>
      <w:pPr>
        <w:spacing w:after="0" w:line="105" w:lineRule="exact"/>
        <w:rPr>
          <w:sz w:val="20"/>
          <w:szCs w:val="20"/>
          <w:color w:val="auto"/>
        </w:rPr>
      </w:pPr>
    </w:p>
    <w:p>
      <w:pPr>
        <w:ind w:left="122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10.4+</w:t>
      </w:r>
    </w:p>
    <w:p>
      <w:pPr>
        <w:spacing w:after="0" w:line="105" w:lineRule="exact"/>
        <w:rPr>
          <w:sz w:val="20"/>
          <w:szCs w:val="20"/>
          <w:color w:val="auto"/>
        </w:rPr>
      </w:pPr>
    </w:p>
    <w:p>
      <w:pPr>
        <w:ind w:left="122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10.5+</w:t>
      </w:r>
    </w:p>
    <w:p>
      <w:pPr>
        <w:spacing w:after="0" w:line="105" w:lineRule="exact"/>
        <w:rPr>
          <w:sz w:val="20"/>
          <w:szCs w:val="20"/>
          <w:color w:val="auto"/>
        </w:rPr>
      </w:pPr>
    </w:p>
    <w:p>
      <w:pPr>
        <w:ind w:left="122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10.6+</w:t>
      </w:r>
    </w:p>
    <w:p>
      <w:pPr>
        <w:spacing w:after="0" w:line="105" w:lineRule="exact"/>
        <w:rPr>
          <w:sz w:val="20"/>
          <w:szCs w:val="20"/>
          <w:color w:val="auto"/>
        </w:rPr>
      </w:pPr>
    </w:p>
    <w:p>
      <w:pPr>
        <w:ind w:left="122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10.7</w:t>
      </w:r>
    </w:p>
    <w:p>
      <w:pPr>
        <w:spacing w:after="0" w:line="71" w:lineRule="exact"/>
        <w:rPr>
          <w:sz w:val="20"/>
          <w:szCs w:val="20"/>
          <w:color w:val="auto"/>
        </w:rPr>
      </w:pPr>
    </w:p>
    <w:p>
      <w:pPr>
        <w:ind w:left="122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200" w:right="1180" w:hanging="209"/>
        <w:spacing w:after="0" w:line="193" w:lineRule="auto"/>
        <w:rPr>
          <w:rFonts w:ascii="Arial" w:cs="Arial" w:eastAsia="Arial" w:hAnsi="Arial"/>
          <w:sz w:val="17"/>
          <w:szCs w:val="17"/>
          <w:u w:val="single" w:color="auto"/>
          <w:color w:val="0000EE"/>
        </w:rPr>
      </w:pPr>
      <w:hyperlink r:id="rId99"/>
      <w:r>
        <w:rPr>
          <w:rFonts w:ascii="Arial" w:cs="Arial" w:eastAsia="Arial" w:hAnsi="Arial"/>
          <w:sz w:val="34"/>
          <w:szCs w:val="34"/>
          <w:color w:val="000000"/>
          <w:vertAlign w:val="superscript"/>
        </w:rPr>
        <w:t>​</w:t>
      </w:r>
      <w:r>
        <w:rPr>
          <w:rFonts w:ascii="Arial" w:cs="Arial" w:eastAsia="Arial" w:hAnsi="Arial"/>
          <w:sz w:val="17"/>
          <w:szCs w:val="17"/>
          <w:color w:val="0000EE"/>
        </w:rPr>
        <w:t xml:space="preserve"> </w:t>
      </w:r>
      <w:r>
        <w:rPr>
          <w:rFonts w:ascii="Arial" w:cs="Arial" w:eastAsia="Arial" w:hAnsi="Arial"/>
          <w:sz w:val="34"/>
          <w:szCs w:val="34"/>
          <w:color w:val="000000"/>
          <w:vertAlign w:val="superscript"/>
        </w:rPr>
        <w:t>​</w:t>
      </w:r>
      <w:r>
        <w:rPr>
          <w:rFonts w:ascii="Arial" w:cs="Arial" w:eastAsia="Arial" w:hAnsi="Arial"/>
          <w:sz w:val="17"/>
          <w:szCs w:val="17"/>
          <w:color w:val="0000EE"/>
        </w:rPr>
        <w:t xml:space="preserve"> </w:t>
      </w:r>
      <w:hyperlink r:id="rId99">
        <w:r>
          <w:rPr>
            <w:rFonts w:ascii="Arial" w:cs="Arial" w:eastAsia="Arial" w:hAnsi="Arial"/>
            <w:sz w:val="17"/>
            <w:szCs w:val="17"/>
            <w:u w:val="single" w:color="auto"/>
            <w:color w:val="0000EE"/>
          </w:rPr>
          <w:t xml:space="preserve">Amended and Restated Bylaws of Mobileye Global Inc. (incorporated by reference to Exhibit 3.2 </w:t>
        </w:r>
      </w:hyperlink>
      <w:r>
        <w:rPr>
          <w:rFonts w:ascii="Arial" w:cs="Arial" w:eastAsia="Arial" w:hAnsi="Arial"/>
          <w:sz w:val="34"/>
          <w:szCs w:val="34"/>
          <w:color w:val="000000"/>
          <w:vertAlign w:val="superscript"/>
        </w:rPr>
        <w:t>​</w:t>
      </w:r>
      <w:r>
        <w:rPr>
          <w:rFonts w:ascii="Arial" w:cs="Arial" w:eastAsia="Arial" w:hAnsi="Arial"/>
          <w:sz w:val="17"/>
          <w:szCs w:val="17"/>
          <w:color w:val="0000EE"/>
        </w:rPr>
        <w:t xml:space="preserve"> </w:t>
      </w:r>
      <w:hyperlink r:id="rId99">
        <w:r>
          <w:rPr>
            <w:rFonts w:ascii="Arial" w:cs="Arial" w:eastAsia="Arial" w:hAnsi="Arial"/>
            <w:sz w:val="17"/>
            <w:szCs w:val="17"/>
            <w:u w:val="single" w:color="auto"/>
            <w:color w:val="0000EE"/>
          </w:rPr>
          <w:t>to the Company’s Form 8-K filed on October 28, 2022)</w:t>
        </w:r>
      </w:hyperlink>
    </w:p>
    <w:p>
      <w:pPr>
        <w:spacing w:after="0" w:line="181" w:lineRule="auto"/>
        <w:tabs>
          <w:tab w:leader="none" w:pos="7460" w:val="left"/>
        </w:tabs>
        <w:rPr>
          <w:sz w:val="20"/>
          <w:szCs w:val="20"/>
          <w:color w:val="auto"/>
        </w:rPr>
      </w:pPr>
      <w:r>
        <w:rPr>
          <w:rFonts w:ascii="Arial" w:cs="Arial" w:eastAsia="Arial" w:hAnsi="Arial"/>
          <w:sz w:val="32"/>
          <w:szCs w:val="32"/>
          <w:color w:val="000000"/>
          <w:vertAlign w:val="superscript"/>
        </w:rPr>
        <w:t>​ ​</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Opinion of Davis Polk &amp; Wardwell LLP</w:t>
      </w:r>
      <w:r>
        <w:rPr>
          <w:sz w:val="20"/>
          <w:szCs w:val="20"/>
          <w:color w:val="auto"/>
        </w:rPr>
        <w:tab/>
      </w:r>
      <w:r>
        <w:rPr>
          <w:rFonts w:ascii="Arial" w:cs="Arial" w:eastAsia="Arial" w:hAnsi="Arial"/>
          <w:sz w:val="32"/>
          <w:szCs w:val="32"/>
          <w:color w:val="auto"/>
          <w:vertAlign w:val="superscript"/>
        </w:rPr>
        <w:t>​</w:t>
      </w:r>
    </w:p>
    <w:p>
      <w:pPr>
        <w:spacing w:after="0" w:line="1" w:lineRule="exact"/>
        <w:rPr>
          <w:rFonts w:ascii="Arial" w:cs="Arial" w:eastAsia="Arial" w:hAnsi="Arial"/>
          <w:sz w:val="17"/>
          <w:szCs w:val="17"/>
          <w:color w:val="0000EE"/>
        </w:rPr>
      </w:pPr>
    </w:p>
    <w:p>
      <w:pPr>
        <w:ind w:left="200" w:right="1180" w:hanging="209"/>
        <w:spacing w:after="0" w:line="187" w:lineRule="auto"/>
        <w:rPr>
          <w:rFonts w:ascii="Arial" w:cs="Arial" w:eastAsia="Arial" w:hAnsi="Arial"/>
          <w:sz w:val="17"/>
          <w:szCs w:val="17"/>
          <w:u w:val="single" w:color="auto"/>
          <w:color w:val="0000EE"/>
        </w:rPr>
      </w:pPr>
      <w:hyperlink r:id="rId100"/>
      <w:r>
        <w:rPr>
          <w:rFonts w:ascii="Arial" w:cs="Arial" w:eastAsia="Arial" w:hAnsi="Arial"/>
          <w:sz w:val="34"/>
          <w:szCs w:val="34"/>
          <w:color w:val="000000"/>
          <w:vertAlign w:val="superscript"/>
        </w:rPr>
        <w:t>​</w:t>
      </w:r>
      <w:r>
        <w:rPr>
          <w:rFonts w:ascii="Arial" w:cs="Arial" w:eastAsia="Arial" w:hAnsi="Arial"/>
          <w:sz w:val="17"/>
          <w:szCs w:val="17"/>
          <w:color w:val="0000EE"/>
        </w:rPr>
        <w:t xml:space="preserve"> </w:t>
      </w:r>
      <w:r>
        <w:rPr>
          <w:rFonts w:ascii="Arial" w:cs="Arial" w:eastAsia="Arial" w:hAnsi="Arial"/>
          <w:sz w:val="34"/>
          <w:szCs w:val="34"/>
          <w:color w:val="000000"/>
          <w:vertAlign w:val="superscript"/>
        </w:rPr>
        <w:t>​</w:t>
      </w:r>
      <w:r>
        <w:rPr>
          <w:rFonts w:ascii="Arial" w:cs="Arial" w:eastAsia="Arial" w:hAnsi="Arial"/>
          <w:sz w:val="17"/>
          <w:szCs w:val="17"/>
          <w:color w:val="0000EE"/>
        </w:rPr>
        <w:t xml:space="preserve"> </w:t>
      </w:r>
      <w:hyperlink r:id="rId100">
        <w:r>
          <w:rPr>
            <w:rFonts w:ascii="Arial" w:cs="Arial" w:eastAsia="Arial" w:hAnsi="Arial"/>
            <w:sz w:val="17"/>
            <w:szCs w:val="17"/>
            <w:u w:val="single" w:color="auto"/>
            <w:color w:val="0000EE"/>
          </w:rPr>
          <w:t xml:space="preserve">Director and Officer Indemnification Agreement (incorporated by reference to Exhibit 10.1 to the </w:t>
        </w:r>
      </w:hyperlink>
      <w:r>
        <w:rPr>
          <w:rFonts w:ascii="Arial" w:cs="Arial" w:eastAsia="Arial" w:hAnsi="Arial"/>
          <w:sz w:val="34"/>
          <w:szCs w:val="34"/>
          <w:color w:val="000000"/>
          <w:vertAlign w:val="superscript"/>
        </w:rPr>
        <w:t>​</w:t>
      </w:r>
      <w:r>
        <w:rPr>
          <w:rFonts w:ascii="Arial" w:cs="Arial" w:eastAsia="Arial" w:hAnsi="Arial"/>
          <w:sz w:val="17"/>
          <w:szCs w:val="17"/>
          <w:color w:val="0000EE"/>
        </w:rPr>
        <w:t xml:space="preserve"> </w:t>
      </w:r>
      <w:hyperlink r:id="rId100">
        <w:r>
          <w:rPr>
            <w:rFonts w:ascii="Arial" w:cs="Arial" w:eastAsia="Arial" w:hAnsi="Arial"/>
            <w:sz w:val="17"/>
            <w:szCs w:val="17"/>
            <w:u w:val="single" w:color="auto"/>
            <w:color w:val="0000EE"/>
          </w:rPr>
          <w:t>Company’s Annual Report on Form 10-K filed on March 9, 2023)</w:t>
        </w:r>
      </w:hyperlink>
    </w:p>
    <w:tbl>
      <w:tblPr>
        <w:tblLayout w:type="fixed"/>
        <w:tblInd w:w="0" w:type="dxa"/>
        <w:tblCellMar>
          <w:top w:w="0" w:type="dxa"/>
          <w:left w:w="0" w:type="dxa"/>
          <w:bottom w:w="0" w:type="dxa"/>
          <w:right w:w="0" w:type="dxa"/>
        </w:tblCellMar>
      </w:tblPr>
      <w:tr>
        <w:trPr>
          <w:trHeight w:val="225"/>
        </w:trPr>
        <w:tc>
          <w:tcPr>
            <w:tcW w:w="7300" w:type="dxa"/>
            <w:vAlign w:val="bottom"/>
            <w:gridSpan w:val="4"/>
          </w:tcPr>
          <w:p>
            <w:pPr>
              <w:spacing w:after="0" w:line="225" w:lineRule="exact"/>
              <w:rPr>
                <w:rFonts w:ascii="Arial" w:cs="Arial" w:eastAsia="Arial" w:hAnsi="Arial"/>
                <w:sz w:val="14"/>
                <w:szCs w:val="14"/>
                <w:color w:val="0000EE"/>
              </w:rPr>
            </w:pPr>
            <w:hyperlink r:id="rId101"/>
            <w:r>
              <w:rPr>
                <w:rFonts w:ascii="Arial" w:cs="Arial" w:eastAsia="Arial" w:hAnsi="Arial"/>
                <w:sz w:val="26"/>
                <w:szCs w:val="26"/>
                <w:color w:val="000000"/>
                <w:vertAlign w:val="superscript"/>
              </w:rPr>
              <w:t>​</w:t>
            </w:r>
            <w:r>
              <w:rPr>
                <w:rFonts w:ascii="Arial" w:cs="Arial" w:eastAsia="Arial" w:hAnsi="Arial"/>
                <w:sz w:val="14"/>
                <w:szCs w:val="14"/>
                <w:color w:val="0000EE"/>
              </w:rPr>
              <w:t xml:space="preserve"> </w:t>
            </w:r>
            <w:r>
              <w:rPr>
                <w:rFonts w:ascii="Arial" w:cs="Arial" w:eastAsia="Arial" w:hAnsi="Arial"/>
                <w:sz w:val="26"/>
                <w:szCs w:val="26"/>
                <w:color w:val="000000"/>
                <w:vertAlign w:val="superscript"/>
              </w:rPr>
              <w:t>​</w:t>
            </w:r>
            <w:r>
              <w:rPr>
                <w:rFonts w:ascii="Arial" w:cs="Arial" w:eastAsia="Arial" w:hAnsi="Arial"/>
                <w:sz w:val="14"/>
                <w:szCs w:val="14"/>
                <w:color w:val="0000EE"/>
              </w:rPr>
              <w:t xml:space="preserve"> </w:t>
            </w:r>
            <w:hyperlink r:id="rId101">
              <w:r>
                <w:rPr>
                  <w:rFonts w:ascii="Arial" w:cs="Arial" w:eastAsia="Arial" w:hAnsi="Arial"/>
                  <w:sz w:val="14"/>
                  <w:szCs w:val="14"/>
                  <w:color w:val="0000EE"/>
                </w:rPr>
                <w:t>Master Transaction Agreement (incorporated by reference to Exhibit 10.2 to the Company’s</w:t>
              </w:r>
            </w:hyperlink>
          </w:p>
        </w:tc>
        <w:tc>
          <w:tcPr>
            <w:tcW w:w="22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190"/>
        </w:trPr>
        <w:tc>
          <w:tcPr>
            <w:tcW w:w="200" w:type="dxa"/>
            <w:vAlign w:val="bottom"/>
          </w:tcPr>
          <w:p>
            <w:pPr>
              <w:spacing w:after="0"/>
              <w:rPr>
                <w:sz w:val="16"/>
                <w:szCs w:val="16"/>
                <w:color w:val="auto"/>
              </w:rPr>
            </w:pPr>
          </w:p>
        </w:tc>
        <w:tc>
          <w:tcPr>
            <w:tcW w:w="3980" w:type="dxa"/>
            <w:vAlign w:val="bottom"/>
            <w:tcBorders>
              <w:top w:val="single" w:sz="8" w:color="0000EE"/>
              <w:bottom w:val="single" w:sz="8" w:color="0000EE"/>
            </w:tcBorders>
          </w:tcPr>
          <w:p>
            <w:pPr>
              <w:spacing w:after="0" w:line="190" w:lineRule="exact"/>
              <w:rPr>
                <w:rFonts w:ascii="Arial" w:cs="Arial" w:eastAsia="Arial" w:hAnsi="Arial"/>
                <w:sz w:val="18"/>
                <w:szCs w:val="18"/>
                <w:color w:val="0000EE"/>
                <w:w w:val="94"/>
              </w:rPr>
            </w:pPr>
            <w:hyperlink r:id="rId101">
              <w:r>
                <w:rPr>
                  <w:rFonts w:ascii="Arial" w:cs="Arial" w:eastAsia="Arial" w:hAnsi="Arial"/>
                  <w:sz w:val="18"/>
                  <w:szCs w:val="18"/>
                  <w:color w:val="0000EE"/>
                  <w:w w:val="94"/>
                </w:rPr>
                <w:t>Annual Report on Form 10-K filed on March 9, 2023)</w:t>
              </w:r>
            </w:hyperlink>
          </w:p>
        </w:tc>
        <w:tc>
          <w:tcPr>
            <w:tcW w:w="2760" w:type="dxa"/>
            <w:vAlign w:val="bottom"/>
            <w:tcBorders>
              <w:top w:val="single" w:sz="8" w:color="0000EE"/>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43"/>
        </w:trPr>
        <w:tc>
          <w:tcPr>
            <w:tcW w:w="7300" w:type="dxa"/>
            <w:vAlign w:val="bottom"/>
            <w:gridSpan w:val="4"/>
          </w:tcPr>
          <w:p>
            <w:pPr>
              <w:spacing w:after="0" w:line="243" w:lineRule="exact"/>
              <w:rPr>
                <w:rFonts w:ascii="Arial" w:cs="Arial" w:eastAsia="Arial" w:hAnsi="Arial"/>
                <w:sz w:val="15"/>
                <w:szCs w:val="15"/>
                <w:color w:val="0000EE"/>
              </w:rPr>
            </w:pPr>
            <w:hyperlink r:id="rId102"/>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hyperlink r:id="rId102">
              <w:r>
                <w:rPr>
                  <w:rFonts w:ascii="Arial" w:cs="Arial" w:eastAsia="Arial" w:hAnsi="Arial"/>
                  <w:sz w:val="15"/>
                  <w:szCs w:val="15"/>
                  <w:color w:val="0000EE"/>
                </w:rPr>
                <w:t>Administrative Services Agreement (incorporated by reference to Exhibit 10.3 to the Company’s</w:t>
              </w:r>
            </w:hyperlink>
          </w:p>
        </w:tc>
        <w:tc>
          <w:tcPr>
            <w:tcW w:w="22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190"/>
        </w:trPr>
        <w:tc>
          <w:tcPr>
            <w:tcW w:w="200" w:type="dxa"/>
            <w:vAlign w:val="bottom"/>
          </w:tcPr>
          <w:p>
            <w:pPr>
              <w:spacing w:after="0"/>
              <w:rPr>
                <w:sz w:val="16"/>
                <w:szCs w:val="16"/>
                <w:color w:val="auto"/>
              </w:rPr>
            </w:pPr>
          </w:p>
        </w:tc>
        <w:tc>
          <w:tcPr>
            <w:tcW w:w="3980" w:type="dxa"/>
            <w:vAlign w:val="bottom"/>
            <w:tcBorders>
              <w:top w:val="single" w:sz="8" w:color="0000EE"/>
              <w:bottom w:val="single" w:sz="8" w:color="0000EE"/>
            </w:tcBorders>
          </w:tcPr>
          <w:p>
            <w:pPr>
              <w:spacing w:after="0" w:line="190" w:lineRule="exact"/>
              <w:rPr>
                <w:rFonts w:ascii="Arial" w:cs="Arial" w:eastAsia="Arial" w:hAnsi="Arial"/>
                <w:sz w:val="18"/>
                <w:szCs w:val="18"/>
                <w:color w:val="0000EE"/>
                <w:w w:val="94"/>
              </w:rPr>
            </w:pPr>
            <w:hyperlink r:id="rId102">
              <w:r>
                <w:rPr>
                  <w:rFonts w:ascii="Arial" w:cs="Arial" w:eastAsia="Arial" w:hAnsi="Arial"/>
                  <w:sz w:val="18"/>
                  <w:szCs w:val="18"/>
                  <w:color w:val="0000EE"/>
                  <w:w w:val="94"/>
                </w:rPr>
                <w:t>Annual Report on Form 10-K filed on March 9, 2023)</w:t>
              </w:r>
            </w:hyperlink>
          </w:p>
        </w:tc>
        <w:tc>
          <w:tcPr>
            <w:tcW w:w="3120" w:type="dxa"/>
            <w:vAlign w:val="bottom"/>
            <w:tcBorders>
              <w:top w:val="single" w:sz="8" w:color="0000EE"/>
            </w:tcBorders>
            <w:gridSpan w:val="2"/>
          </w:tcPr>
          <w:p>
            <w:pPr>
              <w:spacing w:after="0"/>
              <w:rPr>
                <w:sz w:val="16"/>
                <w:szCs w:val="16"/>
                <w:color w:val="auto"/>
              </w:rPr>
            </w:pPr>
          </w:p>
        </w:tc>
        <w:tc>
          <w:tcPr>
            <w:tcW w:w="220" w:type="dxa"/>
            <w:vAlign w:val="bottom"/>
          </w:tcPr>
          <w:p>
            <w:pPr>
              <w:spacing w:after="0"/>
              <w:rPr>
                <w:sz w:val="16"/>
                <w:szCs w:val="16"/>
                <w:color w:val="auto"/>
              </w:rPr>
            </w:pPr>
          </w:p>
        </w:tc>
      </w:tr>
    </w:tbl>
    <w:p>
      <w:pPr>
        <w:spacing w:after="0" w:line="27" w:lineRule="exact"/>
        <w:rPr>
          <w:sz w:val="20"/>
          <w:szCs w:val="20"/>
          <w:color w:val="auto"/>
        </w:rPr>
      </w:pPr>
    </w:p>
    <w:p>
      <w:pPr>
        <w:jc w:val="both"/>
        <w:ind w:left="200" w:right="1180" w:hanging="209"/>
        <w:spacing w:after="0" w:line="193" w:lineRule="auto"/>
        <w:rPr>
          <w:rFonts w:ascii="Arial" w:cs="Arial" w:eastAsia="Arial" w:hAnsi="Arial"/>
          <w:sz w:val="17"/>
          <w:szCs w:val="17"/>
          <w:u w:val="single" w:color="auto"/>
          <w:color w:val="0000EE"/>
        </w:rPr>
      </w:pPr>
      <w:hyperlink r:id="rId103"/>
      <w:r>
        <w:rPr>
          <w:rFonts w:ascii="Arial" w:cs="Arial" w:eastAsia="Arial" w:hAnsi="Arial"/>
          <w:sz w:val="34"/>
          <w:szCs w:val="34"/>
          <w:color w:val="000000"/>
          <w:vertAlign w:val="superscript"/>
        </w:rPr>
        <w:t>​</w:t>
      </w:r>
      <w:r>
        <w:rPr>
          <w:rFonts w:ascii="Arial" w:cs="Arial" w:eastAsia="Arial" w:hAnsi="Arial"/>
          <w:sz w:val="17"/>
          <w:szCs w:val="17"/>
          <w:color w:val="0000EE"/>
        </w:rPr>
        <w:t xml:space="preserve"> </w:t>
      </w:r>
      <w:r>
        <w:rPr>
          <w:rFonts w:ascii="Arial" w:cs="Arial" w:eastAsia="Arial" w:hAnsi="Arial"/>
          <w:sz w:val="34"/>
          <w:szCs w:val="34"/>
          <w:color w:val="000000"/>
          <w:vertAlign w:val="superscript"/>
        </w:rPr>
        <w:t>​</w:t>
      </w:r>
      <w:r>
        <w:rPr>
          <w:rFonts w:ascii="Arial" w:cs="Arial" w:eastAsia="Arial" w:hAnsi="Arial"/>
          <w:sz w:val="17"/>
          <w:szCs w:val="17"/>
          <w:color w:val="0000EE"/>
        </w:rPr>
        <w:t xml:space="preserve"> </w:t>
      </w:r>
      <w:hyperlink r:id="rId103">
        <w:r>
          <w:rPr>
            <w:rFonts w:ascii="Arial" w:cs="Arial" w:eastAsia="Arial" w:hAnsi="Arial"/>
            <w:sz w:val="17"/>
            <w:szCs w:val="17"/>
            <w:u w:val="single" w:color="auto"/>
            <w:color w:val="0000EE"/>
          </w:rPr>
          <w:t xml:space="preserve">Employee Matters Agreement (incorporated by reference to Exhibit 10.4 to the Company’s Annual </w:t>
        </w:r>
      </w:hyperlink>
      <w:r>
        <w:rPr>
          <w:rFonts w:ascii="Arial" w:cs="Arial" w:eastAsia="Arial" w:hAnsi="Arial"/>
          <w:sz w:val="34"/>
          <w:szCs w:val="34"/>
          <w:color w:val="000000"/>
          <w:vertAlign w:val="superscript"/>
        </w:rPr>
        <w:t>​</w:t>
      </w:r>
      <w:r>
        <w:rPr>
          <w:rFonts w:ascii="Arial" w:cs="Arial" w:eastAsia="Arial" w:hAnsi="Arial"/>
          <w:sz w:val="17"/>
          <w:szCs w:val="17"/>
          <w:color w:val="0000EE"/>
        </w:rPr>
        <w:t xml:space="preserve"> </w:t>
      </w:r>
      <w:hyperlink r:id="rId103">
        <w:r>
          <w:rPr>
            <w:rFonts w:ascii="Arial" w:cs="Arial" w:eastAsia="Arial" w:hAnsi="Arial"/>
            <w:sz w:val="17"/>
            <w:szCs w:val="17"/>
            <w:u w:val="single" w:color="auto"/>
            <w:color w:val="0000EE"/>
          </w:rPr>
          <w:t>Report on Form 10-K filed on March 9, 2023)</w:t>
        </w:r>
      </w:hyperlink>
    </w:p>
    <w:p>
      <w:pPr>
        <w:spacing w:after="0" w:line="2" w:lineRule="exact"/>
        <w:rPr>
          <w:rFonts w:ascii="Arial" w:cs="Arial" w:eastAsia="Arial" w:hAnsi="Arial"/>
          <w:sz w:val="17"/>
          <w:szCs w:val="17"/>
          <w:color w:val="0000EE"/>
        </w:rPr>
      </w:pPr>
    </w:p>
    <w:p>
      <w:pPr>
        <w:jc w:val="both"/>
        <w:ind w:left="200" w:right="1180" w:hanging="209"/>
        <w:spacing w:after="0" w:line="193" w:lineRule="auto"/>
        <w:rPr>
          <w:rFonts w:ascii="Arial" w:cs="Arial" w:eastAsia="Arial" w:hAnsi="Arial"/>
          <w:sz w:val="17"/>
          <w:szCs w:val="17"/>
          <w:u w:val="single" w:color="auto"/>
          <w:color w:val="0000EE"/>
        </w:rPr>
      </w:pPr>
      <w:hyperlink r:id="rId104"/>
      <w:r>
        <w:rPr>
          <w:rFonts w:ascii="Arial" w:cs="Arial" w:eastAsia="Arial" w:hAnsi="Arial"/>
          <w:sz w:val="34"/>
          <w:szCs w:val="34"/>
          <w:color w:val="000000"/>
          <w:vertAlign w:val="superscript"/>
        </w:rPr>
        <w:t>​</w:t>
      </w:r>
      <w:r>
        <w:rPr>
          <w:rFonts w:ascii="Arial" w:cs="Arial" w:eastAsia="Arial" w:hAnsi="Arial"/>
          <w:sz w:val="17"/>
          <w:szCs w:val="17"/>
          <w:color w:val="0000EE"/>
        </w:rPr>
        <w:t xml:space="preserve"> </w:t>
      </w:r>
      <w:r>
        <w:rPr>
          <w:rFonts w:ascii="Arial" w:cs="Arial" w:eastAsia="Arial" w:hAnsi="Arial"/>
          <w:sz w:val="34"/>
          <w:szCs w:val="34"/>
          <w:color w:val="000000"/>
          <w:vertAlign w:val="superscript"/>
        </w:rPr>
        <w:t>​</w:t>
      </w:r>
      <w:r>
        <w:rPr>
          <w:rFonts w:ascii="Arial" w:cs="Arial" w:eastAsia="Arial" w:hAnsi="Arial"/>
          <w:sz w:val="17"/>
          <w:szCs w:val="17"/>
          <w:color w:val="0000EE"/>
        </w:rPr>
        <w:t xml:space="preserve"> </w:t>
      </w:r>
      <w:hyperlink r:id="rId104">
        <w:r>
          <w:rPr>
            <w:rFonts w:ascii="Arial" w:cs="Arial" w:eastAsia="Arial" w:hAnsi="Arial"/>
            <w:sz w:val="17"/>
            <w:szCs w:val="17"/>
            <w:u w:val="single" w:color="auto"/>
            <w:color w:val="0000EE"/>
          </w:rPr>
          <w:t xml:space="preserve">Technology and Services Agreement (incorporated by reference to Exhibit 10.5 to the Company’s </w:t>
        </w:r>
      </w:hyperlink>
      <w:r>
        <w:rPr>
          <w:rFonts w:ascii="Arial" w:cs="Arial" w:eastAsia="Arial" w:hAnsi="Arial"/>
          <w:sz w:val="34"/>
          <w:szCs w:val="34"/>
          <w:color w:val="000000"/>
          <w:vertAlign w:val="superscript"/>
        </w:rPr>
        <w:t>​</w:t>
      </w:r>
      <w:r>
        <w:rPr>
          <w:rFonts w:ascii="Arial" w:cs="Arial" w:eastAsia="Arial" w:hAnsi="Arial"/>
          <w:sz w:val="17"/>
          <w:szCs w:val="17"/>
          <w:color w:val="0000EE"/>
        </w:rPr>
        <w:t xml:space="preserve"> </w:t>
      </w:r>
      <w:hyperlink r:id="rId104">
        <w:r>
          <w:rPr>
            <w:rFonts w:ascii="Arial" w:cs="Arial" w:eastAsia="Arial" w:hAnsi="Arial"/>
            <w:sz w:val="17"/>
            <w:szCs w:val="17"/>
            <w:u w:val="single" w:color="auto"/>
            <w:color w:val="0000EE"/>
          </w:rPr>
          <w:t>Annual Report on Form 10-K filed on March 9, 2023)</w:t>
        </w:r>
      </w:hyperlink>
    </w:p>
    <w:tbl>
      <w:tblPr>
        <w:tblLayout w:type="fixed"/>
        <w:tblInd w:w="0" w:type="dxa"/>
        <w:tblCellMar>
          <w:top w:w="0" w:type="dxa"/>
          <w:left w:w="0" w:type="dxa"/>
          <w:bottom w:w="0" w:type="dxa"/>
          <w:right w:w="0" w:type="dxa"/>
        </w:tblCellMar>
      </w:tblPr>
      <w:tr>
        <w:trPr>
          <w:trHeight w:val="224"/>
        </w:trPr>
        <w:tc>
          <w:tcPr>
            <w:tcW w:w="7120" w:type="dxa"/>
            <w:vAlign w:val="bottom"/>
            <w:gridSpan w:val="4"/>
          </w:tcPr>
          <w:p>
            <w:pPr>
              <w:spacing w:after="0" w:line="225" w:lineRule="exact"/>
              <w:rPr>
                <w:rFonts w:ascii="Arial" w:cs="Arial" w:eastAsia="Arial" w:hAnsi="Arial"/>
                <w:sz w:val="14"/>
                <w:szCs w:val="14"/>
                <w:color w:val="0000EE"/>
              </w:rPr>
            </w:pPr>
            <w:hyperlink r:id="rId105"/>
            <w:r>
              <w:rPr>
                <w:rFonts w:ascii="Arial" w:cs="Arial" w:eastAsia="Arial" w:hAnsi="Arial"/>
                <w:sz w:val="26"/>
                <w:szCs w:val="26"/>
                <w:color w:val="000000"/>
                <w:vertAlign w:val="superscript"/>
              </w:rPr>
              <w:t>​</w:t>
            </w:r>
            <w:r>
              <w:rPr>
                <w:rFonts w:ascii="Arial" w:cs="Arial" w:eastAsia="Arial" w:hAnsi="Arial"/>
                <w:sz w:val="14"/>
                <w:szCs w:val="14"/>
                <w:color w:val="0000EE"/>
              </w:rPr>
              <w:t xml:space="preserve"> </w:t>
            </w:r>
            <w:r>
              <w:rPr>
                <w:rFonts w:ascii="Arial" w:cs="Arial" w:eastAsia="Arial" w:hAnsi="Arial"/>
                <w:sz w:val="26"/>
                <w:szCs w:val="26"/>
                <w:color w:val="000000"/>
                <w:vertAlign w:val="superscript"/>
              </w:rPr>
              <w:t>​</w:t>
            </w:r>
            <w:r>
              <w:rPr>
                <w:rFonts w:ascii="Arial" w:cs="Arial" w:eastAsia="Arial" w:hAnsi="Arial"/>
                <w:sz w:val="14"/>
                <w:szCs w:val="14"/>
                <w:color w:val="0000EE"/>
              </w:rPr>
              <w:t xml:space="preserve"> </w:t>
            </w:r>
            <w:hyperlink r:id="rId105">
              <w:r>
                <w:rPr>
                  <w:rFonts w:ascii="Arial" w:cs="Arial" w:eastAsia="Arial" w:hAnsi="Arial"/>
                  <w:sz w:val="14"/>
                  <w:szCs w:val="14"/>
                  <w:color w:val="0000EE"/>
                </w:rPr>
                <w:t>LiDAR Product Collaboration Agreement (incorporated by reference to Exhibit 10.6 to the</w:t>
              </w:r>
            </w:hyperlink>
          </w:p>
        </w:tc>
        <w:tc>
          <w:tcPr>
            <w:tcW w:w="40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190"/>
        </w:trPr>
        <w:tc>
          <w:tcPr>
            <w:tcW w:w="200" w:type="dxa"/>
            <w:vAlign w:val="bottom"/>
          </w:tcPr>
          <w:p>
            <w:pPr>
              <w:spacing w:after="0"/>
              <w:rPr>
                <w:sz w:val="16"/>
                <w:szCs w:val="16"/>
                <w:color w:val="auto"/>
              </w:rPr>
            </w:pPr>
          </w:p>
        </w:tc>
        <w:tc>
          <w:tcPr>
            <w:tcW w:w="6680" w:type="dxa"/>
            <w:vAlign w:val="bottom"/>
            <w:tcBorders>
              <w:top w:val="single" w:sz="8" w:color="0000EE"/>
            </w:tcBorders>
            <w:gridSpan w:val="2"/>
          </w:tcPr>
          <w:p>
            <w:pPr>
              <w:spacing w:after="0" w:line="190" w:lineRule="exact"/>
              <w:rPr>
                <w:rFonts w:ascii="Arial" w:cs="Arial" w:eastAsia="Arial" w:hAnsi="Arial"/>
                <w:sz w:val="18"/>
                <w:szCs w:val="18"/>
                <w:color w:val="0000EE"/>
              </w:rPr>
            </w:pPr>
            <w:hyperlink r:id="rId105">
              <w:r>
                <w:rPr>
                  <w:rFonts w:ascii="Arial" w:cs="Arial" w:eastAsia="Arial" w:hAnsi="Arial"/>
                  <w:sz w:val="18"/>
                  <w:szCs w:val="18"/>
                  <w:color w:val="0000EE"/>
                </w:rPr>
                <w:t>Company’s Annual Report on Form 10-K filed on March 9, 2023)</w:t>
              </w:r>
            </w:hyperlink>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0"/>
        </w:trPr>
        <w:tc>
          <w:tcPr>
            <w:tcW w:w="200" w:type="dxa"/>
            <w:vAlign w:val="bottom"/>
          </w:tcPr>
          <w:p>
            <w:pPr>
              <w:spacing w:after="0" w:line="20" w:lineRule="exact"/>
              <w:rPr>
                <w:sz w:val="1"/>
                <w:szCs w:val="1"/>
                <w:color w:val="auto"/>
              </w:rPr>
            </w:pPr>
          </w:p>
        </w:tc>
        <w:tc>
          <w:tcPr>
            <w:tcW w:w="48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3"/>
        </w:trPr>
        <w:tc>
          <w:tcPr>
            <w:tcW w:w="7120" w:type="dxa"/>
            <w:vAlign w:val="bottom"/>
            <w:gridSpan w:val="4"/>
          </w:tcPr>
          <w:p>
            <w:pPr>
              <w:spacing w:after="0" w:line="243" w:lineRule="exact"/>
              <w:rPr>
                <w:rFonts w:ascii="Arial" w:cs="Arial" w:eastAsia="Arial" w:hAnsi="Arial"/>
                <w:sz w:val="15"/>
                <w:szCs w:val="15"/>
                <w:color w:val="0000EE"/>
              </w:rPr>
            </w:pPr>
            <w:hyperlink r:id="rId106"/>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hyperlink r:id="rId106">
              <w:r>
                <w:rPr>
                  <w:rFonts w:ascii="Arial" w:cs="Arial" w:eastAsia="Arial" w:hAnsi="Arial"/>
                  <w:sz w:val="15"/>
                  <w:szCs w:val="15"/>
                  <w:color w:val="0000EE"/>
                </w:rPr>
                <w:t>Tax Sharing Agreement (incorporated by reference to Exhibit 10.7 to Amendment No. 1 to the</w:t>
              </w:r>
            </w:hyperlink>
          </w:p>
        </w:tc>
        <w:tc>
          <w:tcPr>
            <w:tcW w:w="40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190"/>
        </w:trPr>
        <w:tc>
          <w:tcPr>
            <w:tcW w:w="200" w:type="dxa"/>
            <w:vAlign w:val="bottom"/>
          </w:tcPr>
          <w:p>
            <w:pPr>
              <w:spacing w:after="0"/>
              <w:rPr>
                <w:sz w:val="16"/>
                <w:szCs w:val="16"/>
                <w:color w:val="auto"/>
              </w:rPr>
            </w:pPr>
          </w:p>
        </w:tc>
        <w:tc>
          <w:tcPr>
            <w:tcW w:w="6920" w:type="dxa"/>
            <w:vAlign w:val="bottom"/>
            <w:tcBorders>
              <w:top w:val="single" w:sz="8" w:color="0000EE"/>
            </w:tcBorders>
            <w:gridSpan w:val="3"/>
          </w:tcPr>
          <w:p>
            <w:pPr>
              <w:spacing w:after="0" w:line="190" w:lineRule="exact"/>
              <w:rPr>
                <w:rFonts w:ascii="Arial" w:cs="Arial" w:eastAsia="Arial" w:hAnsi="Arial"/>
                <w:sz w:val="18"/>
                <w:szCs w:val="18"/>
                <w:color w:val="0000EE"/>
              </w:rPr>
            </w:pPr>
            <w:hyperlink r:id="rId106">
              <w:r>
                <w:rPr>
                  <w:rFonts w:ascii="Arial" w:cs="Arial" w:eastAsia="Arial" w:hAnsi="Arial"/>
                  <w:sz w:val="18"/>
                  <w:szCs w:val="18"/>
                  <w:color w:val="0000EE"/>
                </w:rPr>
                <w:t>Company’s Annual Report on Form 10-K filed on March 9, 2023)</w:t>
              </w:r>
            </w:hyperlink>
          </w:p>
        </w:tc>
        <w:tc>
          <w:tcPr>
            <w:tcW w:w="400" w:type="dxa"/>
            <w:vAlign w:val="bottom"/>
          </w:tcPr>
          <w:p>
            <w:pPr>
              <w:spacing w:after="0"/>
              <w:rPr>
                <w:sz w:val="16"/>
                <w:szCs w:val="16"/>
                <w:color w:val="auto"/>
              </w:rPr>
            </w:pPr>
          </w:p>
        </w:tc>
      </w:tr>
      <w:tr>
        <w:trPr>
          <w:trHeight w:val="20"/>
        </w:trPr>
        <w:tc>
          <w:tcPr>
            <w:tcW w:w="200" w:type="dxa"/>
            <w:vAlign w:val="bottom"/>
          </w:tcPr>
          <w:p>
            <w:pPr>
              <w:spacing w:after="0" w:line="20" w:lineRule="exact"/>
              <w:rPr>
                <w:sz w:val="1"/>
                <w:szCs w:val="1"/>
                <w:color w:val="auto"/>
              </w:rPr>
            </w:pPr>
          </w:p>
        </w:tc>
        <w:tc>
          <w:tcPr>
            <w:tcW w:w="48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3"/>
        </w:trPr>
        <w:tc>
          <w:tcPr>
            <w:tcW w:w="7120" w:type="dxa"/>
            <w:vAlign w:val="bottom"/>
            <w:gridSpan w:val="4"/>
          </w:tcPr>
          <w:p>
            <w:pPr>
              <w:spacing w:after="0" w:line="243" w:lineRule="exact"/>
              <w:rPr>
                <w:rFonts w:ascii="Arial" w:cs="Arial" w:eastAsia="Arial" w:hAnsi="Arial"/>
                <w:sz w:val="15"/>
                <w:szCs w:val="15"/>
                <w:color w:val="0000EE"/>
              </w:rPr>
            </w:pPr>
            <w:hyperlink r:id="rId107"/>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hyperlink r:id="rId107">
              <w:r>
                <w:rPr>
                  <w:rFonts w:ascii="Arial" w:cs="Arial" w:eastAsia="Arial" w:hAnsi="Arial"/>
                  <w:sz w:val="15"/>
                  <w:szCs w:val="15"/>
                  <w:color w:val="0000EE"/>
                </w:rPr>
                <w:t>Contribution and Subscription Agreement (incorporated by reference to Exhibit 10.8 to the</w:t>
              </w:r>
            </w:hyperlink>
          </w:p>
        </w:tc>
        <w:tc>
          <w:tcPr>
            <w:tcW w:w="40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190"/>
        </w:trPr>
        <w:tc>
          <w:tcPr>
            <w:tcW w:w="200" w:type="dxa"/>
            <w:vAlign w:val="bottom"/>
          </w:tcPr>
          <w:p>
            <w:pPr>
              <w:spacing w:after="0"/>
              <w:rPr>
                <w:sz w:val="16"/>
                <w:szCs w:val="16"/>
                <w:color w:val="auto"/>
              </w:rPr>
            </w:pPr>
          </w:p>
        </w:tc>
        <w:tc>
          <w:tcPr>
            <w:tcW w:w="6680" w:type="dxa"/>
            <w:vAlign w:val="bottom"/>
            <w:tcBorders>
              <w:top w:val="single" w:sz="8" w:color="0000EE"/>
            </w:tcBorders>
            <w:gridSpan w:val="2"/>
          </w:tcPr>
          <w:p>
            <w:pPr>
              <w:spacing w:after="0" w:line="190" w:lineRule="exact"/>
              <w:rPr>
                <w:rFonts w:ascii="Arial" w:cs="Arial" w:eastAsia="Arial" w:hAnsi="Arial"/>
                <w:sz w:val="18"/>
                <w:szCs w:val="18"/>
                <w:color w:val="0000EE"/>
              </w:rPr>
            </w:pPr>
            <w:hyperlink r:id="rId107">
              <w:r>
                <w:rPr>
                  <w:rFonts w:ascii="Arial" w:cs="Arial" w:eastAsia="Arial" w:hAnsi="Arial"/>
                  <w:sz w:val="18"/>
                  <w:szCs w:val="18"/>
                  <w:color w:val="0000EE"/>
                </w:rPr>
                <w:t>Company’s Annual Report on Form 10-K filed on March 9, 2023)</w:t>
              </w:r>
            </w:hyperlink>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0"/>
        </w:trPr>
        <w:tc>
          <w:tcPr>
            <w:tcW w:w="200" w:type="dxa"/>
            <w:vAlign w:val="bottom"/>
          </w:tcPr>
          <w:p>
            <w:pPr>
              <w:spacing w:after="0" w:line="20" w:lineRule="exact"/>
              <w:rPr>
                <w:sz w:val="1"/>
                <w:szCs w:val="1"/>
                <w:color w:val="auto"/>
              </w:rPr>
            </w:pPr>
          </w:p>
        </w:tc>
        <w:tc>
          <w:tcPr>
            <w:tcW w:w="48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7" w:lineRule="exact"/>
        <w:rPr>
          <w:sz w:val="20"/>
          <w:szCs w:val="20"/>
          <w:color w:val="auto"/>
        </w:rPr>
      </w:pPr>
    </w:p>
    <w:p>
      <w:pPr>
        <w:sectPr>
          <w:pgSz w:w="11900" w:h="16838" w:orient="portrait"/>
          <w:cols w:equalWidth="0" w:num="2">
            <w:col w:w="1640" w:space="100"/>
            <w:col w:w="8700"/>
          </w:cols>
          <w:pgMar w:left="720" w:top="90" w:right="739" w:bottom="1440" w:gutter="0" w:footer="0" w:header="0"/>
          <w:type w:val="continuous"/>
        </w:sectPr>
      </w:pPr>
    </w:p>
    <w:p>
      <w:pPr>
        <w:ind w:left="1940" w:right="60" w:hanging="717"/>
        <w:spacing w:after="0" w:line="200" w:lineRule="auto"/>
        <w:rPr>
          <w:rFonts w:ascii="Arial" w:cs="Arial" w:eastAsia="Arial" w:hAnsi="Arial"/>
          <w:sz w:val="18"/>
          <w:szCs w:val="18"/>
          <w:u w:val="single" w:color="auto"/>
          <w:color w:val="0000EE"/>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10.9†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EE"/>
          </w:rPr>
          <w:t>Mobileye Global Inc. 2022 Equity Incentive Plan (incorporated by reference to Exhibit 10.9 to</w:t>
        </w:r>
      </w:hyperlink>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EE"/>
          </w:rPr>
          <w:t>Amendment No. 1 to the Company’s registration statement on Form S-1 filed on October 18,</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2022)</w:t>
        </w:r>
      </w:hyperlink>
    </w:p>
    <w:p>
      <w:pPr>
        <w:spacing w:after="0" w:line="3" w:lineRule="exact"/>
        <w:rPr>
          <w:rFonts w:ascii="Arial" w:cs="Arial" w:eastAsia="Arial" w:hAnsi="Arial"/>
          <w:sz w:val="18"/>
          <w:szCs w:val="18"/>
          <w:color w:val="auto"/>
        </w:rPr>
      </w:pPr>
    </w:p>
    <w:p>
      <w:pPr>
        <w:ind w:left="1940" w:hanging="717"/>
        <w:spacing w:after="0" w:line="200" w:lineRule="auto"/>
        <w:rPr>
          <w:rFonts w:ascii="Arial" w:cs="Arial" w:eastAsia="Arial" w:hAnsi="Arial"/>
          <w:sz w:val="18"/>
          <w:szCs w:val="18"/>
          <w:u w:val="single" w:color="auto"/>
          <w:color w:val="0000EE"/>
        </w:rPr>
      </w:pPr>
      <w:r>
        <w:rPr>
          <w:rFonts w:ascii="Arial" w:cs="Arial" w:eastAsia="Arial" w:hAnsi="Arial"/>
          <w:sz w:val="35"/>
          <w:szCs w:val="35"/>
          <w:color w:val="auto"/>
          <w:vertAlign w:val="superscript"/>
        </w:rPr>
        <w:t>​</w:t>
      </w:r>
      <w:r>
        <w:rPr>
          <w:rFonts w:ascii="Arial" w:cs="Arial" w:eastAsia="Arial" w:hAnsi="Arial"/>
          <w:sz w:val="18"/>
          <w:szCs w:val="18"/>
          <w:color w:val="auto"/>
        </w:rPr>
        <w:t>10.10†</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EE"/>
          </w:rPr>
          <w:t>Form of Restricted Stock Unit Agreement (incorporated by reference to Exhibit 10.10 to</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EE"/>
          </w:rPr>
          <w:t>Amendment No. 1 to the Company’s registration statement on Form S-1 filed on September 30,</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2022)</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7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w:t>
      </w:r>
    </w:p>
    <w:p>
      <w:pPr>
        <w:spacing w:after="0" w:line="474" w:lineRule="exact"/>
        <w:rPr>
          <w:rFonts w:ascii="Arial" w:cs="Arial" w:eastAsia="Arial" w:hAnsi="Arial"/>
          <w:sz w:val="18"/>
          <w:szCs w:val="18"/>
          <w:color w:val="auto"/>
        </w:rPr>
      </w:pPr>
    </w:p>
    <w:p>
      <w:pPr>
        <w:sectPr>
          <w:pgSz w:w="11900" w:h="16838" w:orient="portrait"/>
          <w:cols w:equalWidth="0" w:num="2">
            <w:col w:w="8960" w:space="260"/>
            <w:col w:w="1220"/>
          </w:cols>
          <w:pgMar w:left="720" w:top="90" w:right="739" w:bottom="1440" w:gutter="0" w:footer="0" w:header="0"/>
          <w:type w:val="continuous"/>
        </w:sectPr>
      </w:pPr>
    </w:p>
    <w:tbl>
      <w:tblPr>
        <w:tblLayout w:type="fixed"/>
        <w:tblInd w:w="20" w:type="dxa"/>
        <w:tblCellMar>
          <w:top w:w="0" w:type="dxa"/>
          <w:left w:w="0" w:type="dxa"/>
          <w:bottom w:w="0" w:type="dxa"/>
          <w:right w:w="0" w:type="dxa"/>
        </w:tblCellMar>
      </w:tblPr>
      <w:tr>
        <w:trPr>
          <w:trHeight w:val="173"/>
        </w:trPr>
        <w:tc>
          <w:tcPr>
            <w:tcW w:w="1720" w:type="dxa"/>
            <w:vAlign w:val="bottom"/>
          </w:tcPr>
          <w:p>
            <w:pPr>
              <w:ind w:left="1200"/>
              <w:spacing w:after="0" w:line="173"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173" w:lineRule="exact"/>
              <w:rPr>
                <w:sz w:val="20"/>
                <w:szCs w:val="20"/>
                <w:color w:val="auto"/>
              </w:rPr>
            </w:pPr>
            <w:r>
              <w:rPr>
                <w:rFonts w:ascii="Arial" w:cs="Arial" w:eastAsia="Arial" w:hAnsi="Arial"/>
                <w:sz w:val="18"/>
                <w:szCs w:val="18"/>
                <w:color w:val="auto"/>
              </w:rPr>
              <w:t>​ ​</w:t>
            </w:r>
          </w:p>
        </w:tc>
        <w:tc>
          <w:tcPr>
            <w:tcW w:w="7280" w:type="dxa"/>
            <w:vAlign w:val="bottom"/>
            <w:gridSpan w:val="9"/>
            <w:vMerge w:val="restart"/>
          </w:tcPr>
          <w:p>
            <w:pPr>
              <w:spacing w:after="0"/>
              <w:rPr>
                <w:rFonts w:ascii="Arial" w:cs="Arial" w:eastAsia="Arial" w:hAnsi="Arial"/>
                <w:sz w:val="18"/>
                <w:szCs w:val="18"/>
                <w:color w:val="0000EE"/>
                <w:w w:val="93"/>
              </w:rPr>
            </w:pPr>
            <w:hyperlink r:id="rId110">
              <w:r>
                <w:rPr>
                  <w:rFonts w:ascii="Arial" w:cs="Arial" w:eastAsia="Arial" w:hAnsi="Arial"/>
                  <w:sz w:val="18"/>
                  <w:szCs w:val="18"/>
                  <w:color w:val="0000EE"/>
                  <w:w w:val="93"/>
                </w:rPr>
                <w:t>Form of Option Agreement (incorporated by reference to Exhibit 10.11 to Amendment No. 1 to the</w:t>
              </w:r>
            </w:hyperlink>
          </w:p>
        </w:tc>
        <w:tc>
          <w:tcPr>
            <w:tcW w:w="1220" w:type="dxa"/>
            <w:vAlign w:val="bottom"/>
          </w:tcPr>
          <w:p>
            <w:pPr>
              <w:spacing w:after="0" w:line="17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1720" w:type="dxa"/>
            <w:vAlign w:val="bottom"/>
          </w:tcPr>
          <w:p>
            <w:pPr>
              <w:ind w:left="1200"/>
              <w:spacing w:after="0" w:line="53" w:lineRule="exact"/>
              <w:rPr>
                <w:sz w:val="20"/>
                <w:szCs w:val="20"/>
                <w:color w:val="auto"/>
              </w:rPr>
            </w:pPr>
            <w:r>
              <w:rPr>
                <w:rFonts w:ascii="Arial" w:cs="Arial" w:eastAsia="Arial" w:hAnsi="Arial"/>
                <w:sz w:val="5"/>
                <w:szCs w:val="5"/>
                <w:color w:val="auto"/>
              </w:rPr>
              <w:t>10.11†</w:t>
            </w:r>
          </w:p>
        </w:tc>
        <w:tc>
          <w:tcPr>
            <w:tcW w:w="200" w:type="dxa"/>
            <w:vAlign w:val="bottom"/>
          </w:tcPr>
          <w:p>
            <w:pPr>
              <w:spacing w:after="0"/>
              <w:rPr>
                <w:sz w:val="4"/>
                <w:szCs w:val="4"/>
                <w:color w:val="auto"/>
              </w:rPr>
            </w:pPr>
          </w:p>
        </w:tc>
        <w:tc>
          <w:tcPr>
            <w:tcW w:w="7280" w:type="dxa"/>
            <w:vAlign w:val="bottom"/>
            <w:tcBorders>
              <w:bottom w:val="single" w:sz="8" w:color="0000EE"/>
            </w:tcBorders>
            <w:gridSpan w:val="9"/>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40" w:type="dxa"/>
            <w:vAlign w:val="bottom"/>
            <w:tcBorders>
              <w:bottom w:val="single" w:sz="8" w:color="0000EE"/>
            </w:tcBorders>
            <w:gridSpan w:val="2"/>
          </w:tcPr>
          <w:p>
            <w:pPr>
              <w:spacing w:after="0" w:line="190"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Company’s registration statement on Form S-1 filed on September 30, 2022)</w:t>
              </w:r>
            </w:hyperlink>
          </w:p>
        </w:tc>
        <w:tc>
          <w:tcPr>
            <w:tcW w:w="1640" w:type="dxa"/>
            <w:vAlign w:val="bottom"/>
            <w:gridSpan w:val="7"/>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ind w:left="1200"/>
              <w:spacing w:after="0" w:line="190"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190" w:lineRule="exact"/>
              <w:rPr>
                <w:sz w:val="20"/>
                <w:szCs w:val="20"/>
                <w:color w:val="auto"/>
              </w:rPr>
            </w:pPr>
            <w:r>
              <w:rPr>
                <w:rFonts w:ascii="Arial" w:cs="Arial" w:eastAsia="Arial" w:hAnsi="Arial"/>
                <w:sz w:val="18"/>
                <w:szCs w:val="18"/>
                <w:color w:val="auto"/>
              </w:rPr>
              <w:t>​ ​</w:t>
            </w:r>
          </w:p>
        </w:tc>
        <w:tc>
          <w:tcPr>
            <w:tcW w:w="7280" w:type="dxa"/>
            <w:vAlign w:val="bottom"/>
            <w:gridSpan w:val="9"/>
            <w:vMerge w:val="restart"/>
          </w:tcPr>
          <w:p>
            <w:pPr>
              <w:spacing w:after="0"/>
              <w:rPr>
                <w:rFonts w:ascii="Arial" w:cs="Arial" w:eastAsia="Arial" w:hAnsi="Arial"/>
                <w:sz w:val="18"/>
                <w:szCs w:val="18"/>
                <w:color w:val="0000EE"/>
              </w:rPr>
            </w:pPr>
            <w:hyperlink r:id="rId111">
              <w:r>
                <w:rPr>
                  <w:rFonts w:ascii="Arial" w:cs="Arial" w:eastAsia="Arial" w:hAnsi="Arial"/>
                  <w:sz w:val="18"/>
                  <w:szCs w:val="18"/>
                  <w:color w:val="0000EE"/>
                </w:rPr>
                <w:t>Employment Agreement between the Registrant and Amnon Shashua, dated July 24, 2014</w:t>
              </w:r>
            </w:hyperlink>
          </w:p>
        </w:tc>
        <w:tc>
          <w:tcPr>
            <w:tcW w:w="122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1720" w:type="dxa"/>
            <w:vAlign w:val="bottom"/>
          </w:tcPr>
          <w:p>
            <w:pPr>
              <w:ind w:left="1200"/>
              <w:spacing w:after="0" w:line="53" w:lineRule="exact"/>
              <w:rPr>
                <w:sz w:val="20"/>
                <w:szCs w:val="20"/>
                <w:color w:val="auto"/>
              </w:rPr>
            </w:pPr>
            <w:r>
              <w:rPr>
                <w:rFonts w:ascii="Arial" w:cs="Arial" w:eastAsia="Arial" w:hAnsi="Arial"/>
                <w:sz w:val="5"/>
                <w:szCs w:val="5"/>
                <w:color w:val="auto"/>
              </w:rPr>
              <w:t>10.12†</w:t>
            </w:r>
          </w:p>
        </w:tc>
        <w:tc>
          <w:tcPr>
            <w:tcW w:w="200" w:type="dxa"/>
            <w:vAlign w:val="bottom"/>
          </w:tcPr>
          <w:p>
            <w:pPr>
              <w:spacing w:after="0"/>
              <w:rPr>
                <w:sz w:val="4"/>
                <w:szCs w:val="4"/>
                <w:color w:val="auto"/>
              </w:rPr>
            </w:pPr>
          </w:p>
        </w:tc>
        <w:tc>
          <w:tcPr>
            <w:tcW w:w="7280" w:type="dxa"/>
            <w:vAlign w:val="bottom"/>
            <w:gridSpan w:val="9"/>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0" w:type="dxa"/>
            <w:vAlign w:val="bottom"/>
            <w:tcBorders>
              <w:bottom w:val="single" w:sz="8" w:color="0000EE"/>
            </w:tcBorders>
            <w:gridSpan w:val="8"/>
          </w:tcPr>
          <w:p>
            <w:pPr>
              <w:spacing w:after="0" w:line="190"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(incorporated by reference to Exhibit 10.12 to Amendment No. 1 to the Company’s registration</w:t>
              </w:r>
            </w:hyperlink>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tcBorders>
              <w:bottom w:val="single" w:sz="8" w:color="0000EE"/>
            </w:tcBorders>
          </w:tcPr>
          <w:p>
            <w:pPr>
              <w:spacing w:after="0" w:line="190"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statement on Form S-1 filed on September 30, 2022)</w:t>
              </w:r>
            </w:hyperlink>
          </w:p>
        </w:tc>
        <w:tc>
          <w:tcPr>
            <w:tcW w:w="3400" w:type="dxa"/>
            <w:vAlign w:val="bottom"/>
            <w:gridSpan w:val="8"/>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ind w:left="1200"/>
              <w:spacing w:after="0" w:line="190"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190" w:lineRule="exact"/>
              <w:rPr>
                <w:sz w:val="20"/>
                <w:szCs w:val="20"/>
                <w:color w:val="auto"/>
              </w:rPr>
            </w:pPr>
            <w:r>
              <w:rPr>
                <w:rFonts w:ascii="Arial" w:cs="Arial" w:eastAsia="Arial" w:hAnsi="Arial"/>
                <w:sz w:val="18"/>
                <w:szCs w:val="18"/>
                <w:color w:val="auto"/>
              </w:rPr>
              <w:t>​ ​</w:t>
            </w:r>
          </w:p>
        </w:tc>
        <w:tc>
          <w:tcPr>
            <w:tcW w:w="6340" w:type="dxa"/>
            <w:vAlign w:val="bottom"/>
            <w:gridSpan w:val="3"/>
            <w:vMerge w:val="restart"/>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Employment Letter Agreement between Amnon Shashua and Intel, dated June 1, 2022</w:t>
              </w:r>
            </w:hyperlink>
          </w:p>
        </w:tc>
        <w:tc>
          <w:tcPr>
            <w:tcW w:w="940" w:type="dxa"/>
            <w:vAlign w:val="bottom"/>
            <w:gridSpan w:val="6"/>
            <w:vMerge w:val="restart"/>
          </w:tcPr>
          <w:p>
            <w:pPr>
              <w:spacing w:after="0"/>
              <w:rPr>
                <w:sz w:val="16"/>
                <w:szCs w:val="16"/>
                <w:color w:val="auto"/>
              </w:rPr>
            </w:pPr>
          </w:p>
        </w:tc>
        <w:tc>
          <w:tcPr>
            <w:tcW w:w="122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1720" w:type="dxa"/>
            <w:vAlign w:val="bottom"/>
          </w:tcPr>
          <w:p>
            <w:pPr>
              <w:ind w:left="1200"/>
              <w:spacing w:after="0" w:line="53" w:lineRule="exact"/>
              <w:rPr>
                <w:sz w:val="20"/>
                <w:szCs w:val="20"/>
                <w:color w:val="auto"/>
              </w:rPr>
            </w:pPr>
            <w:r>
              <w:rPr>
                <w:rFonts w:ascii="Arial" w:cs="Arial" w:eastAsia="Arial" w:hAnsi="Arial"/>
                <w:sz w:val="5"/>
                <w:szCs w:val="5"/>
                <w:color w:val="auto"/>
              </w:rPr>
              <w:t>10.13†</w:t>
            </w:r>
          </w:p>
        </w:tc>
        <w:tc>
          <w:tcPr>
            <w:tcW w:w="200" w:type="dxa"/>
            <w:vAlign w:val="bottom"/>
          </w:tcPr>
          <w:p>
            <w:pPr>
              <w:spacing w:after="0"/>
              <w:rPr>
                <w:sz w:val="4"/>
                <w:szCs w:val="4"/>
                <w:color w:val="auto"/>
              </w:rPr>
            </w:pPr>
          </w:p>
        </w:tc>
        <w:tc>
          <w:tcPr>
            <w:tcW w:w="6340" w:type="dxa"/>
            <w:vAlign w:val="bottom"/>
            <w:tcBorders>
              <w:bottom w:val="single" w:sz="8" w:color="0000EE"/>
            </w:tcBorders>
            <w:gridSpan w:val="3"/>
            <w:vMerge w:val="continue"/>
          </w:tcPr>
          <w:p>
            <w:pPr>
              <w:spacing w:after="0"/>
              <w:rPr>
                <w:sz w:val="4"/>
                <w:szCs w:val="4"/>
                <w:color w:val="auto"/>
              </w:rPr>
            </w:pPr>
          </w:p>
        </w:tc>
        <w:tc>
          <w:tcPr>
            <w:tcW w:w="940" w:type="dxa"/>
            <w:vAlign w:val="bottom"/>
            <w:gridSpan w:val="6"/>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0" w:type="dxa"/>
            <w:vAlign w:val="bottom"/>
            <w:tcBorders>
              <w:bottom w:val="single" w:sz="8" w:color="0000EE"/>
            </w:tcBorders>
            <w:gridSpan w:val="8"/>
          </w:tcPr>
          <w:p>
            <w:pPr>
              <w:spacing w:after="0" w:line="190"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(incorporated by reference to Exhibit 10.13 to Amendment No. 1 to the Company’s registration</w:t>
              </w:r>
            </w:hyperlink>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tcBorders>
              <w:bottom w:val="single" w:sz="8" w:color="0000EE"/>
            </w:tcBorders>
          </w:tcPr>
          <w:p>
            <w:pPr>
              <w:spacing w:after="0" w:line="190"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statement on Form S-1 filed on September 30, 2022)</w:t>
              </w:r>
            </w:hyperlink>
          </w:p>
        </w:tc>
        <w:tc>
          <w:tcPr>
            <w:tcW w:w="3400" w:type="dxa"/>
            <w:vAlign w:val="bottom"/>
            <w:gridSpan w:val="8"/>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ind w:left="1200"/>
              <w:spacing w:after="0" w:line="190"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190" w:lineRule="exact"/>
              <w:rPr>
                <w:sz w:val="20"/>
                <w:szCs w:val="20"/>
                <w:color w:val="auto"/>
              </w:rPr>
            </w:pPr>
            <w:r>
              <w:rPr>
                <w:rFonts w:ascii="Arial" w:cs="Arial" w:eastAsia="Arial" w:hAnsi="Arial"/>
                <w:sz w:val="18"/>
                <w:szCs w:val="18"/>
                <w:color w:val="auto"/>
              </w:rPr>
              <w:t>​ ​</w:t>
            </w:r>
          </w:p>
        </w:tc>
        <w:tc>
          <w:tcPr>
            <w:tcW w:w="6640" w:type="dxa"/>
            <w:vAlign w:val="bottom"/>
            <w:gridSpan w:val="7"/>
            <w:vMerge w:val="restart"/>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Employment Agreement between the Registrant and Anat Heller, dated September 1, 2015</w:t>
              </w:r>
            </w:hyperlink>
          </w:p>
        </w:tc>
        <w:tc>
          <w:tcPr>
            <w:tcW w:w="640" w:type="dxa"/>
            <w:vAlign w:val="bottom"/>
            <w:gridSpan w:val="2"/>
            <w:vMerge w:val="restart"/>
          </w:tcPr>
          <w:p>
            <w:pPr>
              <w:spacing w:after="0"/>
              <w:rPr>
                <w:sz w:val="16"/>
                <w:szCs w:val="16"/>
                <w:color w:val="auto"/>
              </w:rPr>
            </w:pPr>
          </w:p>
        </w:tc>
        <w:tc>
          <w:tcPr>
            <w:tcW w:w="122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1720" w:type="dxa"/>
            <w:vAlign w:val="bottom"/>
          </w:tcPr>
          <w:p>
            <w:pPr>
              <w:ind w:left="1200"/>
              <w:spacing w:after="0" w:line="53" w:lineRule="exact"/>
              <w:rPr>
                <w:sz w:val="20"/>
                <w:szCs w:val="20"/>
                <w:color w:val="auto"/>
              </w:rPr>
            </w:pPr>
            <w:r>
              <w:rPr>
                <w:rFonts w:ascii="Arial" w:cs="Arial" w:eastAsia="Arial" w:hAnsi="Arial"/>
                <w:sz w:val="5"/>
                <w:szCs w:val="5"/>
                <w:color w:val="auto"/>
              </w:rPr>
              <w:t>10.14†</w:t>
            </w:r>
          </w:p>
        </w:tc>
        <w:tc>
          <w:tcPr>
            <w:tcW w:w="200" w:type="dxa"/>
            <w:vAlign w:val="bottom"/>
          </w:tcPr>
          <w:p>
            <w:pPr>
              <w:spacing w:after="0"/>
              <w:rPr>
                <w:sz w:val="4"/>
                <w:szCs w:val="4"/>
                <w:color w:val="auto"/>
              </w:rPr>
            </w:pPr>
          </w:p>
        </w:tc>
        <w:tc>
          <w:tcPr>
            <w:tcW w:w="6640" w:type="dxa"/>
            <w:vAlign w:val="bottom"/>
            <w:tcBorders>
              <w:bottom w:val="single" w:sz="8" w:color="0000EE"/>
            </w:tcBorders>
            <w:gridSpan w:val="7"/>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0" w:type="dxa"/>
            <w:vAlign w:val="bottom"/>
            <w:tcBorders>
              <w:bottom w:val="single" w:sz="8" w:color="0000EE"/>
            </w:tcBorders>
            <w:gridSpan w:val="8"/>
          </w:tcPr>
          <w:p>
            <w:pPr>
              <w:spacing w:after="0" w:line="190"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(incorporated by reference to Exhibit 10.14 to Amendment No. 1 to the Company’s registration</w:t>
              </w:r>
            </w:hyperlink>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tcBorders>
              <w:bottom w:val="single" w:sz="8" w:color="0000EE"/>
            </w:tcBorders>
          </w:tcPr>
          <w:p>
            <w:pPr>
              <w:spacing w:after="0" w:line="190"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statement on Form S-1 filed on September 30, 2022)</w:t>
              </w:r>
            </w:hyperlink>
          </w:p>
        </w:tc>
        <w:tc>
          <w:tcPr>
            <w:tcW w:w="3400" w:type="dxa"/>
            <w:vAlign w:val="bottom"/>
            <w:gridSpan w:val="8"/>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ind w:left="1200"/>
              <w:spacing w:after="0" w:line="190"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190" w:lineRule="exact"/>
              <w:rPr>
                <w:sz w:val="20"/>
                <w:szCs w:val="20"/>
                <w:color w:val="auto"/>
              </w:rPr>
            </w:pPr>
            <w:r>
              <w:rPr>
                <w:rFonts w:ascii="Arial" w:cs="Arial" w:eastAsia="Arial" w:hAnsi="Arial"/>
                <w:sz w:val="18"/>
                <w:szCs w:val="18"/>
                <w:color w:val="auto"/>
              </w:rPr>
              <w:t>​ ​</w:t>
            </w:r>
          </w:p>
        </w:tc>
        <w:tc>
          <w:tcPr>
            <w:tcW w:w="7280" w:type="dxa"/>
            <w:vAlign w:val="bottom"/>
            <w:gridSpan w:val="9"/>
            <w:vMerge w:val="restart"/>
          </w:tcPr>
          <w:p>
            <w:pPr>
              <w:spacing w:after="0"/>
              <w:rPr>
                <w:rFonts w:ascii="Arial" w:cs="Arial" w:eastAsia="Arial" w:hAnsi="Arial"/>
                <w:sz w:val="18"/>
                <w:szCs w:val="18"/>
                <w:color w:val="0000EE"/>
              </w:rPr>
            </w:pPr>
            <w:hyperlink r:id="rId114">
              <w:r>
                <w:rPr>
                  <w:rFonts w:ascii="Arial" w:cs="Arial" w:eastAsia="Arial" w:hAnsi="Arial"/>
                  <w:sz w:val="18"/>
                  <w:szCs w:val="18"/>
                  <w:color w:val="0000EE"/>
                </w:rPr>
                <w:t>Employment Agreement between the Registrant and Erez Dagan, dated October 1, 2016</w:t>
              </w:r>
            </w:hyperlink>
          </w:p>
        </w:tc>
        <w:tc>
          <w:tcPr>
            <w:tcW w:w="122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1720" w:type="dxa"/>
            <w:vAlign w:val="bottom"/>
          </w:tcPr>
          <w:p>
            <w:pPr>
              <w:ind w:left="1200"/>
              <w:spacing w:after="0" w:line="53" w:lineRule="exact"/>
              <w:rPr>
                <w:sz w:val="20"/>
                <w:szCs w:val="20"/>
                <w:color w:val="auto"/>
              </w:rPr>
            </w:pPr>
            <w:r>
              <w:rPr>
                <w:rFonts w:ascii="Arial" w:cs="Arial" w:eastAsia="Arial" w:hAnsi="Arial"/>
                <w:sz w:val="5"/>
                <w:szCs w:val="5"/>
                <w:color w:val="auto"/>
              </w:rPr>
              <w:t>10.15†</w:t>
            </w:r>
          </w:p>
        </w:tc>
        <w:tc>
          <w:tcPr>
            <w:tcW w:w="200" w:type="dxa"/>
            <w:vAlign w:val="bottom"/>
          </w:tcPr>
          <w:p>
            <w:pPr>
              <w:spacing w:after="0"/>
              <w:rPr>
                <w:sz w:val="4"/>
                <w:szCs w:val="4"/>
                <w:color w:val="auto"/>
              </w:rPr>
            </w:pPr>
          </w:p>
        </w:tc>
        <w:tc>
          <w:tcPr>
            <w:tcW w:w="7280" w:type="dxa"/>
            <w:vAlign w:val="bottom"/>
            <w:gridSpan w:val="9"/>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6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0" w:type="dxa"/>
            <w:vAlign w:val="bottom"/>
            <w:tcBorders>
              <w:bottom w:val="single" w:sz="8" w:color="0000EE"/>
            </w:tcBorders>
            <w:gridSpan w:val="8"/>
          </w:tcPr>
          <w:p>
            <w:pPr>
              <w:spacing w:after="0" w:line="190"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(incorporated by reference to Exhibit 10.15 to Amendment No. 1 to the Company’s registration</w:t>
              </w:r>
            </w:hyperlink>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tcBorders>
              <w:bottom w:val="single" w:sz="8" w:color="0000EE"/>
            </w:tcBorders>
          </w:tcPr>
          <w:p>
            <w:pPr>
              <w:spacing w:after="0" w:line="190"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statement on Form S-1 filed on September 30, 2022)</w:t>
              </w:r>
            </w:hyperlink>
          </w:p>
        </w:tc>
        <w:tc>
          <w:tcPr>
            <w:tcW w:w="3400" w:type="dxa"/>
            <w:vAlign w:val="bottom"/>
            <w:gridSpan w:val="8"/>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ind w:left="1200"/>
              <w:spacing w:after="0" w:line="190"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190" w:lineRule="exact"/>
              <w:rPr>
                <w:sz w:val="20"/>
                <w:szCs w:val="20"/>
                <w:color w:val="auto"/>
              </w:rPr>
            </w:pPr>
            <w:r>
              <w:rPr>
                <w:rFonts w:ascii="Arial" w:cs="Arial" w:eastAsia="Arial" w:hAnsi="Arial"/>
                <w:sz w:val="18"/>
                <w:szCs w:val="18"/>
                <w:color w:val="auto"/>
              </w:rPr>
              <w:t>​ ​</w:t>
            </w:r>
          </w:p>
        </w:tc>
        <w:tc>
          <w:tcPr>
            <w:tcW w:w="6620" w:type="dxa"/>
            <w:vAlign w:val="bottom"/>
            <w:gridSpan w:val="6"/>
            <w:vMerge w:val="restart"/>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Employment Agreement between the Registrant and Gavriel Hayon, dated August 1, 1999</w:t>
              </w:r>
            </w:hyperlink>
          </w:p>
        </w:tc>
        <w:tc>
          <w:tcPr>
            <w:tcW w:w="660" w:type="dxa"/>
            <w:vAlign w:val="bottom"/>
            <w:gridSpan w:val="3"/>
            <w:vMerge w:val="restart"/>
          </w:tcPr>
          <w:p>
            <w:pPr>
              <w:spacing w:after="0"/>
              <w:rPr>
                <w:sz w:val="16"/>
                <w:szCs w:val="16"/>
                <w:color w:val="auto"/>
              </w:rPr>
            </w:pPr>
          </w:p>
        </w:tc>
        <w:tc>
          <w:tcPr>
            <w:tcW w:w="122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
        </w:trPr>
        <w:tc>
          <w:tcPr>
            <w:tcW w:w="1720" w:type="dxa"/>
            <w:vAlign w:val="bottom"/>
          </w:tcPr>
          <w:p>
            <w:pPr>
              <w:ind w:left="1200"/>
              <w:spacing w:after="0" w:line="53" w:lineRule="exact"/>
              <w:rPr>
                <w:sz w:val="20"/>
                <w:szCs w:val="20"/>
                <w:color w:val="auto"/>
              </w:rPr>
            </w:pPr>
            <w:r>
              <w:rPr>
                <w:rFonts w:ascii="Arial" w:cs="Arial" w:eastAsia="Arial" w:hAnsi="Arial"/>
                <w:sz w:val="5"/>
                <w:szCs w:val="5"/>
                <w:color w:val="auto"/>
              </w:rPr>
              <w:t>10.16†</w:t>
            </w:r>
          </w:p>
        </w:tc>
        <w:tc>
          <w:tcPr>
            <w:tcW w:w="200" w:type="dxa"/>
            <w:vAlign w:val="bottom"/>
          </w:tcPr>
          <w:p>
            <w:pPr>
              <w:spacing w:after="0"/>
              <w:rPr>
                <w:sz w:val="4"/>
                <w:szCs w:val="4"/>
                <w:color w:val="auto"/>
              </w:rPr>
            </w:pPr>
          </w:p>
        </w:tc>
        <w:tc>
          <w:tcPr>
            <w:tcW w:w="6620" w:type="dxa"/>
            <w:vAlign w:val="bottom"/>
            <w:tcBorders>
              <w:bottom w:val="single" w:sz="8" w:color="0000EE"/>
            </w:tcBorders>
            <w:gridSpan w:val="6"/>
            <w:vMerge w:val="continue"/>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0" w:type="dxa"/>
            <w:vAlign w:val="bottom"/>
            <w:tcBorders>
              <w:bottom w:val="single" w:sz="8" w:color="0000EE"/>
            </w:tcBorders>
            <w:gridSpan w:val="8"/>
          </w:tcPr>
          <w:p>
            <w:pPr>
              <w:spacing w:after="0" w:line="190" w:lineRule="exact"/>
              <w:rPr>
                <w:rFonts w:ascii="Arial" w:cs="Arial" w:eastAsia="Arial" w:hAnsi="Arial"/>
                <w:sz w:val="18"/>
                <w:szCs w:val="18"/>
                <w:color w:val="0000EE"/>
                <w:w w:val="93"/>
              </w:rPr>
            </w:pPr>
            <w:hyperlink r:id="rId115">
              <w:r>
                <w:rPr>
                  <w:rFonts w:ascii="Arial" w:cs="Arial" w:eastAsia="Arial" w:hAnsi="Arial"/>
                  <w:sz w:val="18"/>
                  <w:szCs w:val="18"/>
                  <w:color w:val="0000EE"/>
                  <w:w w:val="93"/>
                </w:rPr>
                <w:t>(incorporated by reference to Exhibit 10.16 to Amendment No. 1 to the Company’s registration</w:t>
              </w:r>
            </w:hyperlink>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tcBorders>
              <w:bottom w:val="single" w:sz="8" w:color="0000EE"/>
            </w:tcBorders>
          </w:tcPr>
          <w:p>
            <w:pPr>
              <w:spacing w:after="0" w:line="190"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statement on Form S-1 filed on September 30, 2022)</w:t>
              </w:r>
            </w:hyperlink>
          </w:p>
        </w:tc>
        <w:tc>
          <w:tcPr>
            <w:tcW w:w="3400" w:type="dxa"/>
            <w:vAlign w:val="bottom"/>
            <w:gridSpan w:val="8"/>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3"/>
        </w:trPr>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80" w:type="dxa"/>
            <w:vAlign w:val="bottom"/>
            <w:gridSpan w:val="9"/>
          </w:tcPr>
          <w:p>
            <w:pPr>
              <w:ind w:left="3140"/>
              <w:spacing w:after="0"/>
              <w:rPr>
                <w:sz w:val="20"/>
                <w:szCs w:val="20"/>
                <w:color w:val="auto"/>
              </w:rPr>
            </w:pPr>
            <w:r>
              <w:rPr>
                <w:rFonts w:ascii="Arial" w:cs="Arial" w:eastAsia="Arial" w:hAnsi="Arial"/>
                <w:sz w:val="18"/>
                <w:szCs w:val="18"/>
                <w:color w:val="auto"/>
              </w:rPr>
              <w:t>II-3</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6605270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440"/>
          </w:cols>
          <w:pgMar w:left="720" w:top="90" w:right="7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0" w:type="dxa"/>
            <w:vAlign w:val="bottom"/>
          </w:tcPr>
          <w:p>
            <w:pPr>
              <w:spacing w:after="0" w:line="220"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No.</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1380" w:type="dxa"/>
            <w:vAlign w:val="bottom"/>
          </w:tcPr>
          <w:p>
            <w:pPr>
              <w:spacing w:after="0"/>
              <w:rPr>
                <w:sz w:val="19"/>
                <w:szCs w:val="19"/>
                <w:color w:val="auto"/>
              </w:rPr>
            </w:pPr>
          </w:p>
        </w:tc>
        <w:tc>
          <w:tcPr>
            <w:tcW w:w="5740" w:type="dxa"/>
            <w:vAlign w:val="bottom"/>
            <w:gridSpan w:val="5"/>
          </w:tcPr>
          <w:p>
            <w:pPr>
              <w:ind w:left="19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1"/>
        </w:trPr>
        <w:tc>
          <w:tcPr>
            <w:tcW w:w="520" w:type="dxa"/>
            <w:vAlign w:val="bottom"/>
            <w:tcBorders>
              <w:top w:val="single" w:sz="8" w:color="auto"/>
            </w:tcBorders>
          </w:tcPr>
          <w:p>
            <w:pPr>
              <w:spacing w:after="0" w:line="151" w:lineRule="exact"/>
              <w:rPr>
                <w:sz w:val="20"/>
                <w:szCs w:val="20"/>
                <w:color w:val="auto"/>
              </w:rPr>
            </w:pPr>
            <w:r>
              <w:rPr>
                <w:rFonts w:ascii="Arial" w:cs="Arial" w:eastAsia="Arial" w:hAnsi="Arial"/>
                <w:sz w:val="16"/>
                <w:szCs w:val="16"/>
                <w:color w:val="auto"/>
              </w:rPr>
              <w:t>​</w:t>
            </w:r>
          </w:p>
        </w:tc>
        <w:tc>
          <w:tcPr>
            <w:tcW w:w="200" w:type="dxa"/>
            <w:vAlign w:val="bottom"/>
          </w:tcPr>
          <w:p>
            <w:pPr>
              <w:spacing w:after="0" w:line="151" w:lineRule="exact"/>
              <w:rPr>
                <w:sz w:val="20"/>
                <w:szCs w:val="20"/>
                <w:color w:val="auto"/>
              </w:rPr>
            </w:pPr>
            <w:r>
              <w:rPr>
                <w:rFonts w:ascii="Arial" w:cs="Arial" w:eastAsia="Arial" w:hAnsi="Arial"/>
                <w:sz w:val="16"/>
                <w:szCs w:val="16"/>
                <w:color w:val="auto"/>
              </w:rPr>
              <w:t>​ ​</w:t>
            </w:r>
          </w:p>
        </w:tc>
        <w:tc>
          <w:tcPr>
            <w:tcW w:w="7120" w:type="dxa"/>
            <w:vAlign w:val="bottom"/>
            <w:tcBorders>
              <w:top w:val="single" w:sz="8" w:color="auto"/>
            </w:tcBorders>
            <w:gridSpan w:val="6"/>
            <w:vMerge w:val="restart"/>
          </w:tcPr>
          <w:p>
            <w:pPr>
              <w:spacing w:after="0" w:line="203"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Employment Agreement between the Registrant and Shai Shalev-Shwartz, dated August 2, 2010</w:t>
              </w:r>
            </w:hyperlink>
          </w:p>
        </w:tc>
        <w:tc>
          <w:tcPr>
            <w:tcW w:w="160" w:type="dxa"/>
            <w:vAlign w:val="bottom"/>
            <w:tcBorders>
              <w:top w:val="single" w:sz="8" w:color="auto"/>
            </w:tcBorders>
          </w:tcPr>
          <w:p>
            <w:pPr>
              <w:spacing w:after="0"/>
              <w:rPr>
                <w:sz w:val="13"/>
                <w:szCs w:val="13"/>
                <w:color w:val="auto"/>
              </w:rPr>
            </w:pPr>
          </w:p>
        </w:tc>
        <w:tc>
          <w:tcPr>
            <w:tcW w:w="40" w:type="dxa"/>
            <w:vAlign w:val="bottom"/>
          </w:tcPr>
          <w:p>
            <w:pPr>
              <w:spacing w:after="0" w:line="15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3"/>
        </w:trPr>
        <w:tc>
          <w:tcPr>
            <w:tcW w:w="520" w:type="dxa"/>
            <w:vAlign w:val="bottom"/>
          </w:tcPr>
          <w:p>
            <w:pPr>
              <w:spacing w:after="0" w:line="53" w:lineRule="exact"/>
              <w:rPr>
                <w:sz w:val="20"/>
                <w:szCs w:val="20"/>
                <w:color w:val="auto"/>
              </w:rPr>
            </w:pPr>
            <w:r>
              <w:rPr>
                <w:rFonts w:ascii="Arial" w:cs="Arial" w:eastAsia="Arial" w:hAnsi="Arial"/>
                <w:sz w:val="5"/>
                <w:szCs w:val="5"/>
                <w:color w:val="auto"/>
              </w:rPr>
              <w:t>10.17†</w:t>
            </w:r>
          </w:p>
        </w:tc>
        <w:tc>
          <w:tcPr>
            <w:tcW w:w="200" w:type="dxa"/>
            <w:vAlign w:val="bottom"/>
          </w:tcPr>
          <w:p>
            <w:pPr>
              <w:spacing w:after="0"/>
              <w:rPr>
                <w:sz w:val="4"/>
                <w:szCs w:val="4"/>
                <w:color w:val="auto"/>
              </w:rPr>
            </w:pPr>
          </w:p>
        </w:tc>
        <w:tc>
          <w:tcPr>
            <w:tcW w:w="7120" w:type="dxa"/>
            <w:vAlign w:val="bottom"/>
            <w:gridSpan w:val="6"/>
            <w:vMerge w:val="continue"/>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0" w:type="dxa"/>
            <w:vAlign w:val="bottom"/>
            <w:tcBorders>
              <w:top w:val="single" w:sz="8" w:color="0000EE"/>
              <w:bottom w:val="single" w:sz="8" w:color="0000EE"/>
            </w:tcBorders>
            <w:gridSpan w:val="4"/>
          </w:tcPr>
          <w:p>
            <w:pPr>
              <w:spacing w:after="0" w:line="190" w:lineRule="exact"/>
              <w:rPr>
                <w:rFonts w:ascii="Arial" w:cs="Arial" w:eastAsia="Arial" w:hAnsi="Arial"/>
                <w:sz w:val="18"/>
                <w:szCs w:val="18"/>
                <w:color w:val="0000EE"/>
                <w:w w:val="93"/>
              </w:rPr>
            </w:pPr>
            <w:hyperlink r:id="rId118">
              <w:r>
                <w:rPr>
                  <w:rFonts w:ascii="Arial" w:cs="Arial" w:eastAsia="Arial" w:hAnsi="Arial"/>
                  <w:sz w:val="18"/>
                  <w:szCs w:val="18"/>
                  <w:color w:val="0000EE"/>
                  <w:w w:val="93"/>
                </w:rPr>
                <w:t>(incorporated by reference to Exhibit 10.17 to Amendment No. 1 to the Company’s registration</w:t>
              </w:r>
            </w:hyperlink>
          </w:p>
        </w:tc>
        <w:tc>
          <w:tcPr>
            <w:tcW w:w="6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tcBorders>
              <w:bottom w:val="single" w:sz="8" w:color="0000EE"/>
            </w:tcBorders>
            <w:gridSpan w:val="2"/>
          </w:tcPr>
          <w:p>
            <w:pPr>
              <w:spacing w:after="0" w:line="190"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statement on Form S-1 filed on September 30, 2022)</w:t>
              </w:r>
            </w:hyperlink>
          </w:p>
        </w:tc>
        <w:tc>
          <w:tcPr>
            <w:tcW w:w="3240" w:type="dxa"/>
            <w:vAlign w:val="bottom"/>
            <w:gridSpan w:val="4"/>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190" w:lineRule="exact"/>
              <w:rPr>
                <w:sz w:val="20"/>
                <w:szCs w:val="20"/>
                <w:color w:val="auto"/>
              </w:rPr>
            </w:pPr>
            <w:r>
              <w:rPr>
                <w:rFonts w:ascii="Arial" w:cs="Arial" w:eastAsia="Arial" w:hAnsi="Arial"/>
                <w:sz w:val="18"/>
                <w:szCs w:val="18"/>
                <w:color w:val="auto"/>
              </w:rPr>
              <w:t>​ ​</w:t>
            </w:r>
          </w:p>
        </w:tc>
        <w:tc>
          <w:tcPr>
            <w:tcW w:w="7120" w:type="dxa"/>
            <w:vAlign w:val="bottom"/>
            <w:gridSpan w:val="6"/>
            <w:vMerge w:val="restart"/>
          </w:tcPr>
          <w:p>
            <w:pPr>
              <w:spacing w:after="0"/>
              <w:rPr>
                <w:rFonts w:ascii="Arial" w:cs="Arial" w:eastAsia="Arial" w:hAnsi="Arial"/>
                <w:sz w:val="18"/>
                <w:szCs w:val="18"/>
                <w:color w:val="0000EE"/>
                <w:w w:val="96"/>
              </w:rPr>
            </w:pPr>
            <w:hyperlink r:id="rId119">
              <w:r>
                <w:rPr>
                  <w:rFonts w:ascii="Arial" w:cs="Arial" w:eastAsia="Arial" w:hAnsi="Arial"/>
                  <w:sz w:val="18"/>
                  <w:szCs w:val="18"/>
                  <w:color w:val="0000EE"/>
                  <w:w w:val="96"/>
                </w:rPr>
                <w:t>Employment Agreement between the Registrant and Nimrod Nehushtan, dated May 2, 2017</w:t>
              </w:r>
            </w:hyperlink>
          </w:p>
        </w:tc>
        <w:tc>
          <w:tcPr>
            <w:tcW w:w="200" w:type="dxa"/>
            <w:vAlign w:val="bottom"/>
            <w:gridSpan w:val="2"/>
          </w:tcPr>
          <w:p>
            <w:pPr>
              <w:ind w:left="160"/>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520" w:type="dxa"/>
            <w:vAlign w:val="bottom"/>
          </w:tcPr>
          <w:p>
            <w:pPr>
              <w:spacing w:after="0" w:line="53" w:lineRule="exact"/>
              <w:rPr>
                <w:sz w:val="20"/>
                <w:szCs w:val="20"/>
                <w:color w:val="auto"/>
              </w:rPr>
            </w:pPr>
            <w:r>
              <w:rPr>
                <w:rFonts w:ascii="Arial" w:cs="Arial" w:eastAsia="Arial" w:hAnsi="Arial"/>
                <w:sz w:val="5"/>
                <w:szCs w:val="5"/>
                <w:color w:val="auto"/>
              </w:rPr>
              <w:t>10.18†</w:t>
            </w:r>
          </w:p>
        </w:tc>
        <w:tc>
          <w:tcPr>
            <w:tcW w:w="200" w:type="dxa"/>
            <w:vAlign w:val="bottom"/>
          </w:tcPr>
          <w:p>
            <w:pPr>
              <w:spacing w:after="0"/>
              <w:rPr>
                <w:sz w:val="4"/>
                <w:szCs w:val="4"/>
                <w:color w:val="auto"/>
              </w:rPr>
            </w:pPr>
          </w:p>
        </w:tc>
        <w:tc>
          <w:tcPr>
            <w:tcW w:w="7120" w:type="dxa"/>
            <w:vAlign w:val="bottom"/>
            <w:gridSpan w:val="6"/>
            <w:vMerge w:val="continue"/>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36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120" w:type="dxa"/>
            <w:vAlign w:val="bottom"/>
            <w:tcBorders>
              <w:bottom w:val="single" w:sz="8" w:color="0000EE"/>
            </w:tcBorders>
            <w:gridSpan w:val="6"/>
          </w:tcPr>
          <w:p>
            <w:pPr>
              <w:spacing w:after="0" w:line="190" w:lineRule="exact"/>
              <w:rPr>
                <w:rFonts w:ascii="Arial" w:cs="Arial" w:eastAsia="Arial" w:hAnsi="Arial"/>
                <w:sz w:val="18"/>
                <w:szCs w:val="18"/>
                <w:color w:val="0000EE"/>
                <w:w w:val="93"/>
              </w:rPr>
            </w:pPr>
            <w:hyperlink r:id="rId119">
              <w:r>
                <w:rPr>
                  <w:rFonts w:ascii="Arial" w:cs="Arial" w:eastAsia="Arial" w:hAnsi="Arial"/>
                  <w:sz w:val="18"/>
                  <w:szCs w:val="18"/>
                  <w:color w:val="0000EE"/>
                  <w:w w:val="93"/>
                </w:rPr>
                <w:t>(incorporated by reference to Exhibit 10.18 to the Company’s Annual Report on Form 10-K filed</w:t>
              </w:r>
            </w:hyperlink>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0000EE"/>
            </w:tcBorders>
          </w:tcPr>
          <w:p>
            <w:pPr>
              <w:spacing w:after="0" w:line="190" w:lineRule="exact"/>
              <w:rPr>
                <w:rFonts w:ascii="Arial" w:cs="Arial" w:eastAsia="Arial" w:hAnsi="Arial"/>
                <w:sz w:val="18"/>
                <w:szCs w:val="18"/>
                <w:color w:val="0000EE"/>
                <w:w w:val="93"/>
              </w:rPr>
            </w:pPr>
            <w:hyperlink r:id="rId119">
              <w:r>
                <w:rPr>
                  <w:rFonts w:ascii="Arial" w:cs="Arial" w:eastAsia="Arial" w:hAnsi="Arial"/>
                  <w:sz w:val="18"/>
                  <w:szCs w:val="18"/>
                  <w:color w:val="0000EE"/>
                  <w:w w:val="93"/>
                </w:rPr>
                <w:t>on March 9, 2023)</w:t>
              </w:r>
            </w:hyperlink>
          </w:p>
        </w:tc>
        <w:tc>
          <w:tcPr>
            <w:tcW w:w="574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9739"/>
          </w:cols>
          <w:pgMar w:left="720" w:top="90" w:right="1440" w:bottom="1440" w:gutter="0" w:footer="0" w:header="0"/>
        </w:sectPr>
      </w:pPr>
    </w:p>
    <w:p>
      <w:pPr>
        <w:ind w:left="122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10.19</w:t>
      </w:r>
    </w:p>
    <w:p>
      <w:pPr>
        <w:spacing w:after="0" w:line="200" w:lineRule="exact"/>
        <w:rPr>
          <w:sz w:val="20"/>
          <w:szCs w:val="20"/>
          <w:color w:val="auto"/>
        </w:rPr>
      </w:pPr>
    </w:p>
    <w:p>
      <w:pPr>
        <w:spacing w:after="0" w:line="326" w:lineRule="exact"/>
        <w:rPr>
          <w:sz w:val="20"/>
          <w:szCs w:val="20"/>
          <w:color w:val="auto"/>
        </w:rPr>
      </w:pPr>
    </w:p>
    <w:p>
      <w:pPr>
        <w:ind w:left="122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10.20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ind w:right="479"/>
        <w:spacing w:after="0" w:line="193" w:lineRule="auto"/>
        <w:rPr>
          <w:rFonts w:ascii="Arial" w:cs="Arial" w:eastAsia="Arial" w:hAnsi="Arial"/>
          <w:sz w:val="17"/>
          <w:szCs w:val="17"/>
          <w:u w:val="single" w:color="auto"/>
          <w:color w:val="0000EE"/>
        </w:rPr>
      </w:pPr>
      <w:hyperlink r:id="rId120">
        <w:r>
          <w:rPr>
            <w:rFonts w:ascii="Arial" w:cs="Arial" w:eastAsia="Arial" w:hAnsi="Arial"/>
            <w:sz w:val="17"/>
            <w:szCs w:val="17"/>
            <w:u w:val="single" w:color="auto"/>
            <w:color w:val="0000EE"/>
          </w:rPr>
          <w:t>Stock Compensation Recharge Agreement, dated August 8, 2017, between Mobileye B.V. and its</w:t>
        </w:r>
        <w:r>
          <w:rPr>
            <w:rFonts w:ascii="Arial" w:cs="Arial" w:eastAsia="Arial" w:hAnsi="Arial"/>
            <w:sz w:val="17"/>
            <w:szCs w:val="17"/>
            <w:color w:val="0000EE"/>
          </w:rPr>
          <w:t xml:space="preserve"> </w:t>
        </w:r>
      </w:hyperlink>
      <w:r>
        <w:rPr>
          <w:rFonts w:ascii="Arial" w:cs="Arial" w:eastAsia="Arial" w:hAnsi="Arial"/>
          <w:sz w:val="34"/>
          <w:szCs w:val="34"/>
          <w:color w:val="000000"/>
          <w:vertAlign w:val="superscript"/>
        </w:rPr>
        <w:t>​</w:t>
      </w:r>
      <w:r>
        <w:rPr>
          <w:rFonts w:ascii="Arial" w:cs="Arial" w:eastAsia="Arial" w:hAnsi="Arial"/>
          <w:sz w:val="17"/>
          <w:szCs w:val="17"/>
          <w:color w:val="0000EE"/>
        </w:rPr>
        <w:t xml:space="preserve"> </w:t>
      </w:r>
      <w:hyperlink r:id="rId120">
        <w:r>
          <w:rPr>
            <w:rFonts w:ascii="Arial" w:cs="Arial" w:eastAsia="Arial" w:hAnsi="Arial"/>
            <w:sz w:val="17"/>
            <w:szCs w:val="17"/>
            <w:u w:val="single" w:color="auto"/>
            <w:color w:val="0000EE"/>
          </w:rPr>
          <w:t>subsidiaries, on the one hand, and Intel, on the other hand (incorporated by reference to</w:t>
        </w:r>
      </w:hyperlink>
    </w:p>
    <w:p>
      <w:pPr>
        <w:ind w:right="659"/>
        <w:spacing w:after="0" w:line="244" w:lineRule="auto"/>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Exhibit 10.18 to Amendment No. 1 to the Company’s registration statement on Form S-1 filed on</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September 30, 2022)</w:t>
        </w:r>
      </w:hyperlink>
    </w:p>
    <w:p>
      <w:pPr>
        <w:spacing w:after="0" w:line="1" w:lineRule="exact"/>
        <w:rPr>
          <w:sz w:val="20"/>
          <w:szCs w:val="20"/>
          <w:color w:val="auto"/>
        </w:rPr>
      </w:pPr>
    </w:p>
    <w:p>
      <w:pPr>
        <w:ind w:right="479"/>
        <w:spacing w:after="0" w:line="200" w:lineRule="auto"/>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Loan Agreement, dated April 21, 2022, between Cyclops Holdings Corporation and Intel Overseas</w:t>
        </w:r>
        <w:r>
          <w:rPr>
            <w:rFonts w:ascii="Arial" w:cs="Arial" w:eastAsia="Arial" w:hAnsi="Arial"/>
            <w:sz w:val="18"/>
            <w:szCs w:val="18"/>
            <w:color w:val="0000EE"/>
          </w:rPr>
          <w:t xml:space="preserve"> </w:t>
        </w:r>
      </w:hyperlink>
      <w:r>
        <w:rPr>
          <w:rFonts w:ascii="Arial" w:cs="Arial" w:eastAsia="Arial" w:hAnsi="Arial"/>
          <w:sz w:val="35"/>
          <w:szCs w:val="35"/>
          <w:color w:val="000000"/>
          <w:vertAlign w:val="superscript"/>
        </w:rPr>
        <w:t>​</w:t>
      </w:r>
      <w:r>
        <w:rPr>
          <w:rFonts w:ascii="Arial" w:cs="Arial" w:eastAsia="Arial" w:hAnsi="Arial"/>
          <w:sz w:val="18"/>
          <w:szCs w:val="18"/>
          <w:color w:val="0000EE"/>
        </w:rPr>
        <w:t xml:space="preserve"> </w:t>
      </w:r>
      <w:hyperlink r:id="rId121">
        <w:r>
          <w:rPr>
            <w:rFonts w:ascii="Arial" w:cs="Arial" w:eastAsia="Arial" w:hAnsi="Arial"/>
            <w:sz w:val="18"/>
            <w:szCs w:val="18"/>
            <w:u w:val="single" w:color="auto"/>
            <w:color w:val="0000EE"/>
          </w:rPr>
          <w:t>Funding Corporation. (incorporated by reference to Exhibit 10.1 to Amendment No. 19 to the</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Company’s registration statement on Form S-1 filed on September 30, 2022)</w:t>
        </w:r>
      </w:hyperlink>
    </w:p>
    <w:p>
      <w:pPr>
        <w:spacing w:after="0" w:line="1" w:lineRule="exact"/>
        <w:rPr>
          <w:rFonts w:ascii="Arial" w:cs="Arial" w:eastAsia="Arial" w:hAnsi="Arial"/>
          <w:sz w:val="18"/>
          <w:szCs w:val="18"/>
          <w:color w:val="0000EE"/>
        </w:rPr>
      </w:pPr>
    </w:p>
    <w:p>
      <w:pPr>
        <w:sectPr>
          <w:pgSz w:w="11900" w:h="16838" w:orient="portrait"/>
          <w:cols w:equalWidth="0" w:num="3">
            <w:col w:w="1640" w:space="100"/>
            <w:col w:w="140" w:space="60"/>
            <w:col w:w="7799"/>
          </w:cols>
          <w:pgMar w:left="720" w:top="90" w:right="1440" w:bottom="1440" w:gutter="0" w:footer="0" w:header="0"/>
          <w:type w:val="continuous"/>
        </w:sectPr>
      </w:pPr>
    </w:p>
    <w:tbl>
      <w:tblPr>
        <w:tblLayout w:type="fixed"/>
        <w:tblInd w:w="1220" w:type="dxa"/>
        <w:tblCellMar>
          <w:top w:w="0" w:type="dxa"/>
          <w:left w:w="0" w:type="dxa"/>
          <w:bottom w:w="0" w:type="dxa"/>
          <w:right w:w="0" w:type="dxa"/>
        </w:tblCellMar>
      </w:tblPr>
      <w:tr>
        <w:trPr>
          <w:trHeight w:val="173"/>
        </w:trPr>
        <w:tc>
          <w:tcPr>
            <w:tcW w:w="460" w:type="dxa"/>
            <w:vAlign w:val="bottom"/>
          </w:tcPr>
          <w:p>
            <w:pPr>
              <w:spacing w:after="0" w:line="173" w:lineRule="exact"/>
              <w:rPr>
                <w:sz w:val="20"/>
                <w:szCs w:val="20"/>
                <w:color w:val="auto"/>
              </w:rPr>
            </w:pPr>
            <w:r>
              <w:rPr>
                <w:rFonts w:ascii="Arial" w:cs="Arial" w:eastAsia="Arial" w:hAnsi="Arial"/>
                <w:sz w:val="18"/>
                <w:szCs w:val="18"/>
                <w:color w:val="auto"/>
              </w:rPr>
              <w:t>​</w:t>
            </w:r>
          </w:p>
        </w:tc>
        <w:tc>
          <w:tcPr>
            <w:tcW w:w="260" w:type="dxa"/>
            <w:vAlign w:val="bottom"/>
          </w:tcPr>
          <w:p>
            <w:pPr>
              <w:ind w:left="60"/>
              <w:spacing w:after="0" w:line="173" w:lineRule="exact"/>
              <w:rPr>
                <w:sz w:val="20"/>
                <w:szCs w:val="20"/>
                <w:color w:val="auto"/>
              </w:rPr>
            </w:pPr>
            <w:r>
              <w:rPr>
                <w:rFonts w:ascii="Arial" w:cs="Arial" w:eastAsia="Arial" w:hAnsi="Arial"/>
                <w:sz w:val="18"/>
                <w:szCs w:val="18"/>
                <w:color w:val="auto"/>
              </w:rPr>
              <w:t>​ ​</w:t>
            </w:r>
          </w:p>
        </w:tc>
        <w:tc>
          <w:tcPr>
            <w:tcW w:w="7100" w:type="dxa"/>
            <w:vAlign w:val="bottom"/>
            <w:gridSpan w:val="7"/>
            <w:vMerge w:val="restart"/>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Memorandum of Understanding, dated October 17, 2006, between STMicroelectronics N.V. and</w:t>
              </w:r>
            </w:hyperlink>
          </w:p>
        </w:tc>
        <w:tc>
          <w:tcPr>
            <w:tcW w:w="220" w:type="dxa"/>
            <w:vAlign w:val="bottom"/>
          </w:tcPr>
          <w:p>
            <w:pPr>
              <w:ind w:left="180"/>
              <w:spacing w:after="0" w:line="17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460" w:type="dxa"/>
            <w:vAlign w:val="bottom"/>
          </w:tcPr>
          <w:p>
            <w:pPr>
              <w:spacing w:after="0" w:line="53" w:lineRule="exact"/>
              <w:rPr>
                <w:sz w:val="20"/>
                <w:szCs w:val="20"/>
                <w:color w:val="auto"/>
              </w:rPr>
            </w:pPr>
            <w:r>
              <w:rPr>
                <w:rFonts w:ascii="Arial" w:cs="Arial" w:eastAsia="Arial" w:hAnsi="Arial"/>
                <w:sz w:val="5"/>
                <w:szCs w:val="5"/>
                <w:color w:val="auto"/>
              </w:rPr>
              <w:t>10.21</w:t>
            </w:r>
          </w:p>
        </w:tc>
        <w:tc>
          <w:tcPr>
            <w:tcW w:w="260" w:type="dxa"/>
            <w:vAlign w:val="bottom"/>
          </w:tcPr>
          <w:p>
            <w:pPr>
              <w:spacing w:after="0"/>
              <w:rPr>
                <w:sz w:val="4"/>
                <w:szCs w:val="4"/>
                <w:color w:val="auto"/>
              </w:rPr>
            </w:pPr>
          </w:p>
        </w:tc>
        <w:tc>
          <w:tcPr>
            <w:tcW w:w="7100" w:type="dxa"/>
            <w:vAlign w:val="bottom"/>
            <w:gridSpan w:val="7"/>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60" w:type="dxa"/>
            <w:vAlign w:val="bottom"/>
            <w:tcBorders>
              <w:top w:val="single" w:sz="8" w:color="0000EE"/>
            </w:tcBorders>
            <w:gridSpan w:val="6"/>
          </w:tcPr>
          <w:p>
            <w:pPr>
              <w:spacing w:after="0" w:line="190" w:lineRule="exact"/>
              <w:rPr>
                <w:rFonts w:ascii="Arial" w:cs="Arial" w:eastAsia="Arial" w:hAnsi="Arial"/>
                <w:sz w:val="18"/>
                <w:szCs w:val="18"/>
                <w:color w:val="0000EE"/>
                <w:w w:val="97"/>
              </w:rPr>
            </w:pPr>
            <w:hyperlink r:id="rId122">
              <w:r>
                <w:rPr>
                  <w:rFonts w:ascii="Arial" w:cs="Arial" w:eastAsia="Arial" w:hAnsi="Arial"/>
                  <w:sz w:val="18"/>
                  <w:szCs w:val="18"/>
                  <w:color w:val="0000EE"/>
                  <w:w w:val="97"/>
                </w:rPr>
                <w:t>Mobileye Technologies Limited, as amended (incorporated by reference to Exhibit 10.20 to</w:t>
              </w:r>
            </w:hyperlink>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100" w:type="dxa"/>
            <w:vAlign w:val="bottom"/>
            <w:gridSpan w:val="7"/>
          </w:tcPr>
          <w:p>
            <w:pPr>
              <w:spacing w:after="0" w:line="190" w:lineRule="exact"/>
              <w:rPr>
                <w:rFonts w:ascii="Arial" w:cs="Arial" w:eastAsia="Arial" w:hAnsi="Arial"/>
                <w:sz w:val="18"/>
                <w:szCs w:val="18"/>
                <w:color w:val="0000EE"/>
                <w:w w:val="93"/>
              </w:rPr>
            </w:pPr>
            <w:hyperlink r:id="rId122">
              <w:r>
                <w:rPr>
                  <w:rFonts w:ascii="Arial" w:cs="Arial" w:eastAsia="Arial" w:hAnsi="Arial"/>
                  <w:sz w:val="18"/>
                  <w:szCs w:val="18"/>
                  <w:color w:val="0000EE"/>
                  <w:w w:val="93"/>
                </w:rPr>
                <w:t>Amendment No. 1 to the Company’s registration statement on Form S-1 filed on September 30,</w:t>
              </w:r>
            </w:hyperlink>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top w:val="single" w:sz="8" w:color="0000EE"/>
              <w:bottom w:val="single" w:sz="8" w:color="0000EE"/>
            </w:tcBorders>
          </w:tcPr>
          <w:p>
            <w:pPr>
              <w:spacing w:after="0" w:line="190"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2022)</w:t>
              </w:r>
            </w:hyperlink>
          </w:p>
        </w:tc>
        <w:tc>
          <w:tcPr>
            <w:tcW w:w="60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260" w:type="dxa"/>
            <w:vAlign w:val="bottom"/>
          </w:tcPr>
          <w:p>
            <w:pPr>
              <w:ind w:left="60"/>
              <w:spacing w:after="0" w:line="190" w:lineRule="exact"/>
              <w:rPr>
                <w:sz w:val="20"/>
                <w:szCs w:val="20"/>
                <w:color w:val="auto"/>
              </w:rPr>
            </w:pPr>
            <w:r>
              <w:rPr>
                <w:rFonts w:ascii="Arial" w:cs="Arial" w:eastAsia="Arial" w:hAnsi="Arial"/>
                <w:sz w:val="18"/>
                <w:szCs w:val="18"/>
                <w:color w:val="auto"/>
              </w:rPr>
              <w:t>​ ​</w:t>
            </w:r>
          </w:p>
        </w:tc>
        <w:tc>
          <w:tcPr>
            <w:tcW w:w="7100" w:type="dxa"/>
            <w:vAlign w:val="bottom"/>
            <w:gridSpan w:val="7"/>
            <w:vMerge w:val="restart"/>
          </w:tcPr>
          <w:p>
            <w:pPr>
              <w:spacing w:after="0"/>
              <w:rPr>
                <w:rFonts w:ascii="Arial" w:cs="Arial" w:eastAsia="Arial" w:hAnsi="Arial"/>
                <w:sz w:val="18"/>
                <w:szCs w:val="18"/>
                <w:color w:val="0000EE"/>
                <w:w w:val="96"/>
              </w:rPr>
            </w:pPr>
            <w:hyperlink r:id="rId123">
              <w:r>
                <w:rPr>
                  <w:rFonts w:ascii="Arial" w:cs="Arial" w:eastAsia="Arial" w:hAnsi="Arial"/>
                  <w:sz w:val="18"/>
                  <w:szCs w:val="18"/>
                  <w:color w:val="0000EE"/>
                  <w:w w:val="96"/>
                </w:rPr>
                <w:t>Agreement between Intel Corporation and Intel Subsidiaries, dated August 8, 2017, between</w:t>
              </w:r>
            </w:hyperlink>
          </w:p>
        </w:tc>
        <w:tc>
          <w:tcPr>
            <w:tcW w:w="220" w:type="dxa"/>
            <w:vAlign w:val="bottom"/>
          </w:tcPr>
          <w:p>
            <w:pPr>
              <w:ind w:left="180"/>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460" w:type="dxa"/>
            <w:vAlign w:val="bottom"/>
          </w:tcPr>
          <w:p>
            <w:pPr>
              <w:spacing w:after="0" w:line="53" w:lineRule="exact"/>
              <w:rPr>
                <w:sz w:val="20"/>
                <w:szCs w:val="20"/>
                <w:color w:val="auto"/>
              </w:rPr>
            </w:pPr>
            <w:r>
              <w:rPr>
                <w:rFonts w:ascii="Arial" w:cs="Arial" w:eastAsia="Arial" w:hAnsi="Arial"/>
                <w:sz w:val="5"/>
                <w:szCs w:val="5"/>
                <w:color w:val="auto"/>
              </w:rPr>
              <w:t>10.22</w:t>
            </w:r>
          </w:p>
        </w:tc>
        <w:tc>
          <w:tcPr>
            <w:tcW w:w="260" w:type="dxa"/>
            <w:vAlign w:val="bottom"/>
          </w:tcPr>
          <w:p>
            <w:pPr>
              <w:spacing w:after="0"/>
              <w:rPr>
                <w:sz w:val="4"/>
                <w:szCs w:val="4"/>
                <w:color w:val="auto"/>
              </w:rPr>
            </w:pPr>
          </w:p>
        </w:tc>
        <w:tc>
          <w:tcPr>
            <w:tcW w:w="7100" w:type="dxa"/>
            <w:vAlign w:val="bottom"/>
            <w:gridSpan w:val="7"/>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5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100" w:type="dxa"/>
            <w:vAlign w:val="bottom"/>
            <w:tcBorders>
              <w:bottom w:val="single" w:sz="8" w:color="0000EE"/>
            </w:tcBorders>
            <w:gridSpan w:val="7"/>
          </w:tcPr>
          <w:p>
            <w:pPr>
              <w:spacing w:after="0" w:line="190"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Mobileye B.V. and its subsidiaries, on the one hand, and Intel, on the other hand, which we refer</w:t>
              </w:r>
            </w:hyperlink>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00" w:type="dxa"/>
            <w:vAlign w:val="bottom"/>
            <w:tcBorders>
              <w:bottom w:val="single" w:sz="8" w:color="0000EE"/>
            </w:tcBorders>
            <w:gridSpan w:val="2"/>
          </w:tcPr>
          <w:p>
            <w:pPr>
              <w:spacing w:after="0" w:line="190"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to herein as the Cross-License Agreement (incorporated by reference to Exhibit 10.21 to</w:t>
              </w:r>
            </w:hyperlink>
          </w:p>
        </w:tc>
        <w:tc>
          <w:tcPr>
            <w:tcW w:w="600" w:type="dxa"/>
            <w:vAlign w:val="bottom"/>
            <w:gridSpan w:val="5"/>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100" w:type="dxa"/>
            <w:vAlign w:val="bottom"/>
            <w:gridSpan w:val="7"/>
          </w:tcPr>
          <w:p>
            <w:pPr>
              <w:spacing w:after="0" w:line="190"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Amendment No. 1 to the Company’s registration statement on Form S-1 filed on September 30,</w:t>
              </w:r>
            </w:hyperlink>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top w:val="single" w:sz="8" w:color="0000EE"/>
              <w:bottom w:val="single" w:sz="8" w:color="0000EE"/>
            </w:tcBorders>
          </w:tcPr>
          <w:p>
            <w:pPr>
              <w:spacing w:after="0" w:line="190"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2022)</w:t>
              </w:r>
            </w:hyperlink>
          </w:p>
        </w:tc>
        <w:tc>
          <w:tcPr>
            <w:tcW w:w="60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739"/>
          </w:cols>
          <w:pgMar w:left="720" w:top="90" w:right="1440" w:bottom="1440" w:gutter="0" w:footer="0" w:header="0"/>
          <w:type w:val="continuous"/>
        </w:sectPr>
      </w:pPr>
    </w:p>
    <w:p>
      <w:pPr>
        <w:spacing w:after="0" w:line="26" w:lineRule="exact"/>
        <w:rPr>
          <w:sz w:val="20"/>
          <w:szCs w:val="20"/>
          <w:color w:val="auto"/>
        </w:rPr>
      </w:pPr>
    </w:p>
    <w:p>
      <w:pPr>
        <w:ind w:left="122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10.23</w:t>
      </w:r>
    </w:p>
    <w:p>
      <w:pPr>
        <w:spacing w:after="0" w:line="315" w:lineRule="exact"/>
        <w:rPr>
          <w:sz w:val="20"/>
          <w:szCs w:val="20"/>
          <w:color w:val="auto"/>
        </w:rPr>
      </w:pPr>
    </w:p>
    <w:p>
      <w:pPr>
        <w:ind w:left="122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21.1</w:t>
      </w:r>
    </w:p>
    <w:p>
      <w:pPr>
        <w:ind w:left="1220"/>
        <w:spacing w:after="0" w:line="230"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23.1</w:t>
      </w:r>
    </w:p>
    <w:p>
      <w:pPr>
        <w:ind w:left="1220"/>
        <w:spacing w:after="0" w:line="205" w:lineRule="auto"/>
        <w:rPr>
          <w:sz w:val="20"/>
          <w:szCs w:val="20"/>
          <w:color w:val="auto"/>
        </w:rPr>
      </w:pPr>
      <w:r>
        <w:rPr>
          <w:rFonts w:ascii="Arial" w:cs="Arial" w:eastAsia="Arial" w:hAnsi="Arial"/>
          <w:sz w:val="18"/>
          <w:szCs w:val="18"/>
          <w:color w:val="auto"/>
        </w:rPr>
        <w:t>23.2</w:t>
      </w:r>
      <w:r>
        <w:rPr>
          <w:rFonts w:ascii="Arial" w:cs="Arial" w:eastAsia="Arial" w:hAnsi="Arial"/>
          <w:sz w:val="35"/>
          <w:szCs w:val="35"/>
          <w:color w:val="auto"/>
          <w:vertAlign w:val="superscript"/>
        </w:rPr>
        <w:t>​</w:t>
      </w:r>
    </w:p>
    <w:p>
      <w:pPr>
        <w:ind w:left="1220"/>
        <w:spacing w:after="0" w:line="234"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24.1</w:t>
      </w:r>
    </w:p>
    <w:p>
      <w:pPr>
        <w:ind w:left="1220"/>
        <w:spacing w:after="0" w:line="186" w:lineRule="auto"/>
        <w:rPr>
          <w:sz w:val="20"/>
          <w:szCs w:val="20"/>
          <w:color w:val="auto"/>
        </w:rPr>
      </w:pPr>
      <w:r>
        <w:rPr>
          <w:rFonts w:ascii="Arial" w:cs="Arial" w:eastAsia="Arial" w:hAnsi="Arial"/>
          <w:sz w:val="18"/>
          <w:szCs w:val="18"/>
          <w:color w:val="auto"/>
        </w:rPr>
        <w:t>107</w:t>
      </w:r>
      <w:r>
        <w:rPr>
          <w:rFonts w:ascii="Arial" w:cs="Arial" w:eastAsia="Arial" w:hAnsi="Arial"/>
          <w:sz w:val="35"/>
          <w:szCs w:val="35"/>
          <w:color w:val="auto"/>
          <w:vertAlign w:val="superscript"/>
        </w:rPr>
        <w:t>​</w:t>
      </w:r>
    </w:p>
    <w:p>
      <w:pPr>
        <w:spacing w:after="0" w:line="20" w:lineRule="exact"/>
        <w:rPr>
          <w:sz w:val="20"/>
          <w:szCs w:val="20"/>
          <w:color w:val="auto"/>
        </w:rPr>
      </w:pPr>
      <w:r>
        <w:rPr>
          <w:sz w:val="20"/>
          <w:szCs w:val="20"/>
          <w:color w:val="auto"/>
        </w:rPr>
        <w:br w:type="column"/>
      </w:r>
    </w:p>
    <w:p>
      <w:pPr>
        <w:spacing w:after="0" w:line="189" w:lineRule="auto"/>
        <w:rPr>
          <w:rFonts w:ascii="Arial" w:cs="Arial" w:eastAsia="Arial" w:hAnsi="Arial"/>
          <w:sz w:val="16"/>
          <w:szCs w:val="16"/>
          <w:color w:val="0000EE"/>
        </w:rPr>
      </w:pPr>
      <w:hyperlink r:id="rId124"/>
      <w:r>
        <w:rPr>
          <w:rFonts w:ascii="Arial" w:cs="Arial" w:eastAsia="Arial" w:hAnsi="Arial"/>
          <w:sz w:val="32"/>
          <w:szCs w:val="32"/>
          <w:color w:val="000000"/>
          <w:vertAlign w:val="superscript"/>
        </w:rPr>
        <w:t>​</w:t>
      </w:r>
      <w:r>
        <w:rPr>
          <w:rFonts w:ascii="Arial" w:cs="Arial" w:eastAsia="Arial" w:hAnsi="Arial"/>
          <w:sz w:val="16"/>
          <w:szCs w:val="16"/>
          <w:color w:val="0000EE"/>
        </w:rPr>
        <w:t xml:space="preserve"> </w:t>
      </w:r>
      <w:r>
        <w:rPr>
          <w:rFonts w:ascii="Arial" w:cs="Arial" w:eastAsia="Arial" w:hAnsi="Arial"/>
          <w:sz w:val="32"/>
          <w:szCs w:val="32"/>
          <w:color w:val="000000"/>
          <w:vertAlign w:val="superscript"/>
        </w:rPr>
        <w:t>​</w:t>
      </w:r>
      <w:r>
        <w:rPr>
          <w:rFonts w:ascii="Arial" w:cs="Arial" w:eastAsia="Arial" w:hAnsi="Arial"/>
          <w:sz w:val="16"/>
          <w:szCs w:val="16"/>
          <w:color w:val="0000EE"/>
        </w:rPr>
        <w:t xml:space="preserve"> </w:t>
      </w:r>
      <w:hyperlink r:id="rId124">
        <w:r>
          <w:rPr>
            <w:rFonts w:ascii="Arial" w:cs="Arial" w:eastAsia="Arial" w:hAnsi="Arial"/>
            <w:sz w:val="16"/>
            <w:szCs w:val="16"/>
            <w:u w:val="single" w:color="auto"/>
            <w:color w:val="0000EE"/>
          </w:rPr>
          <w:t xml:space="preserve">Share &amp; Note Sale and Purchase Agreement, dated May 31, 2022, between Intel Finance B.V. and </w:t>
        </w:r>
      </w:hyperlink>
      <w:r>
        <w:rPr>
          <w:rFonts w:ascii="Arial" w:cs="Arial" w:eastAsia="Arial" w:hAnsi="Arial"/>
          <w:sz w:val="32"/>
          <w:szCs w:val="32"/>
          <w:color w:val="000000"/>
          <w:vertAlign w:val="superscript"/>
        </w:rPr>
        <w:t>​</w:t>
      </w:r>
    </w:p>
    <w:tbl>
      <w:tblPr>
        <w:tblLayout w:type="fixed"/>
        <w:tblInd w:w="0" w:type="dxa"/>
        <w:tblCellMar>
          <w:top w:w="0" w:type="dxa"/>
          <w:left w:w="0" w:type="dxa"/>
          <w:bottom w:w="0" w:type="dxa"/>
          <w:right w:w="0" w:type="dxa"/>
        </w:tblCellMar>
      </w:tblPr>
      <w:tr>
        <w:trPr>
          <w:trHeight w:val="170"/>
        </w:trPr>
        <w:tc>
          <w:tcPr>
            <w:tcW w:w="200" w:type="dxa"/>
            <w:vAlign w:val="bottom"/>
          </w:tcPr>
          <w:p>
            <w:pPr>
              <w:spacing w:after="0"/>
              <w:rPr>
                <w:sz w:val="14"/>
                <w:szCs w:val="14"/>
                <w:color w:val="auto"/>
              </w:rPr>
            </w:pPr>
          </w:p>
        </w:tc>
        <w:tc>
          <w:tcPr>
            <w:tcW w:w="7220" w:type="dxa"/>
            <w:vAlign w:val="bottom"/>
            <w:tcBorders>
              <w:bottom w:val="single" w:sz="8" w:color="0000EE"/>
            </w:tcBorders>
            <w:gridSpan w:val="9"/>
          </w:tcPr>
          <w:p>
            <w:pPr>
              <w:spacing w:after="0" w:line="170"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Mobileye B.V. (incorporated by reference to Exhibit 10.22 to Amendment No. 1 to the Company’s</w:t>
              </w:r>
            </w:hyperlink>
          </w:p>
        </w:tc>
        <w:tc>
          <w:tcPr>
            <w:tcW w:w="100" w:type="dxa"/>
            <w:vAlign w:val="bottom"/>
          </w:tcPr>
          <w:p>
            <w:pPr>
              <w:spacing w:after="0"/>
              <w:rPr>
                <w:sz w:val="14"/>
                <w:szCs w:val="14"/>
                <w:color w:val="auto"/>
              </w:rPr>
            </w:pPr>
          </w:p>
        </w:tc>
      </w:tr>
      <w:tr>
        <w:trPr>
          <w:trHeight w:val="190"/>
        </w:trPr>
        <w:tc>
          <w:tcPr>
            <w:tcW w:w="200" w:type="dxa"/>
            <w:vAlign w:val="bottom"/>
          </w:tcPr>
          <w:p>
            <w:pPr>
              <w:spacing w:after="0"/>
              <w:rPr>
                <w:sz w:val="16"/>
                <w:szCs w:val="16"/>
                <w:color w:val="auto"/>
              </w:rPr>
            </w:pPr>
          </w:p>
        </w:tc>
        <w:tc>
          <w:tcPr>
            <w:tcW w:w="4760" w:type="dxa"/>
            <w:vAlign w:val="bottom"/>
            <w:tcBorders>
              <w:bottom w:val="single" w:sz="8" w:color="0000EE"/>
            </w:tcBorders>
            <w:gridSpan w:val="3"/>
          </w:tcPr>
          <w:p>
            <w:pPr>
              <w:spacing w:after="0" w:line="190"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registration statement on Form S-1 filed on September 30, 2022)</w:t>
              </w:r>
            </w:hyperlink>
          </w:p>
        </w:tc>
        <w:tc>
          <w:tcPr>
            <w:tcW w:w="2460" w:type="dxa"/>
            <w:vAlign w:val="bottom"/>
            <w:gridSpan w:val="6"/>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7420" w:type="dxa"/>
            <w:vAlign w:val="bottom"/>
            <w:gridSpan w:val="10"/>
          </w:tcPr>
          <w:p>
            <w:pPr>
              <w:spacing w:after="0" w:line="243" w:lineRule="exact"/>
              <w:rPr>
                <w:rFonts w:ascii="Arial" w:cs="Arial" w:eastAsia="Arial" w:hAnsi="Arial"/>
                <w:sz w:val="15"/>
                <w:szCs w:val="15"/>
                <w:color w:val="0000EE"/>
              </w:rPr>
            </w:pPr>
            <w:hyperlink r:id="rId125"/>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hyperlink r:id="rId125">
              <w:r>
                <w:rPr>
                  <w:rFonts w:ascii="Arial" w:cs="Arial" w:eastAsia="Arial" w:hAnsi="Arial"/>
                  <w:sz w:val="15"/>
                  <w:szCs w:val="15"/>
                  <w:color w:val="0000EE"/>
                </w:rPr>
                <w:t>List of Subsidiaries of the Registrant (incorporated by reference to Exhibit 21.1 to the Company’s</w:t>
              </w:r>
            </w:hyperlink>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190"/>
        </w:trPr>
        <w:tc>
          <w:tcPr>
            <w:tcW w:w="200" w:type="dxa"/>
            <w:vAlign w:val="bottom"/>
          </w:tcPr>
          <w:p>
            <w:pPr>
              <w:spacing w:after="0"/>
              <w:rPr>
                <w:sz w:val="16"/>
                <w:szCs w:val="16"/>
                <w:color w:val="auto"/>
              </w:rPr>
            </w:pPr>
          </w:p>
        </w:tc>
        <w:tc>
          <w:tcPr>
            <w:tcW w:w="6840" w:type="dxa"/>
            <w:vAlign w:val="bottom"/>
            <w:tcBorders>
              <w:top w:val="single" w:sz="8" w:color="0000EE"/>
              <w:bottom w:val="single" w:sz="8" w:color="0000EE"/>
            </w:tcBorders>
            <w:gridSpan w:val="6"/>
          </w:tcPr>
          <w:p>
            <w:pPr>
              <w:spacing w:after="0" w:line="190"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Annual Report on Form 10-K for the year ended December 31, 2022 filed on March 9, 2023)</w:t>
              </w:r>
            </w:hyperlink>
          </w:p>
        </w:tc>
        <w:tc>
          <w:tcPr>
            <w:tcW w:w="360" w:type="dxa"/>
            <w:vAlign w:val="bottom"/>
            <w:tcBorders>
              <w:top w:val="single" w:sz="8" w:color="0000EE"/>
            </w:tcBorders>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7420" w:type="dxa"/>
            <w:vAlign w:val="bottom"/>
            <w:gridSpan w:val="10"/>
          </w:tcPr>
          <w:p>
            <w:pPr>
              <w:spacing w:after="0" w:line="243"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5"/>
                <w:szCs w:val="15"/>
                <w:color w:val="0000EE"/>
              </w:rPr>
              <w:t xml:space="preserve"> Consent of Davis Polk &amp; Wardwell LLP (included in Exhibit 5.1)</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0"/>
        </w:trPr>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420" w:type="dxa"/>
            <w:vAlign w:val="bottom"/>
            <w:gridSpan w:val="10"/>
          </w:tcPr>
          <w:p>
            <w:pPr>
              <w:spacing w:after="0" w:line="243"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5"/>
                <w:szCs w:val="15"/>
                <w:color w:val="0000EE"/>
              </w:rPr>
              <w:t xml:space="preserve"> Consent of Kesselman &amp; Kesselman, Certified Public Accountants (Isr.), a member firm of</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0"/>
        </w:trPr>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0" w:type="dxa"/>
            <w:vAlign w:val="bottom"/>
          </w:tcPr>
          <w:p>
            <w:pPr>
              <w:spacing w:after="0"/>
              <w:rPr>
                <w:sz w:val="16"/>
                <w:szCs w:val="16"/>
                <w:color w:val="auto"/>
              </w:rPr>
            </w:pPr>
          </w:p>
        </w:tc>
        <w:tc>
          <w:tcPr>
            <w:tcW w:w="7220" w:type="dxa"/>
            <w:vAlign w:val="bottom"/>
            <w:gridSpan w:val="9"/>
          </w:tcPr>
          <w:p>
            <w:pPr>
              <w:spacing w:after="0" w:line="190" w:lineRule="exact"/>
              <w:rPr>
                <w:sz w:val="20"/>
                <w:szCs w:val="20"/>
                <w:color w:val="auto"/>
              </w:rPr>
            </w:pPr>
            <w:r>
              <w:rPr>
                <w:rFonts w:ascii="Arial" w:cs="Arial" w:eastAsia="Arial" w:hAnsi="Arial"/>
                <w:sz w:val="18"/>
                <w:szCs w:val="18"/>
                <w:color w:val="0000EE"/>
                <w:w w:val="93"/>
              </w:rPr>
              <w:t>PricewaterhouseCoopers International Limited, an independent registered public accounting firm.</w:t>
            </w:r>
          </w:p>
        </w:tc>
        <w:tc>
          <w:tcPr>
            <w:tcW w:w="100" w:type="dxa"/>
            <w:vAlign w:val="bottom"/>
          </w:tcPr>
          <w:p>
            <w:pPr>
              <w:spacing w:after="0"/>
              <w:rPr>
                <w:sz w:val="16"/>
                <w:szCs w:val="16"/>
                <w:color w:val="auto"/>
              </w:rPr>
            </w:pPr>
          </w:p>
        </w:tc>
      </w:tr>
      <w:tr>
        <w:trPr>
          <w:trHeight w:val="20"/>
        </w:trPr>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3260" w:type="dxa"/>
            <w:vAlign w:val="bottom"/>
            <w:gridSpan w:val="5"/>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420" w:type="dxa"/>
            <w:vAlign w:val="bottom"/>
            <w:gridSpan w:val="10"/>
          </w:tcPr>
          <w:p>
            <w:pPr>
              <w:spacing w:after="0" w:line="243"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5"/>
                <w:szCs w:val="15"/>
                <w:color w:val="0000EE"/>
              </w:rPr>
              <w:t xml:space="preserve"> Powers of Attorney (included on the signature pages)</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0"/>
        </w:trPr>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420" w:type="dxa"/>
            <w:vAlign w:val="bottom"/>
            <w:gridSpan w:val="10"/>
          </w:tcPr>
          <w:p>
            <w:pPr>
              <w:spacing w:after="0" w:line="243"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5"/>
                <w:szCs w:val="15"/>
                <w:color w:val="0000EE"/>
              </w:rPr>
              <w:t xml:space="preserve"> Filing Fee Table</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0"/>
        </w:trPr>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158750</wp:posOffset>
            </wp:positionV>
            <wp:extent cx="12020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328" w:lineRule="exact"/>
        <w:rPr>
          <w:sz w:val="20"/>
          <w:szCs w:val="20"/>
          <w:color w:val="auto"/>
        </w:rPr>
      </w:pPr>
    </w:p>
    <w:p>
      <w:pPr>
        <w:sectPr>
          <w:pgSz w:w="11900" w:h="16838" w:orient="portrait"/>
          <w:cols w:equalWidth="0" w:num="2">
            <w:col w:w="1640" w:space="100"/>
            <w:col w:w="7999"/>
          </w:cols>
          <w:pgMar w:left="720" w:top="90" w:right="1440" w:bottom="1440" w:gutter="0" w:footer="0" w:header="0"/>
          <w:type w:val="continuous"/>
        </w:sectPr>
      </w:pPr>
    </w:p>
    <w:p>
      <w:pPr>
        <w:spacing w:after="0" w:line="67" w:lineRule="exact"/>
        <w:rPr>
          <w:sz w:val="20"/>
          <w:szCs w:val="20"/>
          <w:color w:val="auto"/>
        </w:rPr>
      </w:pPr>
    </w:p>
    <w:p>
      <w:pPr>
        <w:ind w:left="1580" w:hanging="351"/>
        <w:spacing w:after="0"/>
        <w:tabs>
          <w:tab w:leader="none" w:pos="1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69" w:lineRule="exact"/>
        <w:rPr>
          <w:sz w:val="20"/>
          <w:szCs w:val="20"/>
          <w:color w:val="auto"/>
        </w:rPr>
      </w:pPr>
    </w:p>
    <w:p>
      <w:pPr>
        <w:ind w:left="1580" w:right="619" w:hanging="351"/>
        <w:spacing w:after="0" w:line="252" w:lineRule="auto"/>
        <w:tabs>
          <w:tab w:leader="none" w:pos="1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601(a)(5) of Regulation S-K. The Registrant agrees to furnish supplementally a copy of any omitted schedule or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664400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SIGNATURES</w:t>
      </w:r>
    </w:p>
    <w:p>
      <w:pPr>
        <w:spacing w:after="0" w:line="154" w:lineRule="exact"/>
        <w:rPr>
          <w:sz w:val="20"/>
          <w:szCs w:val="20"/>
          <w:color w:val="auto"/>
        </w:rPr>
      </w:pPr>
    </w:p>
    <w:p>
      <w:pPr>
        <w:ind w:left="1220" w:right="679" w:firstLine="350"/>
        <w:spacing w:after="0" w:line="25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Jerusalem, Israel on June 5, 2023.</w:t>
      </w:r>
    </w:p>
    <w:p>
      <w:pPr>
        <w:spacing w:after="0" w:line="18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MOBILEYE GLOBAL INC.</w:t>
      </w:r>
    </w:p>
    <w:p>
      <w:pPr>
        <w:spacing w:after="0" w:line="3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43180</wp:posOffset>
            </wp:positionV>
            <wp:extent cx="24034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7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Professor Amnon Shashua</w:t>
      </w:r>
    </w:p>
    <w:p>
      <w:pPr>
        <w:spacing w:after="0" w:line="1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Title:  Chief Executive Officer and President</w:t>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      (As Principal Executive Officer)</w:t>
      </w:r>
    </w:p>
    <w:p>
      <w:pPr>
        <w:spacing w:after="0" w:line="200" w:lineRule="exact"/>
        <w:rPr>
          <w:sz w:val="20"/>
          <w:szCs w:val="20"/>
          <w:color w:val="auto"/>
        </w:rPr>
      </w:pPr>
    </w:p>
    <w:p>
      <w:pPr>
        <w:spacing w:after="0" w:line="23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34925</wp:posOffset>
            </wp:positionV>
            <wp:extent cx="24034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7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Anat Heller</w:t>
      </w:r>
    </w:p>
    <w:p>
      <w:pPr>
        <w:spacing w:after="0" w:line="1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Title:  Chief Financial Officer</w:t>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      (As Principal Financial and Accounting</w:t>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      Officer)</w:t>
      </w:r>
    </w:p>
    <w:p>
      <w:pPr>
        <w:spacing w:after="0" w:line="196"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POWER OF ATTORNEY</w:t>
      </w:r>
    </w:p>
    <w:p>
      <w:pPr>
        <w:spacing w:after="0" w:line="154" w:lineRule="exact"/>
        <w:rPr>
          <w:sz w:val="20"/>
          <w:szCs w:val="20"/>
          <w:color w:val="auto"/>
        </w:rPr>
      </w:pPr>
    </w:p>
    <w:p>
      <w:pPr>
        <w:ind w:left="1220" w:right="539" w:firstLine="350"/>
        <w:spacing w:after="0" w:line="279" w:lineRule="auto"/>
        <w:rPr>
          <w:sz w:val="20"/>
          <w:szCs w:val="20"/>
          <w:color w:val="auto"/>
        </w:rPr>
      </w:pPr>
      <w:r>
        <w:rPr>
          <w:rFonts w:ascii="Arial" w:cs="Arial" w:eastAsia="Arial" w:hAnsi="Arial"/>
          <w:sz w:val="16"/>
          <w:szCs w:val="16"/>
          <w:color w:val="auto"/>
        </w:rPr>
        <w:t>KNOW ALL BY THESE PRESENT, that each person whose signature appears below constitutes and appoints Professor Amnon Shashua and Anat Heller, and each of them, his, her or their true and lawful attorney-in-fact and agent, with full power of substitution and revocation, for him or her and in his, her or their name, place and stead, in any and all capacities, to execute any or all amendments including any post-effective amendments and supplements to this registration statement, and any additional registration statement filed pursuant to Rule 462,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she or they might or could do in person, hereby ratifying and confirming all that said attorney-in-fact and agent, or his, her or their substitute or substitutes, may lawfully do or cause to be done by virtue hereof.</w:t>
      </w:r>
    </w:p>
    <w:p>
      <w:pPr>
        <w:spacing w:after="0" w:line="319" w:lineRule="exact"/>
        <w:rPr>
          <w:sz w:val="20"/>
          <w:szCs w:val="20"/>
          <w:color w:val="auto"/>
        </w:rPr>
      </w:pPr>
    </w:p>
    <w:p>
      <w:pPr>
        <w:ind w:left="1220" w:right="599" w:firstLine="350"/>
        <w:spacing w:after="0" w:line="250"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June 5, 2023.</w:t>
      </w:r>
    </w:p>
    <w:p>
      <w:pPr>
        <w:jc w:val="both"/>
        <w:ind w:left="1220"/>
        <w:spacing w:after="0"/>
        <w:tabs>
          <w:tab w:leader="none" w:pos="2480" w:val="left"/>
          <w:tab w:leader="none" w:pos="4360" w:val="left"/>
          <w:tab w:leader="none" w:pos="6140" w:val="left"/>
          <w:tab w:leader="none" w:pos="8120" w:val="left"/>
          <w:tab w:leader="none" w:pos="8580" w:val="left"/>
          <w:tab w:leader="none" w:pos="9200" w:val="left"/>
        </w:tabs>
        <w:rPr>
          <w:sz w:val="20"/>
          <w:szCs w:val="20"/>
          <w:color w:val="auto"/>
        </w:rPr>
      </w:pPr>
      <w:r>
        <w:rPr>
          <w:rFonts w:ascii="Arial" w:cs="Arial" w:eastAsia="Arial" w:hAnsi="Arial"/>
          <w:sz w:val="21"/>
          <w:szCs w:val="21"/>
          <w:b w:val="1"/>
          <w:bCs w:val="1"/>
          <w:color w:val="auto"/>
          <w:vertAlign w:val="subscript"/>
        </w:rPr>
        <w:t>​</w:t>
      </w:r>
      <w:r>
        <w:rPr>
          <w:sz w:val="20"/>
          <w:szCs w:val="20"/>
          <w:color w:val="auto"/>
        </w:rPr>
        <w:tab/>
      </w: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28"/>
          <w:szCs w:val="28"/>
          <w:b w:val="1"/>
          <w:bCs w:val="1"/>
          <w:color w:val="auto"/>
          <w:vertAlign w:val="subscript"/>
        </w:rPr>
        <w:t>​ ​</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28"/>
          <w:szCs w:val="28"/>
          <w:b w:val="1"/>
          <w:bCs w:val="1"/>
          <w:color w:val="auto"/>
          <w:vertAlign w:val="subscript"/>
        </w:rPr>
        <w:t>​ ​</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28"/>
          <w:szCs w:val="2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20955</wp:posOffset>
            </wp:positionV>
            <wp:extent cx="50660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310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60"/>
              <w:spacing w:after="0"/>
              <w:rPr>
                <w:sz w:val="20"/>
                <w:szCs w:val="20"/>
                <w:color w:val="auto"/>
              </w:rPr>
            </w:pPr>
            <w:r>
              <w:rPr>
                <w:rFonts w:ascii="Arial" w:cs="Arial" w:eastAsia="Arial" w:hAnsi="Arial"/>
                <w:sz w:val="18"/>
                <w:szCs w:val="18"/>
                <w:color w:val="auto"/>
              </w:rPr>
              <w:t>​ ​</w:t>
            </w:r>
          </w:p>
        </w:tc>
        <w:tc>
          <w:tcPr>
            <w:tcW w:w="3560" w:type="dxa"/>
            <w:vAlign w:val="bottom"/>
            <w:vMerge w:val="restart"/>
          </w:tcPr>
          <w:p>
            <w:pPr>
              <w:jc w:val="center"/>
              <w:spacing w:after="0"/>
              <w:rPr>
                <w:sz w:val="20"/>
                <w:szCs w:val="20"/>
                <w:color w:val="auto"/>
              </w:rPr>
            </w:pPr>
            <w:r>
              <w:rPr>
                <w:rFonts w:ascii="Arial" w:cs="Arial" w:eastAsia="Arial" w:hAnsi="Arial"/>
                <w:sz w:val="18"/>
                <w:szCs w:val="18"/>
                <w:color w:val="auto"/>
                <w:w w:val="94"/>
              </w:rPr>
              <w:t>Chief Executive Officer, President and Director</w:t>
            </w:r>
          </w:p>
        </w:tc>
        <w:tc>
          <w:tcPr>
            <w:tcW w:w="180" w:type="dxa"/>
            <w:vAlign w:val="bottom"/>
          </w:tcPr>
          <w:p>
            <w:pPr>
              <w:ind w:left="60"/>
              <w:spacing w:after="0"/>
              <w:rPr>
                <w:sz w:val="20"/>
                <w:szCs w:val="20"/>
                <w:color w:val="auto"/>
              </w:rPr>
            </w:pPr>
            <w:r>
              <w:rPr>
                <w:rFonts w:ascii="Arial" w:cs="Arial" w:eastAsia="Arial" w:hAnsi="Arial"/>
                <w:sz w:val="18"/>
                <w:szCs w:val="18"/>
                <w:color w:val="auto"/>
              </w:rPr>
              <w:t>​ ​</w:t>
            </w:r>
          </w:p>
        </w:tc>
        <w:tc>
          <w:tcPr>
            <w:tcW w:w="100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8"/>
        </w:trPr>
        <w:tc>
          <w:tcPr>
            <w:tcW w:w="3100" w:type="dxa"/>
            <w:vAlign w:val="bottom"/>
            <w:gridSpan w:val="2"/>
          </w:tcPr>
          <w:p>
            <w:pPr>
              <w:spacing w:after="0" w:line="157" w:lineRule="exact"/>
              <w:rPr>
                <w:sz w:val="20"/>
                <w:szCs w:val="20"/>
                <w:color w:val="auto"/>
              </w:rPr>
            </w:pPr>
            <w:r>
              <w:rPr>
                <w:rFonts w:ascii="Arial" w:cs="Arial" w:eastAsia="Arial" w:hAnsi="Arial"/>
                <w:sz w:val="18"/>
                <w:szCs w:val="18"/>
                <w:color w:val="auto"/>
              </w:rPr>
              <w:t>/s/ Professor Amnon Shashua</w:t>
            </w:r>
          </w:p>
        </w:tc>
        <w:tc>
          <w:tcPr>
            <w:tcW w:w="20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ind w:left="20"/>
              <w:spacing w:after="0"/>
              <w:rPr>
                <w:sz w:val="20"/>
                <w:szCs w:val="20"/>
                <w:color w:val="auto"/>
              </w:rPr>
            </w:pPr>
            <w:r>
              <w:rPr>
                <w:rFonts w:ascii="Arial" w:cs="Arial" w:eastAsia="Arial" w:hAnsi="Arial"/>
                <w:sz w:val="18"/>
                <w:szCs w:val="18"/>
                <w:color w:val="auto"/>
                <w:w w:val="92"/>
              </w:rPr>
              <w:t>June 5, 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60" w:type="dxa"/>
            <w:vAlign w:val="bottom"/>
            <w:vMerge w:val="restart"/>
          </w:tcPr>
          <w:p>
            <w:pPr>
              <w:jc w:val="center"/>
              <w:spacing w:after="0"/>
              <w:rPr>
                <w:sz w:val="20"/>
                <w:szCs w:val="20"/>
                <w:color w:val="auto"/>
              </w:rPr>
            </w:pPr>
            <w:r>
              <w:rPr>
                <w:rFonts w:ascii="Arial" w:cs="Arial" w:eastAsia="Arial" w:hAnsi="Arial"/>
                <w:sz w:val="18"/>
                <w:szCs w:val="18"/>
                <w:color w:val="auto"/>
                <w:w w:val="96"/>
              </w:rPr>
              <w:t>(Principal Executive Officer)</w:t>
            </w:r>
          </w:p>
        </w:tc>
        <w:tc>
          <w:tcPr>
            <w:tcW w:w="18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3100" w:type="dxa"/>
            <w:vAlign w:val="bottom"/>
            <w:gridSpan w:val="2"/>
            <w:vMerge w:val="restart"/>
          </w:tcPr>
          <w:p>
            <w:pPr>
              <w:spacing w:after="0"/>
              <w:rPr>
                <w:sz w:val="20"/>
                <w:szCs w:val="20"/>
                <w:color w:val="auto"/>
              </w:rPr>
            </w:pPr>
            <w:r>
              <w:rPr>
                <w:rFonts w:ascii="Arial" w:cs="Arial" w:eastAsia="Arial" w:hAnsi="Arial"/>
                <w:sz w:val="18"/>
                <w:szCs w:val="18"/>
                <w:color w:val="auto"/>
              </w:rPr>
              <w:t>Professor Amnon Shashua</w:t>
            </w:r>
          </w:p>
        </w:tc>
        <w:tc>
          <w:tcPr>
            <w:tcW w:w="20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1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 Anat Heller</w:t>
            </w:r>
          </w:p>
        </w:tc>
        <w:tc>
          <w:tcPr>
            <w:tcW w:w="20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7"/>
              </w:rPr>
              <w:t>Chief Financial Officer</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100" w:type="dxa"/>
            <w:vAlign w:val="bottom"/>
            <w:gridSpan w:val="2"/>
          </w:tcPr>
          <w:p>
            <w:pPr>
              <w:spacing w:after="0" w:line="302"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Anat Heller</w:t>
            </w:r>
          </w:p>
        </w:tc>
        <w:tc>
          <w:tcPr>
            <w:tcW w:w="200" w:type="dxa"/>
            <w:vAlign w:val="bottom"/>
          </w:tcPr>
          <w:p>
            <w:pPr>
              <w:ind w:left="60"/>
              <w:spacing w:after="0"/>
              <w:rPr>
                <w:sz w:val="20"/>
                <w:szCs w:val="20"/>
                <w:color w:val="auto"/>
              </w:rPr>
            </w:pPr>
            <w:r>
              <w:rPr>
                <w:rFonts w:ascii="Arial" w:cs="Arial" w:eastAsia="Arial" w:hAnsi="Arial"/>
                <w:sz w:val="18"/>
                <w:szCs w:val="18"/>
                <w:color w:val="auto"/>
              </w:rPr>
              <w:t>​ ​</w:t>
            </w:r>
          </w:p>
        </w:tc>
        <w:tc>
          <w:tcPr>
            <w:tcW w:w="3560" w:type="dxa"/>
            <w:vAlign w:val="bottom"/>
          </w:tcPr>
          <w:p>
            <w:pPr>
              <w:jc w:val="center"/>
              <w:spacing w:after="0"/>
              <w:rPr>
                <w:sz w:val="20"/>
                <w:szCs w:val="20"/>
                <w:color w:val="auto"/>
              </w:rPr>
            </w:pPr>
            <w:r>
              <w:rPr>
                <w:rFonts w:ascii="Arial" w:cs="Arial" w:eastAsia="Arial" w:hAnsi="Arial"/>
                <w:sz w:val="18"/>
                <w:szCs w:val="18"/>
                <w:color w:val="auto"/>
                <w:w w:val="95"/>
              </w:rPr>
              <w:t>(Principal Financial Officer and Principal</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 ​June 5, 2023​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Accounting Officer)</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1"/>
        </w:trPr>
        <w:tc>
          <w:tcPr>
            <w:tcW w:w="3100" w:type="dxa"/>
            <w:vAlign w:val="bottom"/>
            <w:gridSpan w:val="2"/>
          </w:tcPr>
          <w:p>
            <w:pPr>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/s/ Patrick P. Gelsinger</w:t>
            </w:r>
          </w:p>
        </w:tc>
        <w:tc>
          <w:tcPr>
            <w:tcW w:w="200" w:type="dxa"/>
            <w:vAlign w:val="bottom"/>
          </w:tcPr>
          <w:p>
            <w:pPr>
              <w:ind w:left="60"/>
              <w:spacing w:after="0"/>
              <w:rPr>
                <w:sz w:val="20"/>
                <w:szCs w:val="20"/>
                <w:color w:val="auto"/>
              </w:rPr>
            </w:pPr>
            <w:r>
              <w:rPr>
                <w:rFonts w:ascii="Arial" w:cs="Arial" w:eastAsia="Arial" w:hAnsi="Arial"/>
                <w:sz w:val="18"/>
                <w:szCs w:val="18"/>
                <w:color w:val="auto"/>
              </w:rPr>
              <w:t>​ ​</w:t>
            </w:r>
          </w:p>
        </w:tc>
        <w:tc>
          <w:tcPr>
            <w:tcW w:w="3560" w:type="dxa"/>
            <w:vAlign w:val="bottom"/>
          </w:tcPr>
          <w:p>
            <w:pPr>
              <w:jc w:val="center"/>
              <w:spacing w:after="0"/>
              <w:rPr>
                <w:sz w:val="20"/>
                <w:szCs w:val="20"/>
                <w:color w:val="auto"/>
              </w:rPr>
            </w:pPr>
            <w:r>
              <w:rPr>
                <w:rFonts w:ascii="Arial" w:cs="Arial" w:eastAsia="Arial" w:hAnsi="Arial"/>
                <w:sz w:val="18"/>
                <w:szCs w:val="18"/>
                <w:color w:val="auto"/>
                <w:w w:val="94"/>
              </w:rPr>
              <w:t>Chair of the Board of Directors</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 ​June 5, 2023​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Patrick P. Gelsinger</w:t>
            </w:r>
          </w:p>
        </w:tc>
        <w:tc>
          <w:tcPr>
            <w:tcW w:w="2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 Eyal Desheh</w:t>
            </w:r>
          </w:p>
        </w:tc>
        <w:tc>
          <w:tcPr>
            <w:tcW w:w="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100" w:type="dxa"/>
            <w:vAlign w:val="bottom"/>
            <w:gridSpan w:val="2"/>
          </w:tcPr>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Eyal Desheh</w:t>
            </w:r>
          </w:p>
        </w:tc>
        <w:tc>
          <w:tcPr>
            <w:tcW w:w="200" w:type="dxa"/>
            <w:vAlign w:val="bottom"/>
          </w:tcPr>
          <w:p>
            <w:pPr>
              <w:ind w:left="60"/>
              <w:spacing w:after="0"/>
              <w:rPr>
                <w:sz w:val="20"/>
                <w:szCs w:val="20"/>
                <w:color w:val="auto"/>
              </w:rPr>
            </w:pPr>
            <w:r>
              <w:rPr>
                <w:rFonts w:ascii="Arial" w:cs="Arial" w:eastAsia="Arial" w:hAnsi="Arial"/>
                <w:sz w:val="18"/>
                <w:szCs w:val="18"/>
                <w:color w:val="auto"/>
              </w:rPr>
              <w:t>​ ​</w:t>
            </w:r>
          </w:p>
        </w:tc>
        <w:tc>
          <w:tcPr>
            <w:tcW w:w="3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 ​June 5,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-1257300</wp:posOffset>
            </wp:positionV>
            <wp:extent cx="19532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195326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-706120</wp:posOffset>
            </wp:positionV>
            <wp:extent cx="19532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1953260"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-222250</wp:posOffset>
            </wp:positionV>
            <wp:extent cx="19532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spacing w:after="0" w:line="35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664400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1">
            <w:col w:w="9739"/>
          </w:cols>
          <w:pgMar w:left="720" w:top="90" w:right="1440"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500" w:hanging="1271"/>
        <w:spacing w:after="0"/>
        <w:tabs>
          <w:tab w:leader="none" w:pos="2500" w:val="left"/>
        </w:tabs>
        <w:numPr>
          <w:ilvl w:val="0"/>
          <w:numId w:val="35"/>
        </w:numPr>
        <w:rPr>
          <w:rFonts w:ascii="Arial" w:cs="Arial" w:eastAsia="Arial" w:hAnsi="Arial"/>
          <w:sz w:val="28"/>
          <w:szCs w:val="28"/>
          <w:b w:val="1"/>
          <w:bCs w:val="1"/>
          <w:color w:val="auto"/>
          <w:vertAlign w:val="subscript"/>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23495</wp:posOffset>
            </wp:positionV>
            <wp:extent cx="19697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196977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22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/s/ Jon M. Huntsman,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-25400</wp:posOffset>
            </wp:positionV>
            <wp:extent cx="19532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8"/>
          <w:szCs w:val="18"/>
          <w:color w:val="auto"/>
        </w:rPr>
        <w:t>Jon M. Huntsman, Jr.</w:t>
      </w:r>
    </w:p>
    <w:p>
      <w:pPr>
        <w:spacing w:after="0" w:line="97" w:lineRule="exact"/>
        <w:rPr>
          <w:sz w:val="20"/>
          <w:szCs w:val="20"/>
          <w:color w:val="auto"/>
        </w:rPr>
      </w:pPr>
    </w:p>
    <w:p>
      <w:pPr>
        <w:ind w:left="122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/s/ Claire C. McCaskill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-31750</wp:posOffset>
            </wp:positionV>
            <wp:extent cx="19532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Claire C. McCaskill</w:t>
      </w:r>
    </w:p>
    <w:p>
      <w:pPr>
        <w:spacing w:after="0" w:line="176" w:lineRule="exact"/>
        <w:rPr>
          <w:sz w:val="20"/>
          <w:szCs w:val="20"/>
          <w:color w:val="auto"/>
        </w:rPr>
      </w:pPr>
    </w:p>
    <w:p>
      <w:pPr>
        <w:ind w:left="122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/s/ Christine Pambianchi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-31750</wp:posOffset>
            </wp:positionV>
            <wp:extent cx="19532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Christine Pambianchi</w:t>
      </w:r>
    </w:p>
    <w:p>
      <w:pPr>
        <w:spacing w:after="0" w:line="176" w:lineRule="exact"/>
        <w:rPr>
          <w:sz w:val="20"/>
          <w:szCs w:val="20"/>
          <w:color w:val="auto"/>
        </w:rPr>
      </w:pPr>
    </w:p>
    <w:p>
      <w:pPr>
        <w:ind w:left="122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/s/ Frank D. Yeary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-31750</wp:posOffset>
            </wp:positionV>
            <wp:extent cx="19532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Frank D. Yeary</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/s/ Saf Yeboah-Amankwah</w:t>
      </w:r>
    </w:p>
    <w:p>
      <w:pPr>
        <w:ind w:left="1220"/>
        <w:spacing w:after="0"/>
        <w:rPr>
          <w:sz w:val="20"/>
          <w:szCs w:val="20"/>
          <w:color w:val="auto"/>
        </w:rPr>
      </w:pPr>
      <w:r>
        <w:rPr>
          <w:rFonts w:ascii="Arial" w:cs="Arial" w:eastAsia="Arial" w:hAnsi="Arial"/>
          <w:sz w:val="35"/>
          <w:szCs w:val="3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-189230</wp:posOffset>
            </wp:positionV>
            <wp:extent cx="19532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rPr>
              <w:t>​ ​</w:t>
            </w:r>
          </w:p>
        </w:tc>
        <w:tc>
          <w:tcPr>
            <w:tcW w:w="3520" w:type="dxa"/>
            <w:vAlign w:val="bottom"/>
          </w:tcPr>
          <w:p>
            <w:pPr>
              <w:ind w:left="1620"/>
              <w:spacing w:after="0"/>
              <w:rPr>
                <w:sz w:val="20"/>
                <w:szCs w:val="20"/>
                <w:color w:val="auto"/>
              </w:rPr>
            </w:pPr>
            <w:r>
              <w:rPr>
                <w:rFonts w:ascii="Arial" w:cs="Arial" w:eastAsia="Arial" w:hAnsi="Arial"/>
                <w:sz w:val="14"/>
                <w:szCs w:val="14"/>
                <w:b w:val="1"/>
                <w:bCs w:val="1"/>
                <w:color w:val="auto"/>
              </w:rPr>
              <w:t>Title</w:t>
            </w:r>
          </w:p>
        </w:tc>
        <w:tc>
          <w:tcPr>
            <w:tcW w:w="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w:t>
            </w:r>
          </w:p>
        </w:tc>
        <w:tc>
          <w:tcPr>
            <w:tcW w:w="960" w:type="dxa"/>
            <w:vAlign w:val="bottom"/>
          </w:tcPr>
          <w:p>
            <w:pPr>
              <w:ind w:left="340"/>
              <w:spacing w:after="0"/>
              <w:rPr>
                <w:sz w:val="20"/>
                <w:szCs w:val="20"/>
                <w:color w:val="auto"/>
              </w:rPr>
            </w:pPr>
            <w:r>
              <w:rPr>
                <w:rFonts w:ascii="Arial" w:cs="Arial" w:eastAsia="Arial" w:hAnsi="Arial"/>
                <w:sz w:val="14"/>
                <w:szCs w:val="14"/>
                <w:b w:val="1"/>
                <w:bCs w:val="1"/>
                <w:color w:val="auto"/>
              </w:rPr>
              <w:t>Date</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7"/>
        </w:trPr>
        <w:tc>
          <w:tcPr>
            <w:tcW w:w="160" w:type="dxa"/>
            <w:vAlign w:val="bottom"/>
            <w:vMerge w:val="continue"/>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200" w:type="dxa"/>
            <w:vAlign w:val="bottom"/>
            <w:vMerge w:val="continue"/>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 ​</w:t>
            </w:r>
          </w:p>
        </w:tc>
        <w:tc>
          <w:tcPr>
            <w:tcW w:w="2100" w:type="dxa"/>
            <w:vAlign w:val="bottom"/>
          </w:tcPr>
          <w:p>
            <w:pPr>
              <w:spacing w:after="0"/>
              <w:rPr>
                <w:sz w:val="19"/>
                <w:szCs w:val="19"/>
                <w:color w:val="auto"/>
              </w:rPr>
            </w:pPr>
          </w:p>
        </w:tc>
        <w:tc>
          <w:tcPr>
            <w:tcW w:w="1460" w:type="dxa"/>
            <w:vAlign w:val="bottom"/>
          </w:tcPr>
          <w:p>
            <w:pPr>
              <w:jc w:val="right"/>
              <w:ind w:right="472"/>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80" w:type="dxa"/>
            <w:vAlign w:val="bottom"/>
          </w:tcPr>
          <w:p>
            <w:pPr>
              <w:spacing w:after="0"/>
              <w:rPr>
                <w:sz w:val="19"/>
                <w:szCs w:val="19"/>
                <w:color w:val="auto"/>
              </w:rPr>
            </w:pPr>
          </w:p>
        </w:tc>
        <w:tc>
          <w:tcPr>
            <w:tcW w:w="2100" w:type="dxa"/>
            <w:vAlign w:val="bottom"/>
          </w:tcPr>
          <w:p>
            <w:pPr>
              <w:ind w:left="740"/>
              <w:spacing w:after="0"/>
              <w:rPr>
                <w:sz w:val="20"/>
                <w:szCs w:val="20"/>
                <w:color w:val="auto"/>
              </w:rPr>
            </w:pPr>
            <w:r>
              <w:rPr>
                <w:rFonts w:ascii="Arial" w:cs="Arial" w:eastAsia="Arial" w:hAnsi="Arial"/>
                <w:sz w:val="18"/>
                <w:szCs w:val="18"/>
                <w:color w:val="auto"/>
              </w:rPr>
              <w:t>Director</w:t>
            </w:r>
          </w:p>
        </w:tc>
        <w:tc>
          <w:tcPr>
            <w:tcW w:w="1460" w:type="dxa"/>
            <w:vAlign w:val="bottom"/>
          </w:tcPr>
          <w:p>
            <w:pPr>
              <w:jc w:val="right"/>
              <w:spacing w:after="0"/>
              <w:rPr>
                <w:sz w:val="20"/>
                <w:szCs w:val="20"/>
                <w:color w:val="auto"/>
              </w:rPr>
            </w:pPr>
            <w:r>
              <w:rPr>
                <w:rFonts w:ascii="Arial" w:cs="Arial" w:eastAsia="Arial" w:hAnsi="Arial"/>
                <w:sz w:val="18"/>
                <w:szCs w:val="18"/>
                <w:color w:val="auto"/>
              </w:rPr>
              <w:t>June 5,</w:t>
            </w:r>
          </w:p>
        </w:tc>
        <w:tc>
          <w:tcPr>
            <w:tcW w:w="440" w:type="dxa"/>
            <w:vAlign w:val="bottom"/>
          </w:tcPr>
          <w:p>
            <w:pPr>
              <w:jc w:val="right"/>
              <w:spacing w:after="0"/>
              <w:rPr>
                <w:sz w:val="20"/>
                <w:szCs w:val="20"/>
                <w:color w:val="auto"/>
              </w:rPr>
            </w:pPr>
            <w:r>
              <w:rPr>
                <w:rFonts w:ascii="Arial" w:cs="Arial" w:eastAsia="Arial" w:hAnsi="Arial"/>
                <w:sz w:val="18"/>
                <w:szCs w:val="18"/>
                <w:color w:val="auto"/>
                <w:w w:val="89"/>
              </w:rPr>
              <w:t>2023</w:t>
            </w:r>
          </w:p>
        </w:tc>
      </w:tr>
      <w:tr>
        <w:trPr>
          <w:trHeight w:val="697"/>
        </w:trPr>
        <w:tc>
          <w:tcPr>
            <w:tcW w:w="880" w:type="dxa"/>
            <w:vAlign w:val="bottom"/>
          </w:tcPr>
          <w:p>
            <w:pPr>
              <w:spacing w:after="0"/>
              <w:rPr>
                <w:sz w:val="20"/>
                <w:szCs w:val="20"/>
                <w:color w:val="auto"/>
              </w:rPr>
            </w:pPr>
            <w:r>
              <w:rPr>
                <w:rFonts w:ascii="Arial" w:cs="Arial" w:eastAsia="Arial" w:hAnsi="Arial"/>
                <w:sz w:val="18"/>
                <w:szCs w:val="18"/>
                <w:color w:val="auto"/>
              </w:rPr>
              <w:t>​ ​</w:t>
            </w:r>
          </w:p>
        </w:tc>
        <w:tc>
          <w:tcPr>
            <w:tcW w:w="2100" w:type="dxa"/>
            <w:vAlign w:val="bottom"/>
          </w:tcPr>
          <w:p>
            <w:pPr>
              <w:ind w:left="740"/>
              <w:spacing w:after="0"/>
              <w:rPr>
                <w:sz w:val="20"/>
                <w:szCs w:val="20"/>
                <w:color w:val="auto"/>
              </w:rPr>
            </w:pPr>
            <w:r>
              <w:rPr>
                <w:rFonts w:ascii="Arial" w:cs="Arial" w:eastAsia="Arial" w:hAnsi="Arial"/>
                <w:sz w:val="18"/>
                <w:szCs w:val="18"/>
                <w:color w:val="auto"/>
              </w:rPr>
              <w:t>Director</w:t>
            </w:r>
          </w:p>
        </w:tc>
        <w:tc>
          <w:tcPr>
            <w:tcW w:w="1460" w:type="dxa"/>
            <w:vAlign w:val="bottom"/>
          </w:tcPr>
          <w:p>
            <w:pPr>
              <w:jc w:val="right"/>
              <w:spacing w:after="0"/>
              <w:rPr>
                <w:sz w:val="20"/>
                <w:szCs w:val="20"/>
                <w:color w:val="auto"/>
              </w:rPr>
            </w:pPr>
            <w:r>
              <w:rPr>
                <w:rFonts w:ascii="Arial" w:cs="Arial" w:eastAsia="Arial" w:hAnsi="Arial"/>
                <w:sz w:val="18"/>
                <w:szCs w:val="18"/>
                <w:color w:val="auto"/>
              </w:rPr>
              <w:t>​ ​June 5,</w:t>
            </w:r>
          </w:p>
        </w:tc>
        <w:tc>
          <w:tcPr>
            <w:tcW w:w="440" w:type="dxa"/>
            <w:vAlign w:val="bottom"/>
          </w:tcPr>
          <w:p>
            <w:pPr>
              <w:jc w:val="right"/>
              <w:spacing w:after="0"/>
              <w:rPr>
                <w:sz w:val="20"/>
                <w:szCs w:val="20"/>
                <w:color w:val="auto"/>
              </w:rPr>
            </w:pPr>
            <w:r>
              <w:rPr>
                <w:rFonts w:ascii="Arial" w:cs="Arial" w:eastAsia="Arial" w:hAnsi="Arial"/>
                <w:sz w:val="18"/>
                <w:szCs w:val="18"/>
                <w:color w:val="auto"/>
              </w:rPr>
              <w:t>2023​</w:t>
            </w:r>
          </w:p>
        </w:tc>
      </w:tr>
      <w:tr>
        <w:trPr>
          <w:trHeight w:val="789"/>
        </w:trPr>
        <w:tc>
          <w:tcPr>
            <w:tcW w:w="880" w:type="dxa"/>
            <w:vAlign w:val="bottom"/>
          </w:tcPr>
          <w:p>
            <w:pPr>
              <w:spacing w:after="0"/>
              <w:rPr>
                <w:sz w:val="20"/>
                <w:szCs w:val="20"/>
                <w:color w:val="auto"/>
              </w:rPr>
            </w:pPr>
            <w:r>
              <w:rPr>
                <w:rFonts w:ascii="Arial" w:cs="Arial" w:eastAsia="Arial" w:hAnsi="Arial"/>
                <w:sz w:val="18"/>
                <w:szCs w:val="18"/>
                <w:color w:val="auto"/>
              </w:rPr>
              <w:t>​ ​</w:t>
            </w:r>
          </w:p>
        </w:tc>
        <w:tc>
          <w:tcPr>
            <w:tcW w:w="2100" w:type="dxa"/>
            <w:vAlign w:val="bottom"/>
          </w:tcPr>
          <w:p>
            <w:pPr>
              <w:ind w:left="740"/>
              <w:spacing w:after="0"/>
              <w:rPr>
                <w:sz w:val="20"/>
                <w:szCs w:val="20"/>
                <w:color w:val="auto"/>
              </w:rPr>
            </w:pPr>
            <w:r>
              <w:rPr>
                <w:rFonts w:ascii="Arial" w:cs="Arial" w:eastAsia="Arial" w:hAnsi="Arial"/>
                <w:sz w:val="18"/>
                <w:szCs w:val="18"/>
                <w:color w:val="auto"/>
              </w:rPr>
              <w:t>Director</w:t>
            </w:r>
          </w:p>
        </w:tc>
        <w:tc>
          <w:tcPr>
            <w:tcW w:w="1460" w:type="dxa"/>
            <w:vAlign w:val="bottom"/>
          </w:tcPr>
          <w:p>
            <w:pPr>
              <w:jc w:val="right"/>
              <w:spacing w:after="0"/>
              <w:rPr>
                <w:sz w:val="20"/>
                <w:szCs w:val="20"/>
                <w:color w:val="auto"/>
              </w:rPr>
            </w:pPr>
            <w:r>
              <w:rPr>
                <w:rFonts w:ascii="Arial" w:cs="Arial" w:eastAsia="Arial" w:hAnsi="Arial"/>
                <w:sz w:val="18"/>
                <w:szCs w:val="18"/>
                <w:color w:val="auto"/>
              </w:rPr>
              <w:t>​ ​June 5,</w:t>
            </w:r>
          </w:p>
        </w:tc>
        <w:tc>
          <w:tcPr>
            <w:tcW w:w="440" w:type="dxa"/>
            <w:vAlign w:val="bottom"/>
          </w:tcPr>
          <w:p>
            <w:pPr>
              <w:jc w:val="right"/>
              <w:spacing w:after="0"/>
              <w:rPr>
                <w:sz w:val="20"/>
                <w:szCs w:val="20"/>
                <w:color w:val="auto"/>
              </w:rPr>
            </w:pPr>
            <w:r>
              <w:rPr>
                <w:rFonts w:ascii="Arial" w:cs="Arial" w:eastAsia="Arial" w:hAnsi="Arial"/>
                <w:sz w:val="18"/>
                <w:szCs w:val="18"/>
                <w:color w:val="auto"/>
              </w:rPr>
              <w:t>2023​</w:t>
            </w:r>
          </w:p>
        </w:tc>
      </w:tr>
      <w:tr>
        <w:trPr>
          <w:trHeight w:val="789"/>
        </w:trPr>
        <w:tc>
          <w:tcPr>
            <w:tcW w:w="880" w:type="dxa"/>
            <w:vAlign w:val="bottom"/>
          </w:tcPr>
          <w:p>
            <w:pPr>
              <w:spacing w:after="0"/>
              <w:rPr>
                <w:sz w:val="20"/>
                <w:szCs w:val="20"/>
                <w:color w:val="auto"/>
              </w:rPr>
            </w:pPr>
            <w:r>
              <w:rPr>
                <w:rFonts w:ascii="Arial" w:cs="Arial" w:eastAsia="Arial" w:hAnsi="Arial"/>
                <w:sz w:val="18"/>
                <w:szCs w:val="18"/>
                <w:color w:val="auto"/>
              </w:rPr>
              <w:t>​ ​</w:t>
            </w:r>
          </w:p>
        </w:tc>
        <w:tc>
          <w:tcPr>
            <w:tcW w:w="2100" w:type="dxa"/>
            <w:vAlign w:val="bottom"/>
          </w:tcPr>
          <w:p>
            <w:pPr>
              <w:ind w:left="740"/>
              <w:spacing w:after="0"/>
              <w:rPr>
                <w:sz w:val="20"/>
                <w:szCs w:val="20"/>
                <w:color w:val="auto"/>
              </w:rPr>
            </w:pPr>
            <w:r>
              <w:rPr>
                <w:rFonts w:ascii="Arial" w:cs="Arial" w:eastAsia="Arial" w:hAnsi="Arial"/>
                <w:sz w:val="18"/>
                <w:szCs w:val="18"/>
                <w:color w:val="auto"/>
              </w:rPr>
              <w:t>Director</w:t>
            </w:r>
          </w:p>
        </w:tc>
        <w:tc>
          <w:tcPr>
            <w:tcW w:w="1460" w:type="dxa"/>
            <w:vAlign w:val="bottom"/>
          </w:tcPr>
          <w:p>
            <w:pPr>
              <w:jc w:val="right"/>
              <w:spacing w:after="0"/>
              <w:rPr>
                <w:sz w:val="20"/>
                <w:szCs w:val="20"/>
                <w:color w:val="auto"/>
              </w:rPr>
            </w:pPr>
            <w:r>
              <w:rPr>
                <w:rFonts w:ascii="Arial" w:cs="Arial" w:eastAsia="Arial" w:hAnsi="Arial"/>
                <w:sz w:val="18"/>
                <w:szCs w:val="18"/>
                <w:color w:val="auto"/>
              </w:rPr>
              <w:t>​ ​June 5,</w:t>
            </w:r>
          </w:p>
        </w:tc>
        <w:tc>
          <w:tcPr>
            <w:tcW w:w="440" w:type="dxa"/>
            <w:vAlign w:val="bottom"/>
          </w:tcPr>
          <w:p>
            <w:pPr>
              <w:jc w:val="right"/>
              <w:spacing w:after="0"/>
              <w:rPr>
                <w:sz w:val="20"/>
                <w:szCs w:val="20"/>
                <w:color w:val="auto"/>
              </w:rPr>
            </w:pPr>
            <w:r>
              <w:rPr>
                <w:rFonts w:ascii="Arial" w:cs="Arial" w:eastAsia="Arial" w:hAnsi="Arial"/>
                <w:sz w:val="18"/>
                <w:szCs w:val="18"/>
                <w:color w:val="auto"/>
              </w:rPr>
              <w:t>2023​</w:t>
            </w:r>
          </w:p>
        </w:tc>
      </w:tr>
      <w:tr>
        <w:trPr>
          <w:trHeight w:val="762"/>
        </w:trPr>
        <w:tc>
          <w:tcPr>
            <w:tcW w:w="880" w:type="dxa"/>
            <w:vAlign w:val="bottom"/>
          </w:tcPr>
          <w:p>
            <w:pPr>
              <w:spacing w:after="0"/>
              <w:rPr>
                <w:sz w:val="20"/>
                <w:szCs w:val="20"/>
                <w:color w:val="auto"/>
              </w:rPr>
            </w:pPr>
            <w:r>
              <w:rPr>
                <w:rFonts w:ascii="Arial" w:cs="Arial" w:eastAsia="Arial" w:hAnsi="Arial"/>
                <w:sz w:val="18"/>
                <w:szCs w:val="18"/>
                <w:color w:val="auto"/>
              </w:rPr>
              <w:t>​ ​</w:t>
            </w:r>
          </w:p>
        </w:tc>
        <w:tc>
          <w:tcPr>
            <w:tcW w:w="2100" w:type="dxa"/>
            <w:vAlign w:val="bottom"/>
          </w:tcPr>
          <w:p>
            <w:pPr>
              <w:ind w:left="740"/>
              <w:spacing w:after="0"/>
              <w:rPr>
                <w:sz w:val="20"/>
                <w:szCs w:val="20"/>
                <w:color w:val="auto"/>
              </w:rPr>
            </w:pPr>
            <w:r>
              <w:rPr>
                <w:rFonts w:ascii="Arial" w:cs="Arial" w:eastAsia="Arial" w:hAnsi="Arial"/>
                <w:sz w:val="18"/>
                <w:szCs w:val="18"/>
                <w:color w:val="auto"/>
              </w:rPr>
              <w:t>Director</w:t>
            </w:r>
          </w:p>
        </w:tc>
        <w:tc>
          <w:tcPr>
            <w:tcW w:w="1460" w:type="dxa"/>
            <w:vAlign w:val="bottom"/>
          </w:tcPr>
          <w:p>
            <w:pPr>
              <w:jc w:val="right"/>
              <w:spacing w:after="0"/>
              <w:rPr>
                <w:sz w:val="20"/>
                <w:szCs w:val="20"/>
                <w:color w:val="auto"/>
              </w:rPr>
            </w:pPr>
            <w:r>
              <w:rPr>
                <w:rFonts w:ascii="Arial" w:cs="Arial" w:eastAsia="Arial" w:hAnsi="Arial"/>
                <w:sz w:val="18"/>
                <w:szCs w:val="18"/>
                <w:color w:val="auto"/>
              </w:rPr>
              <w:t>​ ​June 5,</w:t>
            </w:r>
          </w:p>
        </w:tc>
        <w:tc>
          <w:tcPr>
            <w:tcW w:w="440" w:type="dxa"/>
            <w:vAlign w:val="bottom"/>
          </w:tcPr>
          <w:p>
            <w:pPr>
              <w:jc w:val="right"/>
              <w:spacing w:after="0"/>
              <w:rPr>
                <w:sz w:val="20"/>
                <w:szCs w:val="20"/>
                <w:color w:val="auto"/>
              </w:rPr>
            </w:pPr>
            <w:r>
              <w:rPr>
                <w:rFonts w:ascii="Arial" w:cs="Arial" w:eastAsia="Arial" w:hAnsi="Arial"/>
                <w:sz w:val="18"/>
                <w:szCs w:val="18"/>
                <w:color w:val="auto"/>
              </w:rPr>
              <w:t>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247650</wp:posOffset>
            </wp:positionV>
            <wp:extent cx="664400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6644005" cy="41910"/>
                    </a:xfrm>
                    <a:prstGeom prst="rect">
                      <a:avLst/>
                    </a:prstGeom>
                    <a:noFill/>
                  </pic:spPr>
                </pic:pic>
              </a:graphicData>
            </a:graphic>
          </wp:anchor>
        </w:drawing>
      </w:r>
    </w:p>
    <w:p>
      <w:pPr>
        <w:sectPr>
          <w:pgSz w:w="11900" w:h="16838" w:orient="portrait"/>
          <w:cols w:equalWidth="0" w:num="2">
            <w:col w:w="3660" w:space="720"/>
            <w:col w:w="5359"/>
          </w:cols>
          <w:pgMar w:left="720" w:top="90"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214" w:lineRule="exact"/>
        <w:rPr>
          <w:sz w:val="20"/>
          <w:szCs w:val="20"/>
          <w:color w:val="auto"/>
        </w:rPr>
      </w:pPr>
    </w:p>
    <w:p>
      <w:pPr>
        <w:ind w:left="4720" w:right="4280" w:hanging="439"/>
        <w:spacing w:after="0" w:line="827" w:lineRule="auto"/>
        <w:tabs>
          <w:tab w:leader="none" w:pos="4498"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shares of Class A Common Stock </w:t>
      </w:r>
      <w:r>
        <w:rPr>
          <w:rFonts w:ascii="Arial" w:cs="Arial" w:eastAsia="Arial" w:hAnsi="Arial"/>
          <w:sz w:val="15"/>
          <w:szCs w:val="15"/>
          <w:b w:val="1"/>
          <w:bCs w:val="1"/>
          <w:i w:val="1"/>
          <w:iCs w:val="1"/>
          <w:u w:val="single" w:color="auto"/>
          <w:color w:val="auto"/>
        </w:rPr>
        <w:t>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-441960</wp:posOffset>
            </wp:positionV>
            <wp:extent cx="3587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358775" cy="8255"/>
                    </a:xfrm>
                    <a:prstGeom prst="rect">
                      <a:avLst/>
                    </a:prstGeom>
                    <a:noFill/>
                  </pic:spPr>
                </pic:pic>
              </a:graphicData>
            </a:graphic>
          </wp:anchor>
        </w:drawing>
      </w:r>
    </w:p>
    <w:p>
      <w:pPr>
        <w:ind w:left="10260"/>
        <w:spacing w:after="0"/>
        <w:rPr>
          <w:sz w:val="20"/>
          <w:szCs w:val="20"/>
          <w:color w:val="auto"/>
        </w:rPr>
      </w:pPr>
      <w:r>
        <w:rPr>
          <w:rFonts w:ascii="Arial" w:cs="Arial" w:eastAsia="Arial" w:hAnsi="Arial"/>
          <w:sz w:val="15"/>
          <w:szCs w:val="15"/>
          <w:color w:val="auto"/>
        </w:rPr>
        <w:t>June [•],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As representatives (the “Representatives” or “you”) of the several Underwriters named in Schedule I hereto,</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10282-2198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4" w:lineRule="exact"/>
        <w:rPr>
          <w:sz w:val="20"/>
          <w:szCs w:val="20"/>
          <w:color w:val="auto"/>
        </w:rPr>
      </w:pPr>
    </w:p>
    <w:p>
      <w:pPr>
        <w:jc w:val="both"/>
        <w:ind w:firstLine="631"/>
        <w:spacing w:after="0" w:line="248" w:lineRule="auto"/>
        <w:rPr>
          <w:sz w:val="20"/>
          <w:szCs w:val="20"/>
          <w:color w:val="auto"/>
        </w:rPr>
      </w:pPr>
      <w:r>
        <w:rPr>
          <w:rFonts w:ascii="Arial" w:cs="Arial" w:eastAsia="Arial" w:hAnsi="Arial"/>
          <w:sz w:val="18"/>
          <w:szCs w:val="18"/>
          <w:color w:val="auto"/>
        </w:rPr>
        <w:t>The stockholder named in Schedule II hereto (the “Selling Stockholder”) of Mobileye Global Inc., a Delaware corporation (the “Company”), proposes, subject to the terms and conditions stated in this agreement (this “Agreement”), to sell to the Underwriters named in Schedule I hereto (the “Underwriters”) an aggregate of [•] shares (the “Firm Shares”) and, at the election of the Underwriters, up to [•] additional shares (the “Optional Shares”) of Class A common stock, par value $0.01 per share (“Stock”) of the Company. The Firm Shares and the Optional Shares that the Underwriters elect to purchase pursuant to Section 3 hereof are herein collectively called the “Shares.”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010000"/>
        </w:rPr>
        <w:t>1.            </w:t>
      </w:r>
      <w:r>
        <w:rPr>
          <w:rFonts w:ascii="Arial" w:cs="Arial" w:eastAsia="Arial" w:hAnsi="Arial"/>
          <w:sz w:val="18"/>
          <w:szCs w:val="18"/>
          <w:color w:val="000000"/>
        </w:rPr>
        <w:t>The Company represents and warrants to, and agrees with, each of the Underwriters that:</w:t>
      </w:r>
    </w:p>
    <w:p>
      <w:pPr>
        <w:spacing w:after="0" w:line="214" w:lineRule="exact"/>
        <w:rPr>
          <w:sz w:val="20"/>
          <w:szCs w:val="20"/>
          <w:color w:val="auto"/>
        </w:rPr>
      </w:pPr>
    </w:p>
    <w:p>
      <w:pPr>
        <w:jc w:val="both"/>
        <w:ind w:left="640" w:firstLine="631"/>
        <w:spacing w:after="0" w:line="284" w:lineRule="auto"/>
        <w:rPr>
          <w:sz w:val="20"/>
          <w:szCs w:val="20"/>
          <w:color w:val="auto"/>
        </w:rPr>
      </w:pPr>
      <w:r>
        <w:rPr>
          <w:rFonts w:ascii="Arial" w:cs="Arial" w:eastAsia="Arial" w:hAnsi="Arial"/>
          <w:sz w:val="16"/>
          <w:szCs w:val="16"/>
          <w:color w:val="010000"/>
        </w:rPr>
        <w:t>(a)            </w:t>
      </w:r>
      <w:r>
        <w:rPr>
          <w:rFonts w:ascii="Arial" w:cs="Arial" w:eastAsia="Arial" w:hAnsi="Arial"/>
          <w:sz w:val="16"/>
          <w:szCs w:val="16"/>
          <w:color w:val="000000"/>
        </w:rPr>
        <w:t>A registration statement on Form S-1 (File No. 333-[•]) (the “Initial Registration Statement”) in respect of the Shares has been filed</w:t>
      </w:r>
      <w:r>
        <w:rPr>
          <w:rFonts w:ascii="Arial" w:cs="Arial" w:eastAsia="Arial" w:hAnsi="Arial"/>
          <w:sz w:val="16"/>
          <w:szCs w:val="16"/>
          <w:color w:val="010000"/>
        </w:rPr>
        <w:t xml:space="preserve"> </w:t>
      </w:r>
      <w:r>
        <w:rPr>
          <w:rFonts w:ascii="Arial" w:cs="Arial" w:eastAsia="Arial" w:hAnsi="Arial"/>
          <w:sz w:val="16"/>
          <w:szCs w:val="16"/>
          <w:color w:val="000000"/>
        </w:rPr>
        <w:t>with the Securities and Exchange Commission (the “Commission”); the Initial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or document incorporated by reference in the prospectus contained therein has been filed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1361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6"/>
          <w:szCs w:val="16"/>
          <w:color w:val="auto"/>
        </w:rPr>
        <w:t>the Commission; and no stop order suspending the effectiveness of the Initial Registration Statement, any post-effective amendment thereto or the Rule 462(b) Registration Statement, if any, has been issued and no proceeding for that purpose or pursuant to Section 8A of the Act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6(a)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and such final prospectus, in the form first filed pursuant to Rule 424(b) under the Act, is hereinafter called the “Prospectus”; any oral or written communication with potential investors undertaken in reliance on Rule 163B under the Act is hereinafter called a “Testing-the-Waters Communication”; and any Testing-the-Waters Communication that is a written communication within the meaning of Rule 405 under the Act is hereinafter called a “Written Testing-the-Waters Communication”; any “issuer free writing prospectus” as defined in Rule 433 under the Act relating to the Shares is hereinafter called an “Issuer Free Writing Prospectus”); and any reference herein to any Preliminary Prospectus, the Pricing Prospectus or the Prospectus shall be deemed to refer to and include the documents incorporated by reference therein pursuant to Item 12 of Form S–1 under the Act, as of the date of such prospectus;</w:t>
      </w:r>
    </w:p>
    <w:p>
      <w:pPr>
        <w:spacing w:after="0" w:line="175"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color w:val="000000"/>
        </w:rPr>
        <w:t>(A) No order preventing or suspending the use of any Preliminary Prospectus or any Issuer Free Writing Prospectus has been issued</w:t>
      </w:r>
      <w:r>
        <w:rPr>
          <w:rFonts w:ascii="Arial" w:cs="Arial" w:eastAsia="Arial" w:hAnsi="Arial"/>
          <w:sz w:val="16"/>
          <w:szCs w:val="16"/>
          <w:color w:val="010000"/>
        </w:rPr>
        <w:t xml:space="preserve"> </w:t>
      </w:r>
      <w:r>
        <w:rPr>
          <w:rFonts w:ascii="Arial" w:cs="Arial" w:eastAsia="Arial" w:hAnsi="Arial"/>
          <w:sz w:val="16"/>
          <w:szCs w:val="16"/>
          <w:color w:val="000000"/>
        </w:rPr>
        <w:t xml:space="preserve">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6"/>
          <w:szCs w:val="16"/>
          <w:i w:val="1"/>
          <w:iCs w:val="1"/>
          <w:color w:val="000000"/>
        </w:rPr>
        <w:t>provided, however</w:t>
      </w:r>
      <w:r>
        <w:rPr>
          <w:rFonts w:ascii="Arial" w:cs="Arial" w:eastAsia="Arial" w:hAnsi="Arial"/>
          <w:sz w:val="16"/>
          <w:szCs w:val="16"/>
          <w:color w:val="000000"/>
        </w:rPr>
        <w:t>, that this representation and warranty shall not apply to any statements or omissions made in reliance upon and in conformity with the Underwriter Information (as defined in Section 10 of this Agreement);</w:t>
      </w:r>
    </w:p>
    <w:p>
      <w:pPr>
        <w:spacing w:after="0" w:line="166"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auto"/>
        </w:rPr>
        <w:t>(c)            For the purposes of this Agreement, the “Applicable Time” is [•]:[•]p.m. (New York City time) on the date of this Agreement. The Pricing Prospectus, as supplemented by the information listed on Schedule III(c) hereto, taken together (collectively, the “Pricing Disclosure Package”), as of the Applicable Time, did not, and as of each Time of Delivery (as defined in Section 5(a)‎ hereof)</w:t>
      </w:r>
    </w:p>
    <w:p>
      <w:pPr>
        <w:spacing w:after="0" w:line="36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10160</wp:posOffset>
            </wp:positionV>
            <wp:extent cx="71361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0"/>
          </w:cols>
          <w:pgMar w:left="960" w:top="889" w:right="339" w:bottom="1440" w:gutter="0" w:footer="0" w:header="0"/>
        </w:sectPr>
      </w:pPr>
    </w:p>
    <w:bookmarkStart w:id="42" w:name="page43"/>
    <w:bookmarkEnd w:id="42"/>
    <w:p>
      <w:pPr>
        <w:jc w:val="both"/>
        <w:spacing w:after="0" w:line="281" w:lineRule="auto"/>
        <w:rPr>
          <w:sz w:val="20"/>
          <w:szCs w:val="20"/>
          <w:color w:val="auto"/>
        </w:rPr>
      </w:pPr>
      <w:r>
        <w:rPr>
          <w:rFonts w:ascii="Arial" w:cs="Arial" w:eastAsia="Arial" w:hAnsi="Arial"/>
          <w:sz w:val="16"/>
          <w:szCs w:val="16"/>
          <w:color w:val="auto"/>
        </w:rPr>
        <w:t xml:space="preserve">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representation and warranty shall not apply to statements or omissions made in reliance upon and in conformity with the Underwriter Information;</w:t>
      </w:r>
    </w:p>
    <w:p>
      <w:pPr>
        <w:spacing w:after="0" w:line="169"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010000"/>
        </w:rPr>
        <w:t>(d)            </w:t>
      </w:r>
      <w:r>
        <w:rPr>
          <w:rFonts w:ascii="Arial" w:cs="Arial" w:eastAsia="Arial" w:hAnsi="Arial"/>
          <w:sz w:val="16"/>
          <w:szCs w:val="16"/>
          <w:color w:val="000000"/>
        </w:rPr>
        <w:t>The documents incorporated by reference in the Pricing Prospectus and the Prospectus, when they were filed with the Commission,</w:t>
      </w:r>
      <w:r>
        <w:rPr>
          <w:rFonts w:ascii="Arial" w:cs="Arial" w:eastAsia="Arial" w:hAnsi="Arial"/>
          <w:sz w:val="16"/>
          <w:szCs w:val="16"/>
          <w:color w:val="010000"/>
        </w:rPr>
        <w:t xml:space="preserve"> </w:t>
      </w:r>
      <w:r>
        <w:rPr>
          <w:rFonts w:ascii="Arial" w:cs="Arial" w:eastAsia="Arial" w:hAnsi="Arial"/>
          <w:sz w:val="16"/>
          <w:szCs w:val="16"/>
          <w:color w:val="000000"/>
        </w:rPr>
        <w:t>conformed in all material respects to the requirements of the Securities Exchange Act of 1934, as amended (the “Exchange Act”) and the rules and regulations of the Commission thereunder, and none of such documents contained an untrue statement of a material fact or omitted to state a material fact required to be stated therein or necessary to make the statements therein not misleading; and no such or any other documents were filed with the Commission since the Commission’s close of business on the business day immediately prior to the date of this Agreement and prior to the execution of this Agreement, except as set forth on Schedule III(b) hereto;</w:t>
      </w:r>
    </w:p>
    <w:p>
      <w:pPr>
        <w:spacing w:after="0" w:line="166"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010000"/>
        </w:rPr>
        <w:t>(e)            </w:t>
      </w:r>
      <w:r>
        <w:rPr>
          <w:rFonts w:ascii="Arial" w:cs="Arial" w:eastAsia="Arial" w:hAnsi="Arial"/>
          <w:sz w:val="16"/>
          <w:szCs w:val="16"/>
          <w:color w:val="000000"/>
        </w:rPr>
        <w:t>The Registration Statement conforms, and the Prospectus and any further amendments or supplements to the Registration Statement</w:t>
      </w:r>
      <w:r>
        <w:rPr>
          <w:rFonts w:ascii="Arial" w:cs="Arial" w:eastAsia="Arial" w:hAnsi="Arial"/>
          <w:sz w:val="16"/>
          <w:szCs w:val="16"/>
          <w:color w:val="010000"/>
        </w:rPr>
        <w:t xml:space="preserve"> </w:t>
      </w:r>
      <w:r>
        <w:rPr>
          <w:rFonts w:ascii="Arial" w:cs="Arial" w:eastAsia="Arial" w:hAnsi="Arial"/>
          <w:sz w:val="16"/>
          <w:szCs w:val="16"/>
          <w:color w:val="000000"/>
        </w:rPr>
        <w:t xml:space="preserve">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w:t>
      </w:r>
      <w:r>
        <w:rPr>
          <w:rFonts w:ascii="Arial" w:cs="Arial" w:eastAsia="Arial" w:hAnsi="Arial"/>
          <w:sz w:val="16"/>
          <w:szCs w:val="16"/>
          <w:i w:val="1"/>
          <w:iCs w:val="1"/>
          <w:color w:val="000000"/>
        </w:rPr>
        <w:t>provided, however</w:t>
      </w:r>
      <w:r>
        <w:rPr>
          <w:rFonts w:ascii="Arial" w:cs="Arial" w:eastAsia="Arial" w:hAnsi="Arial"/>
          <w:sz w:val="16"/>
          <w:szCs w:val="16"/>
          <w:color w:val="000000"/>
        </w:rPr>
        <w:t>, that this representation and warranty shall not apply to any statements or omissions made in reliance upon and in conformity with the Underwriter Information;</w:t>
      </w:r>
    </w:p>
    <w:p>
      <w:pPr>
        <w:spacing w:after="0" w:line="166" w:lineRule="exact"/>
        <w:rPr>
          <w:sz w:val="20"/>
          <w:szCs w:val="20"/>
          <w:color w:val="auto"/>
        </w:rPr>
      </w:pPr>
    </w:p>
    <w:p>
      <w:pPr>
        <w:jc w:val="both"/>
        <w:ind w:firstLine="631"/>
        <w:spacing w:after="0" w:line="286" w:lineRule="auto"/>
        <w:rPr>
          <w:sz w:val="20"/>
          <w:szCs w:val="20"/>
          <w:color w:val="auto"/>
        </w:rPr>
      </w:pPr>
      <w:r>
        <w:rPr>
          <w:rFonts w:ascii="Arial" w:cs="Arial" w:eastAsia="Arial" w:hAnsi="Arial"/>
          <w:sz w:val="16"/>
          <w:szCs w:val="16"/>
          <w:color w:val="010000"/>
        </w:rPr>
        <w:t>(f)            </w:t>
      </w:r>
      <w:r>
        <w:rPr>
          <w:rFonts w:ascii="Arial" w:cs="Arial" w:eastAsia="Arial" w:hAnsi="Arial"/>
          <w:sz w:val="16"/>
          <w:szCs w:val="16"/>
          <w:color w:val="000000"/>
        </w:rPr>
        <w:t>Neither the Company nor any of its subsidiaries has, since the date of the latest audited financial statements included or incorporated</w:t>
      </w:r>
      <w:r>
        <w:rPr>
          <w:rFonts w:ascii="Arial" w:cs="Arial" w:eastAsia="Arial" w:hAnsi="Arial"/>
          <w:sz w:val="16"/>
          <w:szCs w:val="16"/>
          <w:color w:val="010000"/>
        </w:rPr>
        <w:t xml:space="preserve"> </w:t>
      </w:r>
      <w:r>
        <w:rPr>
          <w:rFonts w:ascii="Arial" w:cs="Arial" w:eastAsia="Arial" w:hAnsi="Arial"/>
          <w:sz w:val="16"/>
          <w:szCs w:val="16"/>
          <w:color w:val="000000"/>
        </w:rPr>
        <w:t>by reference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w:t>
      </w:r>
    </w:p>
    <w:p>
      <w:pPr>
        <w:spacing w:after="0" w:line="37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10160</wp:posOffset>
            </wp:positionV>
            <wp:extent cx="71361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0"/>
          </w:cols>
          <w:pgMar w:left="960" w:top="889" w:right="339" w:bottom="1440" w:gutter="0" w:footer="0" w:header="0"/>
        </w:sectPr>
      </w:pPr>
    </w:p>
    <w:bookmarkStart w:id="43" w:name="page44"/>
    <w:bookmarkEnd w:id="43"/>
    <w:p>
      <w:pPr>
        <w:jc w:val="both"/>
        <w:spacing w:after="0" w:line="279" w:lineRule="auto"/>
        <w:rPr>
          <w:sz w:val="20"/>
          <w:szCs w:val="20"/>
          <w:color w:val="auto"/>
        </w:rPr>
      </w:pPr>
      <w:r>
        <w:rPr>
          <w:rFonts w:ascii="Arial" w:cs="Arial" w:eastAsia="Arial" w:hAnsi="Arial"/>
          <w:sz w:val="16"/>
          <w:szCs w:val="16"/>
          <w:color w:val="auto"/>
        </w:rPr>
        <w:t>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Pricing Prospectus and the Prospectus or (ii) the issuance, if any, of stock upon conversion of Company securities as described in the Pricing Prospectus and the Prospectus) or long-term or short-term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and its subsidiaries, taken as a whole, except as set forth or contemplated in the Pricing Prospectus, or (ii) the ability of the Company to perform its obligations under this Agreement or to consummate the transactions contemplated in the Pricing Prospectus and the Prospectus;</w:t>
      </w:r>
    </w:p>
    <w:p>
      <w:pPr>
        <w:spacing w:after="0" w:line="174" w:lineRule="exact"/>
        <w:rPr>
          <w:sz w:val="20"/>
          <w:szCs w:val="20"/>
          <w:color w:val="auto"/>
        </w:rPr>
      </w:pPr>
    </w:p>
    <w:p>
      <w:pPr>
        <w:jc w:val="both"/>
        <w:ind w:firstLine="631"/>
        <w:spacing w:after="0" w:line="282" w:lineRule="auto"/>
        <w:rPr>
          <w:sz w:val="20"/>
          <w:szCs w:val="20"/>
          <w:color w:val="auto"/>
        </w:rPr>
      </w:pPr>
      <w:r>
        <w:rPr>
          <w:rFonts w:ascii="Arial" w:cs="Arial" w:eastAsia="Arial" w:hAnsi="Arial"/>
          <w:sz w:val="16"/>
          <w:szCs w:val="16"/>
          <w:color w:val="010000"/>
        </w:rPr>
        <w:t>(g)            </w:t>
      </w:r>
      <w:r>
        <w:rPr>
          <w:rFonts w:ascii="Arial" w:cs="Arial" w:eastAsia="Arial" w:hAnsi="Arial"/>
          <w:sz w:val="16"/>
          <w:szCs w:val="16"/>
          <w:color w:val="000000"/>
        </w:rPr>
        <w:t>The Company and its subsidiaries have good and marketable title in fee simple to all real property and good and marketable title to</w:t>
      </w:r>
      <w:r>
        <w:rPr>
          <w:rFonts w:ascii="Arial" w:cs="Arial" w:eastAsia="Arial" w:hAnsi="Arial"/>
          <w:sz w:val="16"/>
          <w:szCs w:val="16"/>
          <w:color w:val="010000"/>
        </w:rPr>
        <w:t xml:space="preserve"> </w:t>
      </w:r>
      <w:r>
        <w:rPr>
          <w:rFonts w:ascii="Arial" w:cs="Arial" w:eastAsia="Arial" w:hAnsi="Arial"/>
          <w:sz w:val="16"/>
          <w:szCs w:val="16"/>
          <w:color w:val="000000"/>
        </w:rPr>
        <w:t>all personal property owned by them (other than with respect to Intellectual Property, title to which is addressed exclusively in subsection (z) hereof),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to their knowledge, under valid, subsisting and enforceable leases with such exceptions as are not material and do not materially interfere with the use made and proposed to be made of such property and buildings by the Company and its subsidiaries;</w:t>
      </w:r>
    </w:p>
    <w:p>
      <w:pPr>
        <w:spacing w:after="0" w:line="169" w:lineRule="exact"/>
        <w:rPr>
          <w:sz w:val="20"/>
          <w:szCs w:val="20"/>
          <w:color w:val="auto"/>
        </w:rPr>
      </w:pPr>
    </w:p>
    <w:p>
      <w:pPr>
        <w:jc w:val="both"/>
        <w:ind w:firstLine="631"/>
        <w:spacing w:after="0" w:line="280" w:lineRule="auto"/>
        <w:rPr>
          <w:sz w:val="20"/>
          <w:szCs w:val="20"/>
          <w:color w:val="auto"/>
        </w:rPr>
      </w:pPr>
      <w:r>
        <w:rPr>
          <w:rFonts w:ascii="Arial" w:cs="Arial" w:eastAsia="Arial" w:hAnsi="Arial"/>
          <w:sz w:val="16"/>
          <w:szCs w:val="16"/>
          <w:color w:val="010000"/>
        </w:rPr>
        <w:t>(h)            </w:t>
      </w:r>
      <w:r>
        <w:rPr>
          <w:rFonts w:ascii="Arial" w:cs="Arial" w:eastAsia="Arial" w:hAnsi="Arial"/>
          <w:sz w:val="16"/>
          <w:szCs w:val="16"/>
          <w:color w:val="000000"/>
        </w:rPr>
        <w:t>The Company has been (i) duly incorporated and is validly existing as a corporation and in good standing under the laws of the State</w:t>
      </w:r>
      <w:r>
        <w:rPr>
          <w:rFonts w:ascii="Arial" w:cs="Arial" w:eastAsia="Arial" w:hAnsi="Arial"/>
          <w:sz w:val="16"/>
          <w:szCs w:val="16"/>
          <w:color w:val="010000"/>
        </w:rPr>
        <w:t xml:space="preserve"> </w:t>
      </w:r>
      <w:r>
        <w:rPr>
          <w:rFonts w:ascii="Arial" w:cs="Arial" w:eastAsia="Arial" w:hAnsi="Arial"/>
          <w:sz w:val="16"/>
          <w:szCs w:val="16"/>
          <w:color w:val="000000"/>
        </w:rPr>
        <w:t>of Delaware, with corporate power and authority to own its properties and conduct its business as described in the Pricing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that is a “significant subsidiary” (as such term is defined in Rule 1-02 of Regulation S-X promulgated under the Act) (each a “significant subsidiary”) has been (x) duly incorporated or organized and is validly existing as a corporation or other business organization in good standing under the laws of its jurisdiction of incorporation, formation or organization, as applicable, to the extent the concept of “good standing” is applicable under the laws of such jurisdiction, and (y) duly qualified as a foreign corporation or other business organization for the transaction</w:t>
      </w:r>
    </w:p>
    <w:p>
      <w:pPr>
        <w:spacing w:after="0" w:line="38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10160</wp:posOffset>
            </wp:positionV>
            <wp:extent cx="71361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0"/>
          </w:cols>
          <w:pgMar w:left="960" w:top="890" w:right="339" w:bottom="1440" w:gutter="0" w:footer="0" w:header="0"/>
        </w:sectPr>
      </w:pPr>
    </w:p>
    <w:bookmarkStart w:id="44" w:name="page45"/>
    <w:bookmarkEnd w:id="44"/>
    <w:p>
      <w:pPr>
        <w:jc w:val="both"/>
        <w:spacing w:after="0" w:line="248" w:lineRule="auto"/>
        <w:rPr>
          <w:sz w:val="20"/>
          <w:szCs w:val="20"/>
          <w:color w:val="auto"/>
        </w:rPr>
      </w:pPr>
      <w:r>
        <w:rPr>
          <w:rFonts w:ascii="Arial" w:cs="Arial" w:eastAsia="Arial" w:hAnsi="Arial"/>
          <w:sz w:val="18"/>
          <w:szCs w:val="18"/>
          <w:color w:val="auto"/>
        </w:rPr>
        <w:t>of business and is in good standing (or the foreign equivalent, to the extent such concept exists) under the laws of each other jurisdiction in which it owns or leases properties or conducts any business so as to require such qualification, except, in the case of this clause (y), where the failure to be so qualified or in good standing would not, individually or in the aggregate, reasonably be expected to have a Material Adverse Effect; and each subsidiary of the Company required to be listed in the Registration Statement under Item 601(b)(21) of Regulation S-K has been listed in the Registration Statement;</w:t>
      </w:r>
    </w:p>
    <w:p>
      <w:pPr>
        <w:spacing w:after="0" w:line="192" w:lineRule="exact"/>
        <w:rPr>
          <w:sz w:val="20"/>
          <w:szCs w:val="20"/>
          <w:color w:val="auto"/>
        </w:rPr>
      </w:pPr>
    </w:p>
    <w:p>
      <w:pPr>
        <w:jc w:val="both"/>
        <w:ind w:firstLine="631"/>
        <w:spacing w:after="0" w:line="247" w:lineRule="auto"/>
        <w:rPr>
          <w:sz w:val="20"/>
          <w:szCs w:val="20"/>
          <w:color w:val="auto"/>
        </w:rPr>
      </w:pPr>
      <w:r>
        <w:rPr>
          <w:rFonts w:ascii="Arial" w:cs="Arial" w:eastAsia="Arial" w:hAnsi="Arial"/>
          <w:sz w:val="18"/>
          <w:szCs w:val="18"/>
          <w:color w:val="010000"/>
        </w:rPr>
        <w:t>(i)            </w:t>
      </w:r>
      <w:r>
        <w:rPr>
          <w:rFonts w:ascii="Arial" w:cs="Arial" w:eastAsia="Arial" w:hAnsi="Arial"/>
          <w:sz w:val="18"/>
          <w:szCs w:val="18"/>
          <w:color w:val="000000"/>
        </w:rPr>
        <w:t>The Company has an authorized capitalization as set forth in the Pricing Prospectus and all of the issued shares of capital stock of the</w:t>
      </w:r>
      <w:r>
        <w:rPr>
          <w:rFonts w:ascii="Arial" w:cs="Arial" w:eastAsia="Arial" w:hAnsi="Arial"/>
          <w:sz w:val="18"/>
          <w:szCs w:val="18"/>
          <w:color w:val="010000"/>
        </w:rPr>
        <w:t xml:space="preserve"> </w:t>
      </w:r>
      <w:r>
        <w:rPr>
          <w:rFonts w:ascii="Arial" w:cs="Arial" w:eastAsia="Arial" w:hAnsi="Arial"/>
          <w:sz w:val="18"/>
          <w:szCs w:val="18"/>
          <w:color w:val="000000"/>
        </w:rPr>
        <w:t>Company have been duly and validly authorized and issued and are fully paid and non-assessable and conform in all material respects to the description of the Stock contained in the Pricing Disclosure Package and Prospectus; and all of the issued shares of capital stock or other equity interests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w:t>
      </w:r>
    </w:p>
    <w:p>
      <w:pPr>
        <w:spacing w:after="0" w:line="194"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010000"/>
        </w:rPr>
        <w:t>(j)            </w:t>
      </w:r>
      <w:r>
        <w:rPr>
          <w:rFonts w:ascii="Arial" w:cs="Arial" w:eastAsia="Arial" w:hAnsi="Arial"/>
          <w:sz w:val="18"/>
          <w:szCs w:val="18"/>
          <w:color w:val="000000"/>
        </w:rPr>
        <w:t>The Shares to be issued by the Company to the Selling Stockholder upon conversion of the Class B Common Stock have been duly</w:t>
      </w:r>
      <w:r>
        <w:rPr>
          <w:rFonts w:ascii="Arial" w:cs="Arial" w:eastAsia="Arial" w:hAnsi="Arial"/>
          <w:sz w:val="18"/>
          <w:szCs w:val="18"/>
          <w:color w:val="010000"/>
        </w:rPr>
        <w:t xml:space="preserve"> </w:t>
      </w:r>
      <w:r>
        <w:rPr>
          <w:rFonts w:ascii="Arial" w:cs="Arial" w:eastAsia="Arial" w:hAnsi="Arial"/>
          <w:sz w:val="18"/>
          <w:szCs w:val="18"/>
          <w:color w:val="000000"/>
        </w:rPr>
        <w:t>and validly authorized and, when issued upon conversion,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w:t>
      </w:r>
    </w:p>
    <w:p>
      <w:pPr>
        <w:spacing w:after="0" w:line="192"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5"/>
          <w:szCs w:val="15"/>
          <w:color w:val="010000"/>
        </w:rPr>
        <w:t>(k)            </w:t>
      </w:r>
      <w:r>
        <w:rPr>
          <w:rFonts w:ascii="Arial" w:cs="Arial" w:eastAsia="Arial" w:hAnsi="Arial"/>
          <w:sz w:val="15"/>
          <w:szCs w:val="15"/>
          <w:color w:val="000000"/>
        </w:rPr>
        <w:t>The issuance of the Shares upon conversion of shares of Class B Common Stock held by the Selling Stockholder, the compliance by</w:t>
      </w:r>
      <w:r>
        <w:rPr>
          <w:rFonts w:ascii="Arial" w:cs="Arial" w:eastAsia="Arial" w:hAnsi="Arial"/>
          <w:sz w:val="15"/>
          <w:szCs w:val="15"/>
          <w:color w:val="010000"/>
        </w:rPr>
        <w:t xml:space="preserve"> </w:t>
      </w:r>
      <w:r>
        <w:rPr>
          <w:rFonts w:ascii="Arial" w:cs="Arial" w:eastAsia="Arial" w:hAnsi="Arial"/>
          <w:sz w:val="15"/>
          <w:szCs w:val="15"/>
          <w:color w:val="000000"/>
        </w:rPr>
        <w:t>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and (C) for such conflicts, defaults, breaches, or violations that would not, individually or in the aggregate, reasonably be expected to have a Material Adverse Effect; and no consent, approval, authorization, order, registration or qualification of or with any such court or governmental agency or body is required for the issuance of the Shares upon conversion of shares of Class B Common Stock held by the Selling Stockholder or the consummation by the Company of the transactions contemplated by this Agreement, except such as have been obtained</w:t>
      </w:r>
    </w:p>
    <w:p>
      <w:pPr>
        <w:spacing w:after="0" w:line="37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10160</wp:posOffset>
            </wp:positionV>
            <wp:extent cx="71361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0"/>
          </w:cols>
          <w:pgMar w:left="960" w:top="889" w:right="339" w:bottom="1440" w:gutter="0" w:footer="0" w:header="0"/>
        </w:sectPr>
      </w:pPr>
    </w:p>
    <w:bookmarkStart w:id="45" w:name="page46"/>
    <w:bookmarkEnd w:id="45"/>
    <w:p>
      <w:pPr>
        <w:jc w:val="both"/>
        <w:spacing w:after="0" w:line="299" w:lineRule="auto"/>
        <w:rPr>
          <w:sz w:val="20"/>
          <w:szCs w:val="20"/>
          <w:color w:val="auto"/>
        </w:rPr>
      </w:pPr>
      <w:r>
        <w:rPr>
          <w:rFonts w:ascii="Arial" w:cs="Arial" w:eastAsia="Arial" w:hAnsi="Arial"/>
          <w:sz w:val="16"/>
          <w:szCs w:val="16"/>
          <w:color w:val="auto"/>
        </w:rPr>
        <w:t>under the Act, the approval by the Financial Industry Regulatory Authority (“FINRA”) of the underwriting terms and arrangements, the listing of the Shares on The Nasdaq Global Select Market (“NASDAQ”) and such consents, approvals, authorizations, orders, registrations or qualifications as may be required under state securities or Blue Sky laws in connection with the purchase and distribution of the Shares by the Underwriters;</w:t>
      </w:r>
    </w:p>
    <w:p>
      <w:pPr>
        <w:spacing w:after="0" w:line="154"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010000"/>
        </w:rPr>
        <w:t>(l)            </w:t>
      </w:r>
      <w:r>
        <w:rPr>
          <w:rFonts w:ascii="Arial" w:cs="Arial" w:eastAsia="Arial" w:hAnsi="Arial"/>
          <w:sz w:val="16"/>
          <w:szCs w:val="16"/>
          <w:color w:val="000000"/>
        </w:rPr>
        <w:t>Neither the Company nor any of its subsidiaries is (i) in violation of its certificate of incorporation or by-laws (or other applicable</w:t>
      </w:r>
      <w:r>
        <w:rPr>
          <w:rFonts w:ascii="Arial" w:cs="Arial" w:eastAsia="Arial" w:hAnsi="Arial"/>
          <w:sz w:val="16"/>
          <w:szCs w:val="16"/>
          <w:color w:val="010000"/>
        </w:rPr>
        <w:t xml:space="preserve"> </w:t>
      </w:r>
      <w:r>
        <w:rPr>
          <w:rFonts w:ascii="Arial" w:cs="Arial" w:eastAsia="Arial" w:hAnsi="Arial"/>
          <w:sz w:val="16"/>
          <w:szCs w:val="16"/>
          <w:color w:val="000000"/>
        </w:rPr>
        <w:t>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166" w:lineRule="exact"/>
        <w:rPr>
          <w:sz w:val="20"/>
          <w:szCs w:val="20"/>
          <w:color w:val="auto"/>
        </w:rPr>
      </w:pPr>
    </w:p>
    <w:p>
      <w:pPr>
        <w:jc w:val="both"/>
        <w:ind w:firstLine="631"/>
        <w:spacing w:after="0" w:line="286" w:lineRule="auto"/>
        <w:rPr>
          <w:sz w:val="20"/>
          <w:szCs w:val="20"/>
          <w:color w:val="auto"/>
        </w:rPr>
      </w:pPr>
      <w:r>
        <w:rPr>
          <w:rFonts w:ascii="Arial" w:cs="Arial" w:eastAsia="Arial" w:hAnsi="Arial"/>
          <w:sz w:val="16"/>
          <w:szCs w:val="16"/>
          <w:color w:val="010000"/>
        </w:rPr>
        <w:t>(m)            </w:t>
      </w:r>
      <w:r>
        <w:rPr>
          <w:rFonts w:ascii="Arial" w:cs="Arial" w:eastAsia="Arial" w:hAnsi="Arial"/>
          <w:sz w:val="16"/>
          <w:szCs w:val="16"/>
          <w:color w:val="000000"/>
        </w:rPr>
        <w:t>The statements set forth in or incorporated by reference in the Pricing Prospectus and Prospectus under the caption “Description of</w:t>
      </w:r>
      <w:r>
        <w:rPr>
          <w:rFonts w:ascii="Arial" w:cs="Arial" w:eastAsia="Arial" w:hAnsi="Arial"/>
          <w:sz w:val="16"/>
          <w:szCs w:val="16"/>
          <w:color w:val="010000"/>
        </w:rPr>
        <w:t xml:space="preserve"> </w:t>
      </w:r>
      <w:r>
        <w:rPr>
          <w:rFonts w:ascii="Arial" w:cs="Arial" w:eastAsia="Arial" w:hAnsi="Arial"/>
          <w:sz w:val="16"/>
          <w:szCs w:val="16"/>
          <w:color w:val="000000"/>
        </w:rPr>
        <w:t>Capital Stock,” insofar as they purport to constitute a summary of the terms of the Stock, under the caption “Certain Relationships and Related Party Transactions,” insofar as they purport to constitute a summary of the terms of the agreements referred to therein, and under the captions “U.S. Federal Income Tax Considerations for Non-U.S. Holders of Common Stock” and “Underwriting,” insofar as they purport to describe the provisions of the laws and documents referred to therein, are accurate, complete and fair in all material respects;</w:t>
      </w:r>
    </w:p>
    <w:p>
      <w:pPr>
        <w:spacing w:after="0" w:line="166" w:lineRule="exact"/>
        <w:rPr>
          <w:sz w:val="20"/>
          <w:szCs w:val="20"/>
          <w:color w:val="auto"/>
        </w:rPr>
      </w:pPr>
    </w:p>
    <w:p>
      <w:pPr>
        <w:jc w:val="both"/>
        <w:ind w:firstLine="631"/>
        <w:spacing w:after="0" w:line="279" w:lineRule="auto"/>
        <w:rPr>
          <w:sz w:val="20"/>
          <w:szCs w:val="20"/>
          <w:color w:val="auto"/>
        </w:rPr>
      </w:pPr>
      <w:r>
        <w:rPr>
          <w:rFonts w:ascii="Arial" w:cs="Arial" w:eastAsia="Arial" w:hAnsi="Arial"/>
          <w:sz w:val="16"/>
          <w:szCs w:val="16"/>
          <w:color w:val="010000"/>
        </w:rPr>
        <w:t>(n)            </w:t>
      </w:r>
      <w:r>
        <w:rPr>
          <w:rFonts w:ascii="Arial" w:cs="Arial" w:eastAsia="Arial" w:hAnsi="Arial"/>
          <w:sz w:val="16"/>
          <w:szCs w:val="16"/>
          <w:color w:val="000000"/>
        </w:rPr>
        <w:t>Other than as set forth in the Pricing Prospectus, there are no legal, governmental or regulatory investigations, claims, arbitrations,</w:t>
      </w:r>
      <w:r>
        <w:rPr>
          <w:rFonts w:ascii="Arial" w:cs="Arial" w:eastAsia="Arial" w:hAnsi="Arial"/>
          <w:sz w:val="16"/>
          <w:szCs w:val="16"/>
          <w:color w:val="010000"/>
        </w:rPr>
        <w:t xml:space="preserve"> </w:t>
      </w:r>
      <w:r>
        <w:rPr>
          <w:rFonts w:ascii="Arial" w:cs="Arial" w:eastAsia="Arial" w:hAnsi="Arial"/>
          <w:sz w:val="16"/>
          <w:szCs w:val="16"/>
          <w:color w:val="000000"/>
        </w:rPr>
        <w:t>inquiries or proceedings (“Actions”)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in all material respects; and there are no statutes, regulations or contracts or other documents that are required under the Act to be filed as exhibits to the Registration Statement or described in the Registration Statement, the Pricing Prospectus that are not so filed as exhibits to the Registration Statement or described in all material respects in the Registration Statement and the Pricing Prospectus;</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010000"/>
        </w:rPr>
        <w:t>(o)            </w:t>
      </w:r>
      <w:r>
        <w:rPr>
          <w:rFonts w:ascii="Arial" w:cs="Arial" w:eastAsia="Arial" w:hAnsi="Arial"/>
          <w:sz w:val="18"/>
          <w:szCs w:val="18"/>
          <w:color w:val="000000"/>
        </w:rPr>
        <w:t>The Company is not an “investment company,” as such term is</w:t>
      </w:r>
    </w:p>
    <w:p>
      <w:pPr>
        <w:spacing w:after="0" w:line="200" w:lineRule="exact"/>
        <w:rPr>
          <w:sz w:val="20"/>
          <w:szCs w:val="20"/>
          <w:color w:val="auto"/>
        </w:rPr>
      </w:pPr>
    </w:p>
    <w:p>
      <w:pPr>
        <w:spacing w:after="0" w:line="22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10160</wp:posOffset>
            </wp:positionV>
            <wp:extent cx="71361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0"/>
          </w:cols>
          <w:pgMar w:left="960" w:top="889" w:right="339" w:bottom="1440" w:gutter="0" w:footer="0" w:header="0"/>
        </w:sectPr>
      </w:pPr>
    </w:p>
    <w:bookmarkStart w:id="46" w:name="page47"/>
    <w:bookmarkEnd w:id="46"/>
    <w:p>
      <w:pPr>
        <w:ind w:left="4"/>
        <w:spacing w:after="0"/>
        <w:rPr>
          <w:sz w:val="20"/>
          <w:szCs w:val="20"/>
          <w:color w:val="auto"/>
        </w:rPr>
      </w:pPr>
      <w:r>
        <w:rPr>
          <w:rFonts w:ascii="Arial" w:cs="Arial" w:eastAsia="Arial" w:hAnsi="Arial"/>
          <w:sz w:val="18"/>
          <w:szCs w:val="18"/>
          <w:color w:val="auto"/>
        </w:rPr>
        <w:t>defined in the Investment Company Act of 1940, as amended (the “Investment Company Act”);</w:t>
      </w:r>
    </w:p>
    <w:p>
      <w:pPr>
        <w:spacing w:after="0" w:line="214" w:lineRule="exact"/>
        <w:rPr>
          <w:sz w:val="20"/>
          <w:szCs w:val="20"/>
          <w:color w:val="auto"/>
        </w:rPr>
      </w:pPr>
    </w:p>
    <w:p>
      <w:pPr>
        <w:jc w:val="both"/>
        <w:ind w:left="4" w:firstLine="631"/>
        <w:spacing w:after="0" w:line="252" w:lineRule="auto"/>
        <w:rPr>
          <w:sz w:val="20"/>
          <w:szCs w:val="20"/>
          <w:color w:val="auto"/>
        </w:rPr>
      </w:pPr>
      <w:r>
        <w:rPr>
          <w:rFonts w:ascii="Arial" w:cs="Arial" w:eastAsia="Arial" w:hAnsi="Arial"/>
          <w:sz w:val="18"/>
          <w:szCs w:val="18"/>
          <w:color w:val="010000"/>
        </w:rPr>
        <w:t>(p)            </w:t>
      </w:r>
      <w:r>
        <w:rPr>
          <w:rFonts w:ascii="Arial" w:cs="Arial" w:eastAsia="Arial" w:hAnsi="Arial"/>
          <w:sz w:val="18"/>
          <w:szCs w:val="18"/>
          <w:color w:val="000000"/>
        </w:rPr>
        <w:t>At the time of filing the Initial Registration Statement and any post-effective amendment thereto, at the earliest time thereafter that</w:t>
      </w:r>
      <w:r>
        <w:rPr>
          <w:rFonts w:ascii="Arial" w:cs="Arial" w:eastAsia="Arial" w:hAnsi="Arial"/>
          <w:sz w:val="18"/>
          <w:szCs w:val="18"/>
          <w:color w:val="010000"/>
        </w:rPr>
        <w:t xml:space="preserve"> </w:t>
      </w:r>
      <w:r>
        <w:rPr>
          <w:rFonts w:ascii="Arial" w:cs="Arial" w:eastAsia="Arial" w:hAnsi="Arial"/>
          <w:sz w:val="18"/>
          <w:szCs w:val="18"/>
          <w:color w:val="000000"/>
        </w:rPr>
        <w:t>the Company or any offering participant made a bona fide offer (within the meaning of Rule 164(h)(2) under the Act) of the Shares, and at the date hereof, the Company was not and is not an “ineligible issuer,” as defined under Rule 405 under the Act;</w:t>
      </w:r>
    </w:p>
    <w:p>
      <w:pPr>
        <w:spacing w:after="0" w:line="189" w:lineRule="exact"/>
        <w:rPr>
          <w:sz w:val="20"/>
          <w:szCs w:val="20"/>
          <w:color w:val="auto"/>
        </w:rPr>
      </w:pPr>
    </w:p>
    <w:p>
      <w:pPr>
        <w:jc w:val="both"/>
        <w:ind w:left="4" w:firstLine="631"/>
        <w:spacing w:after="0" w:line="324" w:lineRule="auto"/>
        <w:rPr>
          <w:sz w:val="20"/>
          <w:szCs w:val="20"/>
          <w:color w:val="auto"/>
        </w:rPr>
      </w:pPr>
      <w:r>
        <w:rPr>
          <w:rFonts w:ascii="Arial" w:cs="Arial" w:eastAsia="Arial" w:hAnsi="Arial"/>
          <w:sz w:val="16"/>
          <w:szCs w:val="16"/>
          <w:color w:val="010000"/>
        </w:rPr>
        <w:t>(q)            </w:t>
      </w:r>
      <w:r>
        <w:rPr>
          <w:rFonts w:ascii="Arial" w:cs="Arial" w:eastAsia="Arial" w:hAnsi="Arial"/>
          <w:sz w:val="16"/>
          <w:szCs w:val="16"/>
          <w:color w:val="000000"/>
        </w:rPr>
        <w:t>PricewaterhouseCoopers LLP, which has certified certain financial statements of the Company and its subsidiaries, is an independent</w:t>
      </w:r>
      <w:r>
        <w:rPr>
          <w:rFonts w:ascii="Arial" w:cs="Arial" w:eastAsia="Arial" w:hAnsi="Arial"/>
          <w:sz w:val="16"/>
          <w:szCs w:val="16"/>
          <w:color w:val="010000"/>
        </w:rPr>
        <w:t xml:space="preserve"> </w:t>
      </w:r>
      <w:r>
        <w:rPr>
          <w:rFonts w:ascii="Arial" w:cs="Arial" w:eastAsia="Arial" w:hAnsi="Arial"/>
          <w:sz w:val="16"/>
          <w:szCs w:val="16"/>
          <w:color w:val="000000"/>
        </w:rPr>
        <w:t>registered public accounting firm as required by the Act and the rules and regulations of the Commission thereunder;</w:t>
      </w:r>
    </w:p>
    <w:p>
      <w:pPr>
        <w:spacing w:after="0" w:line="134" w:lineRule="exact"/>
        <w:rPr>
          <w:sz w:val="20"/>
          <w:szCs w:val="20"/>
          <w:color w:val="auto"/>
        </w:rPr>
      </w:pPr>
    </w:p>
    <w:p>
      <w:pPr>
        <w:jc w:val="both"/>
        <w:ind w:left="4" w:firstLine="631"/>
        <w:spacing w:after="0" w:line="277" w:lineRule="auto"/>
        <w:rPr>
          <w:sz w:val="20"/>
          <w:szCs w:val="20"/>
          <w:color w:val="auto"/>
        </w:rPr>
      </w:pPr>
      <w:r>
        <w:rPr>
          <w:rFonts w:ascii="Arial" w:cs="Arial" w:eastAsia="Arial" w:hAnsi="Arial"/>
          <w:sz w:val="16"/>
          <w:szCs w:val="16"/>
          <w:color w:val="010000"/>
        </w:rPr>
        <w:t xml:space="preserve">(r)             </w:t>
      </w:r>
      <w:r>
        <w:rPr>
          <w:rFonts w:ascii="Arial" w:cs="Arial" w:eastAsia="Arial" w:hAnsi="Arial"/>
          <w:sz w:val="16"/>
          <w:szCs w:val="16"/>
          <w:color w:val="000000"/>
        </w:rPr>
        <w:t>The Company maintains a system of internal control over financial reporting (as such term is defined in Rule 13a-15(f) under the</w:t>
      </w:r>
      <w:r>
        <w:rPr>
          <w:rFonts w:ascii="Arial" w:cs="Arial" w:eastAsia="Arial" w:hAnsi="Arial"/>
          <w:sz w:val="16"/>
          <w:szCs w:val="16"/>
          <w:color w:val="010000"/>
        </w:rPr>
        <w:t xml:space="preserve"> </w:t>
      </w:r>
      <w:r>
        <w:rPr>
          <w:rFonts w:ascii="Arial" w:cs="Arial" w:eastAsia="Arial" w:hAnsi="Arial"/>
          <w:sz w:val="16"/>
          <w:szCs w:val="16"/>
          <w:color w:val="000000"/>
        </w:rPr>
        <w:t>Exchange Act) that (i) complies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U.S. generally accepted accounting principles (“GAAP”) and (iii) is sufficient to provide reasonable assurance that (A) transactions are executed in accordance with management’s general or specific authorization,</w:t>
      </w:r>
    </w:p>
    <w:p>
      <w:pPr>
        <w:spacing w:after="0" w:line="2" w:lineRule="exact"/>
        <w:rPr>
          <w:sz w:val="20"/>
          <w:szCs w:val="20"/>
          <w:color w:val="auto"/>
        </w:rPr>
      </w:pPr>
    </w:p>
    <w:p>
      <w:pPr>
        <w:jc w:val="both"/>
        <w:ind w:left="4" w:hanging="4"/>
        <w:spacing w:after="0" w:line="244" w:lineRule="auto"/>
        <w:tabs>
          <w:tab w:leader="none" w:pos="2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w:t>
      </w:r>
    </w:p>
    <w:p>
      <w:pPr>
        <w:spacing w:after="0" w:line="198" w:lineRule="exact"/>
        <w:rPr>
          <w:sz w:val="20"/>
          <w:szCs w:val="20"/>
          <w:color w:val="auto"/>
        </w:rPr>
      </w:pPr>
    </w:p>
    <w:p>
      <w:pPr>
        <w:jc w:val="both"/>
        <w:ind w:left="4" w:firstLine="631"/>
        <w:spacing w:after="0" w:line="252" w:lineRule="auto"/>
        <w:rPr>
          <w:sz w:val="20"/>
          <w:szCs w:val="20"/>
          <w:color w:val="auto"/>
        </w:rPr>
      </w:pPr>
      <w:r>
        <w:rPr>
          <w:rFonts w:ascii="Arial" w:cs="Arial" w:eastAsia="Arial" w:hAnsi="Arial"/>
          <w:sz w:val="18"/>
          <w:szCs w:val="18"/>
          <w:color w:val="010000"/>
        </w:rPr>
        <w:t xml:space="preserve">(s)             </w:t>
      </w:r>
      <w:r>
        <w:rPr>
          <w:rFonts w:ascii="Arial" w:cs="Arial" w:eastAsia="Arial" w:hAnsi="Arial"/>
          <w:sz w:val="18"/>
          <w:szCs w:val="18"/>
          <w:color w:val="000000"/>
        </w:rPr>
        <w:t>Since the date of the latest audited financial statements included or incorporated by reference in the Pricing Prospectus, there has</w:t>
      </w:r>
      <w:r>
        <w:rPr>
          <w:rFonts w:ascii="Arial" w:cs="Arial" w:eastAsia="Arial" w:hAnsi="Arial"/>
          <w:sz w:val="18"/>
          <w:szCs w:val="18"/>
          <w:color w:val="010000"/>
        </w:rPr>
        <w:t xml:space="preserve"> </w:t>
      </w:r>
      <w:r>
        <w:rPr>
          <w:rFonts w:ascii="Arial" w:cs="Arial" w:eastAsia="Arial" w:hAnsi="Arial"/>
          <w:sz w:val="18"/>
          <w:szCs w:val="18"/>
          <w:color w:val="000000"/>
        </w:rPr>
        <w:t>been no change in the Company’s internal control over financial reporting that has materially and adversely affected, or is reasonably likely to materially and adversely affect, the Company’s internal control over financial reporting;</w:t>
      </w:r>
    </w:p>
    <w:p>
      <w:pPr>
        <w:spacing w:after="0" w:line="189" w:lineRule="exact"/>
        <w:rPr>
          <w:sz w:val="20"/>
          <w:szCs w:val="20"/>
          <w:color w:val="auto"/>
        </w:rPr>
      </w:pPr>
    </w:p>
    <w:p>
      <w:pPr>
        <w:jc w:val="both"/>
        <w:ind w:left="4" w:firstLine="631"/>
        <w:spacing w:after="0" w:line="249" w:lineRule="auto"/>
        <w:rPr>
          <w:sz w:val="20"/>
          <w:szCs w:val="20"/>
          <w:color w:val="auto"/>
        </w:rPr>
      </w:pPr>
      <w:r>
        <w:rPr>
          <w:rFonts w:ascii="Arial" w:cs="Arial" w:eastAsia="Arial" w:hAnsi="Arial"/>
          <w:sz w:val="18"/>
          <w:szCs w:val="18"/>
          <w:color w:val="010000"/>
        </w:rPr>
        <w:t xml:space="preserve">(t)             </w:t>
      </w:r>
      <w:r>
        <w:rPr>
          <w:rFonts w:ascii="Arial" w:cs="Arial" w:eastAsia="Arial" w:hAnsi="Arial"/>
          <w:sz w:val="18"/>
          <w:szCs w:val="18"/>
          <w:color w:val="000000"/>
        </w:rPr>
        <w:t>The Company maintains disclosure controls and procedures (as such term is defined in Rule 13a-15(e) under the Exchange Act) that</w:t>
      </w:r>
      <w:r>
        <w:rPr>
          <w:rFonts w:ascii="Arial" w:cs="Arial" w:eastAsia="Arial" w:hAnsi="Arial"/>
          <w:sz w:val="18"/>
          <w:szCs w:val="18"/>
          <w:color w:val="010000"/>
        </w:rPr>
        <w:t xml:space="preserve"> </w:t>
      </w:r>
      <w:r>
        <w:rPr>
          <w:rFonts w:ascii="Arial" w:cs="Arial" w:eastAsia="Arial" w:hAnsi="Arial"/>
          <w:sz w:val="18"/>
          <w:szCs w:val="18"/>
          <w:color w:val="000000"/>
        </w:rPr>
        <w:t>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92" w:lineRule="exact"/>
        <w:rPr>
          <w:sz w:val="20"/>
          <w:szCs w:val="20"/>
          <w:color w:val="auto"/>
        </w:rPr>
      </w:pPr>
    </w:p>
    <w:p>
      <w:pPr>
        <w:jc w:val="both"/>
        <w:ind w:left="4" w:firstLine="631"/>
        <w:spacing w:after="0" w:line="261" w:lineRule="auto"/>
        <w:rPr>
          <w:sz w:val="20"/>
          <w:szCs w:val="20"/>
          <w:color w:val="auto"/>
        </w:rPr>
      </w:pPr>
      <w:r>
        <w:rPr>
          <w:rFonts w:ascii="Arial" w:cs="Arial" w:eastAsia="Arial" w:hAnsi="Arial"/>
          <w:sz w:val="18"/>
          <w:szCs w:val="18"/>
          <w:color w:val="010000"/>
        </w:rPr>
        <w:t>(u)            </w:t>
      </w:r>
      <w:r>
        <w:rPr>
          <w:rFonts w:ascii="Arial" w:cs="Arial" w:eastAsia="Arial" w:hAnsi="Arial"/>
          <w:sz w:val="18"/>
          <w:szCs w:val="18"/>
          <w:color w:val="000000"/>
        </w:rPr>
        <w:t>The Company has all requisite corporate power and authority to execute and deliver this Agreement, and to perform its obligations</w:t>
      </w:r>
      <w:r>
        <w:rPr>
          <w:rFonts w:ascii="Arial" w:cs="Arial" w:eastAsia="Arial" w:hAnsi="Arial"/>
          <w:sz w:val="18"/>
          <w:szCs w:val="18"/>
          <w:color w:val="010000"/>
        </w:rPr>
        <w:t xml:space="preserve"> </w:t>
      </w:r>
      <w:r>
        <w:rPr>
          <w:rFonts w:ascii="Arial" w:cs="Arial" w:eastAsia="Arial" w:hAnsi="Arial"/>
          <w:sz w:val="18"/>
          <w:szCs w:val="18"/>
          <w:color w:val="000000"/>
        </w:rPr>
        <w:t>under, this</w:t>
      </w:r>
    </w:p>
    <w:p>
      <w:pPr>
        <w:spacing w:after="0" w:line="391"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10160</wp:posOffset>
            </wp:positionV>
            <wp:extent cx="71361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4"/>
          </w:cols>
          <w:pgMar w:left="956" w:top="889" w:right="339" w:bottom="1440" w:gutter="0" w:footer="0" w:header="0"/>
        </w:sectPr>
      </w:pPr>
    </w:p>
    <w:bookmarkStart w:id="47" w:name="page48"/>
    <w:bookmarkEnd w:id="47"/>
    <w:p>
      <w:pPr>
        <w:ind w:left="20"/>
        <w:spacing w:after="0"/>
        <w:rPr>
          <w:sz w:val="20"/>
          <w:szCs w:val="20"/>
          <w:color w:val="auto"/>
        </w:rPr>
      </w:pPr>
      <w:r>
        <w:rPr>
          <w:rFonts w:ascii="Arial" w:cs="Arial" w:eastAsia="Arial" w:hAnsi="Arial"/>
          <w:sz w:val="18"/>
          <w:szCs w:val="18"/>
          <w:color w:val="auto"/>
        </w:rPr>
        <w:t>Agreement. This Agreement has been duly authorized, executed and delivered by the Company;</w:t>
      </w:r>
    </w:p>
    <w:p>
      <w:pPr>
        <w:spacing w:after="0" w:line="214" w:lineRule="exact"/>
        <w:rPr>
          <w:sz w:val="20"/>
          <w:szCs w:val="20"/>
          <w:color w:val="auto"/>
        </w:rPr>
      </w:pPr>
    </w:p>
    <w:p>
      <w:pPr>
        <w:jc w:val="both"/>
        <w:ind w:firstLine="631"/>
        <w:spacing w:after="0" w:line="279" w:lineRule="auto"/>
        <w:rPr>
          <w:sz w:val="20"/>
          <w:szCs w:val="20"/>
          <w:color w:val="auto"/>
        </w:rPr>
      </w:pPr>
      <w:r>
        <w:rPr>
          <w:rFonts w:ascii="Arial" w:cs="Arial" w:eastAsia="Arial" w:hAnsi="Arial"/>
          <w:sz w:val="16"/>
          <w:szCs w:val="16"/>
          <w:color w:val="010000"/>
        </w:rPr>
        <w:t>(v)            </w:t>
      </w:r>
      <w:r>
        <w:rPr>
          <w:rFonts w:ascii="Arial" w:cs="Arial" w:eastAsia="Arial" w:hAnsi="Arial"/>
          <w:sz w:val="16"/>
          <w:szCs w:val="16"/>
          <w:color w:val="000000"/>
        </w:rPr>
        <w:t>None of the Company, any of its subsidiaries or controlled affiliates, or any director or officer of the Company or any of its</w:t>
      </w:r>
      <w:r>
        <w:rPr>
          <w:rFonts w:ascii="Arial" w:cs="Arial" w:eastAsia="Arial" w:hAnsi="Arial"/>
          <w:sz w:val="16"/>
          <w:szCs w:val="16"/>
          <w:color w:val="010000"/>
        </w:rPr>
        <w:t xml:space="preserve"> </w:t>
      </w:r>
      <w:r>
        <w:rPr>
          <w:rFonts w:ascii="Arial" w:cs="Arial" w:eastAsia="Arial" w:hAnsi="Arial"/>
          <w:sz w:val="16"/>
          <w:szCs w:val="16"/>
          <w:color w:val="000000"/>
        </w:rPr>
        <w:t>subsidiaries, nor to the Company’s knowledge, any employee, agent, representative or other person associated with or acting on behalf of the Company, any of its subsidiaries or controlled affiliates, has (i) made, offered, promised or authorized any unlawful contribution, gift, entertainment or other unlawful expense (or taken, or will take, any act in furtherance thereof); (ii) made, offered, promised or authorized any direct or indirect unlawful payment (or taken, or will take, any act in furtherance thereof); or (iii) violated or is in violation of any provision of the U.S. Foreign Corrupt Practices Act of 1977, as amended, or the rules and regulations thereunder, the Bribery Act 2010 of the United Kingdom or any other applicable anti-corruption, anti-bribery or related law, statute or regulation (collectively, “Anti-Corruption Laws”); the Company and each of its subsidiaries and controlled affiliates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w:t>
      </w:r>
    </w:p>
    <w:p>
      <w:pPr>
        <w:spacing w:after="0" w:line="174" w:lineRule="exact"/>
        <w:rPr>
          <w:sz w:val="20"/>
          <w:szCs w:val="20"/>
          <w:color w:val="auto"/>
        </w:rPr>
      </w:pPr>
    </w:p>
    <w:p>
      <w:pPr>
        <w:jc w:val="both"/>
        <w:ind w:firstLine="631"/>
        <w:spacing w:after="0" w:line="282" w:lineRule="auto"/>
        <w:rPr>
          <w:sz w:val="20"/>
          <w:szCs w:val="20"/>
          <w:color w:val="auto"/>
        </w:rPr>
      </w:pPr>
      <w:r>
        <w:rPr>
          <w:rFonts w:ascii="Arial" w:cs="Arial" w:eastAsia="Arial" w:hAnsi="Arial"/>
          <w:sz w:val="16"/>
          <w:szCs w:val="16"/>
          <w:color w:val="010000"/>
        </w:rPr>
        <w:t>(w)            </w:t>
      </w:r>
      <w:r>
        <w:rPr>
          <w:rFonts w:ascii="Arial" w:cs="Arial" w:eastAsia="Arial" w:hAnsi="Arial"/>
          <w:sz w:val="16"/>
          <w:szCs w:val="16"/>
          <w:color w:val="000000"/>
        </w:rPr>
        <w:t>The operations of the Company and each of its subsidiaries are and have been conducted at all times in compliance in all material</w:t>
      </w:r>
      <w:r>
        <w:rPr>
          <w:rFonts w:ascii="Arial" w:cs="Arial" w:eastAsia="Arial" w:hAnsi="Arial"/>
          <w:sz w:val="16"/>
          <w:szCs w:val="16"/>
          <w:color w:val="010000"/>
        </w:rPr>
        <w:t xml:space="preserve"> </w:t>
      </w:r>
      <w:r>
        <w:rPr>
          <w:rFonts w:ascii="Arial" w:cs="Arial" w:eastAsia="Arial" w:hAnsi="Arial"/>
          <w:sz w:val="16"/>
          <w:szCs w:val="16"/>
          <w:color w:val="000000"/>
        </w:rPr>
        <w:t>respects with the requirements of applicable anti-money laundering laws, including, but not limited to, the Bank Secrecy Act of 1970, as amended by the USA PATRIOT ACT of 2001, and the rules and regulations promulgated thereunder, and the applicable anti-money laundering laws of the various jurisdictions in which the Company and each of its subsidiaries conduct business,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69" w:lineRule="exact"/>
        <w:rPr>
          <w:sz w:val="20"/>
          <w:szCs w:val="20"/>
          <w:color w:val="auto"/>
        </w:rPr>
      </w:pPr>
    </w:p>
    <w:p>
      <w:pPr>
        <w:jc w:val="both"/>
        <w:ind w:firstLine="631"/>
        <w:spacing w:after="0" w:line="246" w:lineRule="auto"/>
        <w:rPr>
          <w:sz w:val="20"/>
          <w:szCs w:val="20"/>
          <w:color w:val="auto"/>
        </w:rPr>
      </w:pPr>
      <w:r>
        <w:rPr>
          <w:rFonts w:ascii="Arial" w:cs="Arial" w:eastAsia="Arial" w:hAnsi="Arial"/>
          <w:sz w:val="18"/>
          <w:szCs w:val="18"/>
          <w:color w:val="010000"/>
        </w:rPr>
        <w:t xml:space="preserve">(x)             </w:t>
      </w:r>
      <w:r>
        <w:rPr>
          <w:rFonts w:ascii="Arial" w:cs="Arial" w:eastAsia="Arial" w:hAnsi="Arial"/>
          <w:sz w:val="18"/>
          <w:szCs w:val="18"/>
          <w:color w:val="000000"/>
        </w:rPr>
        <w:t>None of the Company, any of its subsidiaries or any director or officer of the Company or any of its subsidiaries, nor to the</w:t>
      </w:r>
      <w:r>
        <w:rPr>
          <w:rFonts w:ascii="Arial" w:cs="Arial" w:eastAsia="Arial" w:hAnsi="Arial"/>
          <w:sz w:val="18"/>
          <w:szCs w:val="18"/>
          <w:color w:val="010000"/>
        </w:rPr>
        <w:t xml:space="preserve"> </w:t>
      </w:r>
      <w:r>
        <w:rPr>
          <w:rFonts w:ascii="Arial" w:cs="Arial" w:eastAsia="Arial" w:hAnsi="Arial"/>
          <w:sz w:val="18"/>
          <w:szCs w:val="18"/>
          <w:color w:val="000000"/>
        </w:rPr>
        <w:t>Company’s knowledge, any employee, agent, controlled affiliate, representative or other person associated with or acting on behalf of the Company or any of its subsidiaries is, or is owned or controlled by one or more persons or entities that are,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the Swiss Secretariat of Economic Affairs, or other relevant sanctions authority (collectively, “Sanctions”), or (ii) located, organized, or resident in a country or territory that is the subject or target of Sanctions (a “Sanctioned</w:t>
      </w:r>
    </w:p>
    <w:p>
      <w:pPr>
        <w:spacing w:after="0" w:line="200" w:lineRule="exact"/>
        <w:rPr>
          <w:sz w:val="20"/>
          <w:szCs w:val="20"/>
          <w:color w:val="auto"/>
        </w:rPr>
      </w:pPr>
    </w:p>
    <w:p>
      <w:pPr>
        <w:spacing w:after="0" w:line="20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10160</wp:posOffset>
            </wp:positionV>
            <wp:extent cx="71361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0"/>
          </w:cols>
          <w:pgMar w:left="960" w:top="889" w:right="339" w:bottom="1440" w:gutter="0" w:footer="0" w:header="0"/>
        </w:sectPr>
      </w:pPr>
    </w:p>
    <w:bookmarkStart w:id="48" w:name="page49"/>
    <w:bookmarkEnd w:id="48"/>
    <w:p>
      <w:pPr>
        <w:jc w:val="both"/>
        <w:spacing w:after="0" w:line="247" w:lineRule="auto"/>
        <w:rPr>
          <w:sz w:val="20"/>
          <w:szCs w:val="20"/>
          <w:color w:val="auto"/>
        </w:rPr>
      </w:pPr>
      <w:r>
        <w:rPr>
          <w:rFonts w:ascii="Arial" w:cs="Arial" w:eastAsia="Arial" w:hAnsi="Arial"/>
          <w:sz w:val="18"/>
          <w:szCs w:val="18"/>
          <w:color w:val="auto"/>
        </w:rPr>
        <w:t>Jurisdiction”) including, but not limited to, so-called Donetsk People’s Republic, or so-called Luhansk People’s Republic or any other Covered Region of Ukraine identified pursuant to Executive Order 14065 and the Crimea region, Cuba, Iran, North Korea and Syria. For the past five (5) years, the Company and each of its subsidiaries have not knowingly engaged in, are not now knowingly engaged in, and will not knowingly engage in, any dealings or transactions with or involving any individual or entity, or in any country or territory, that at the time of the dealing or transaction is or was the subject of Sanctions; the Company and its subsidiaries have instituted and maintain policies and procedures designed to promote and achieve continued compliance with Sanctions;</w:t>
      </w:r>
    </w:p>
    <w:p>
      <w:pPr>
        <w:spacing w:after="0" w:line="194"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5"/>
          <w:szCs w:val="15"/>
          <w:color w:val="010000"/>
        </w:rPr>
        <w:t>(y)            </w:t>
      </w:r>
      <w:r>
        <w:rPr>
          <w:rFonts w:ascii="Arial" w:cs="Arial" w:eastAsia="Arial" w:hAnsi="Arial"/>
          <w:sz w:val="15"/>
          <w:szCs w:val="15"/>
          <w:color w:val="000000"/>
        </w:rPr>
        <w:t>The financial statements included in the Registration Statement, the Pricing Prospectus and the Prospectus, together with the related</w:t>
      </w:r>
      <w:r>
        <w:rPr>
          <w:rFonts w:ascii="Arial" w:cs="Arial" w:eastAsia="Arial" w:hAnsi="Arial"/>
          <w:sz w:val="15"/>
          <w:szCs w:val="15"/>
          <w:color w:val="010000"/>
        </w:rPr>
        <w:t xml:space="preserve"> </w:t>
      </w:r>
      <w:r>
        <w:rPr>
          <w:rFonts w:ascii="Arial" w:cs="Arial" w:eastAsia="Arial" w:hAnsi="Arial"/>
          <w:sz w:val="15"/>
          <w:szCs w:val="15"/>
          <w:color w:val="000000"/>
        </w:rPr>
        <w:t>schedules and notes, present fairly in all material respects the financial position of the Company and its consolidated subsidiaries at the dates indicated and the statement of operations, stockholders’ equity and cash flows of the Company and its subsidiaries for the periods specified; and said financial statements have been prepared in conformity with GAAP applied on a consistent basis throughout the periods involved. The supporting schedules, if any, present fairly in all material respects in accordance with GAAP the information required to be stated therein.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8"/>
          <w:szCs w:val="18"/>
          <w:color w:val="010000"/>
        </w:rPr>
        <w:t>(z)</w:t>
      </w:r>
    </w:p>
    <w:p>
      <w:pPr>
        <w:spacing w:after="0" w:line="214" w:lineRule="exact"/>
        <w:rPr>
          <w:sz w:val="20"/>
          <w:szCs w:val="20"/>
          <w:color w:val="auto"/>
        </w:rPr>
      </w:pPr>
    </w:p>
    <w:p>
      <w:pPr>
        <w:jc w:val="both"/>
        <w:ind w:left="620" w:firstLine="631"/>
        <w:spacing w:after="0" w:line="281" w:lineRule="auto"/>
        <w:rPr>
          <w:sz w:val="20"/>
          <w:szCs w:val="20"/>
          <w:color w:val="auto"/>
        </w:rPr>
      </w:pPr>
      <w:r>
        <w:rPr>
          <w:rFonts w:ascii="Arial" w:cs="Arial" w:eastAsia="Arial" w:hAnsi="Arial"/>
          <w:sz w:val="16"/>
          <w:szCs w:val="16"/>
          <w:color w:val="010000"/>
        </w:rPr>
        <w:t>(i)            </w:t>
      </w:r>
      <w:r>
        <w:rPr>
          <w:rFonts w:ascii="Arial" w:cs="Arial" w:eastAsia="Arial" w:hAnsi="Arial"/>
          <w:sz w:val="16"/>
          <w:szCs w:val="16"/>
          <w:color w:val="000000"/>
        </w:rPr>
        <w:t>Except as described in the Pricing Prospectus and except as would not be reasonably expected to have a Material Adverse</w:t>
      </w:r>
      <w:r>
        <w:rPr>
          <w:rFonts w:ascii="Arial" w:cs="Arial" w:eastAsia="Arial" w:hAnsi="Arial"/>
          <w:sz w:val="16"/>
          <w:szCs w:val="16"/>
          <w:color w:val="010000"/>
        </w:rPr>
        <w:t xml:space="preserve"> </w:t>
      </w:r>
      <w:r>
        <w:rPr>
          <w:rFonts w:ascii="Arial" w:cs="Arial" w:eastAsia="Arial" w:hAnsi="Arial"/>
          <w:sz w:val="16"/>
          <w:szCs w:val="16"/>
          <w:color w:val="000000"/>
        </w:rPr>
        <w:t>Effect, the Company and each of its subsidiaries (A) owns or possesses valid and sufficient rights to use all Intellectual Property used in or necessary for the conduct of its business as currently conducted, and (B) owns all Intellectual Property owned or purported to be owned by such entity (in the case of (B), “Company Intellectual Property”), free and clear of all liens and other encumbrances, other than licenses or covenants not to assert granted in the ordinary course. For the purpose of this Agreement, “Intellectual Property” means all intellectual property and proprietary rights of any kind arising in any jurisdiction of the world, including in or with respect to any patents (together with any reissues, continuations, continuations-in-part, divisions, renewals, extensions, counterparts and reexaminations thereof), patent applications (including provisional applications), discoveries and inventions;</w:t>
      </w:r>
    </w:p>
    <w:p>
      <w:pPr>
        <w:spacing w:after="0" w:line="38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10160</wp:posOffset>
            </wp:positionV>
            <wp:extent cx="71361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0"/>
          </w:cols>
          <w:pgMar w:left="960" w:top="889" w:right="339" w:bottom="1440" w:gutter="0" w:footer="0" w:header="0"/>
        </w:sectPr>
      </w:pPr>
    </w:p>
    <w:bookmarkStart w:id="49" w:name="page50"/>
    <w:bookmarkEnd w:id="49"/>
    <w:p>
      <w:pPr>
        <w:jc w:val="both"/>
        <w:ind w:left="140"/>
        <w:spacing w:after="0" w:line="277" w:lineRule="auto"/>
        <w:rPr>
          <w:sz w:val="20"/>
          <w:szCs w:val="20"/>
          <w:color w:val="auto"/>
        </w:rPr>
      </w:pPr>
      <w:r>
        <w:rPr>
          <w:rFonts w:ascii="Arial" w:cs="Arial" w:eastAsia="Arial" w:hAnsi="Arial"/>
          <w:sz w:val="16"/>
          <w:szCs w:val="16"/>
          <w:color w:val="auto"/>
        </w:rPr>
        <w:t>trademarks, service marks, trade names, trade dress, logos, Internet domain names, social media identifiers and accounts, and other indicia of origin and any registrations, applications and goodwill associated with any of the foregoing, as applicable; rights in published and unpublished works of authorship, whether copyrightable or not (including software and firmware (whether in object code, source code or RTL), website content, data, designs, databases, integrated circuits and integrated circuit masks, electronic, electrical, and mechanical equipment, and all other forms of technology and related documentation), and copyrights, mask work and semiconductor chip rights and all registrations and applications therefor; trade secrets, know-how and other confidential or proprietary information, including systems, procedures, methods, technologies, algorithms, designs, data, unpatentable discoveries and inventions and any other information meeting the definition of a trade secret under the Uniform Trade Secrets Act or similar laws (“Trade Secrets”) and other technology and intellectual property rights, including the right to sue for past, present and future infringement, misappropriation or dilution of any of the foregoing. Except as would not be reasonably expected to have a Material Adverse Effect, all Company Intellectual Property registered with, issued by or the subject of a pending application before the U.S. Patent and Trademark Office, United States Copyright Office, or any equivalent foreign governmental entities anywhere in the world, is to the knowledge of the Company, subsisting, valid and enforceable. Except as described in the Pricing Prospectus, neither the Company nor any of its subsidiaries have made any commitments or entered into any agreements regarding any standards-setting organization or multi-party special interest groups where such participation requires the Company or any of its subsidiaries to grant to any third party a license or other right to any Company Intellectual Property, except as would not reasonably be expected to have a Material Adverse Effect;</w:t>
      </w:r>
    </w:p>
    <w:p>
      <w:pPr>
        <w:spacing w:after="0" w:line="177" w:lineRule="exact"/>
        <w:rPr>
          <w:sz w:val="20"/>
          <w:szCs w:val="20"/>
          <w:color w:val="auto"/>
        </w:rPr>
      </w:pPr>
    </w:p>
    <w:p>
      <w:pPr>
        <w:jc w:val="both"/>
        <w:ind w:left="140"/>
        <w:spacing w:after="0" w:line="279" w:lineRule="auto"/>
        <w:rPr>
          <w:sz w:val="20"/>
          <w:szCs w:val="20"/>
          <w:color w:val="auto"/>
        </w:rPr>
      </w:pPr>
      <w:r>
        <w:rPr>
          <w:rFonts w:ascii="Arial" w:cs="Arial" w:eastAsia="Arial" w:hAnsi="Arial"/>
          <w:sz w:val="16"/>
          <w:szCs w:val="16"/>
          <w:color w:val="auto"/>
        </w:rPr>
        <w:t>(ii)            Except as would not reasonably be expected to have a Material Adverse Effect, (A) the conduct of the Company’s and its subsidiaries’ respective businesses has not violated, infringed, misappropriated or conflicted with, and will not, as currently planned to be conducted, violate, infringe, misappropriate or conflict with any Intellectual Property rights of any third party; (B) since January 1, 2020, the Company and its subsidiaries have not received any written notice of any claim of infringement, misappropriation or conflict with Intellectual Property rights of any third party (including any invitations to take a license or cease and desist letters); and (C) to the Company’s knowledge, there are no third parties who have or will be able to establish ownership rights of any Company Intellectual Property. Except as described in the Pricing Prospectus and as would not be reasonably expected to have a Material Adverse Effect, (A) there is no pending or to the Company’s knowledge, threatened in writing action, suit, proceeding or written claim by any third party challenging the validity, enforceability or scope of any Company Intellectual Property, or any right in or ownership of by the Company or any of its subsidiaries of any Company Intellectual Property, (B) there is no pending or to the Company’s</w:t>
      </w:r>
    </w:p>
    <w:p>
      <w:pPr>
        <w:spacing w:after="0" w:line="3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10160</wp:posOffset>
            </wp:positionV>
            <wp:extent cx="71361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120"/>
          </w:cols>
          <w:pgMar w:left="1440" w:top="889" w:right="339" w:bottom="1440" w:gutter="0" w:footer="0" w:header="0"/>
        </w:sectPr>
      </w:pPr>
    </w:p>
    <w:bookmarkStart w:id="50" w:name="page51"/>
    <w:bookmarkEnd w:id="50"/>
    <w:p>
      <w:pPr>
        <w:jc w:val="both"/>
        <w:ind w:left="140"/>
        <w:spacing w:after="0" w:line="304" w:lineRule="auto"/>
        <w:rPr>
          <w:sz w:val="20"/>
          <w:szCs w:val="20"/>
          <w:color w:val="auto"/>
        </w:rPr>
      </w:pPr>
      <w:r>
        <w:rPr>
          <w:rFonts w:ascii="Arial" w:cs="Arial" w:eastAsia="Arial" w:hAnsi="Arial"/>
          <w:sz w:val="15"/>
          <w:szCs w:val="15"/>
          <w:color w:val="auto"/>
        </w:rPr>
        <w:t>knowledge, threatened in writing, action, suit, proceeding or written claim by others that the Company or any of its subsidiaries has violated, infringed, misappropriated or conflicted with, any Intellectual Property or other proprietary rights of any third party and (C) to the Company’s knowledge, no party has infringed, misappropriated, violated, or conflicted with any Company Intellectual Property. To the Company’s knowledge, except as would not be reasonably expected to have a Material Adverse Effect, no Intellectual Property has been obtained by the Company or any of its subsidiaries in violation of any contractual obligation binding on the Company or any of its subsidiaries, and the Company and its subsidiaries have complied with the terms of each agreement pursuant to which Intellectual Property has been licensed to the Company or any of its subsidiaries, all such agreements are in full force and effect and no such agreement has been breached or violated;</w:t>
      </w:r>
    </w:p>
    <w:p>
      <w:pPr>
        <w:spacing w:after="0" w:line="153" w:lineRule="exact"/>
        <w:rPr>
          <w:sz w:val="20"/>
          <w:szCs w:val="20"/>
          <w:color w:val="auto"/>
        </w:rPr>
      </w:pPr>
    </w:p>
    <w:p>
      <w:pPr>
        <w:jc w:val="both"/>
        <w:ind w:left="140" w:firstLine="631"/>
        <w:spacing w:after="0" w:line="278" w:lineRule="auto"/>
        <w:rPr>
          <w:sz w:val="20"/>
          <w:szCs w:val="20"/>
          <w:color w:val="auto"/>
        </w:rPr>
      </w:pPr>
      <w:r>
        <w:rPr>
          <w:rFonts w:ascii="Arial" w:cs="Arial" w:eastAsia="Arial" w:hAnsi="Arial"/>
          <w:sz w:val="16"/>
          <w:szCs w:val="16"/>
          <w:color w:val="010000"/>
        </w:rPr>
        <w:t>(iii)            </w:t>
      </w:r>
      <w:r>
        <w:rPr>
          <w:rFonts w:ascii="Arial" w:cs="Arial" w:eastAsia="Arial" w:hAnsi="Arial"/>
          <w:sz w:val="16"/>
          <w:szCs w:val="16"/>
          <w:color w:val="000000"/>
        </w:rPr>
        <w:t>Except as would not be reasonably expected to have a Material Adverse Effect, the Company and its subsidiaries have</w:t>
      </w:r>
      <w:r>
        <w:rPr>
          <w:rFonts w:ascii="Arial" w:cs="Arial" w:eastAsia="Arial" w:hAnsi="Arial"/>
          <w:sz w:val="16"/>
          <w:szCs w:val="16"/>
          <w:color w:val="010000"/>
        </w:rPr>
        <w:t xml:space="preserve"> </w:t>
      </w:r>
      <w:r>
        <w:rPr>
          <w:rFonts w:ascii="Arial" w:cs="Arial" w:eastAsia="Arial" w:hAnsi="Arial"/>
          <w:sz w:val="16"/>
          <w:szCs w:val="16"/>
          <w:color w:val="000000"/>
        </w:rPr>
        <w:t>taken reasonable steps necessary to secure and protect their interests in the Intellectual Property developed by their employees, consultants, agents and contractors on behalf of the Company and its subsidiaries, including the execution of agreements that (x) presently assign Intellectual Property for the benefit of the Company and its subsidiaries by such employees, consultants, agents and contractors, except to the extent ownership of such Intellectual Property vests in the Company by operation of law, and (y) contain reasonable confidentiality obligations, consistent with industry standards, and to the Company’s knowledge, no such agreement has been breached or violated in a way that would impact the Company’s or any of its subsidiaries’ businesses. Except as would not reasonably be expected to have a Material Adverse Effect, (A) no government funding, facilities or resources of a university, college, other educational institution or research center was used in the development of any Company Intellectual Property, and no governmental agency or body (including the Israel Innovation Authority), university, college, other educational institution or research center has any claim, option or right in or to any Company Intellectual Property, and (B) the Company and its subsidiaries have taken commercially reasonable steps to maintain the confidentiality of all Trade Secrets and other confidential information owned, used or held for use by the Company or any of its subsidiaries;</w:t>
      </w:r>
    </w:p>
    <w:p>
      <w:pPr>
        <w:spacing w:after="0" w:line="176" w:lineRule="exact"/>
        <w:rPr>
          <w:sz w:val="20"/>
          <w:szCs w:val="20"/>
          <w:color w:val="auto"/>
        </w:rPr>
      </w:pPr>
    </w:p>
    <w:p>
      <w:pPr>
        <w:jc w:val="both"/>
        <w:ind w:left="140" w:firstLine="631"/>
        <w:spacing w:after="0" w:line="286" w:lineRule="auto"/>
        <w:rPr>
          <w:sz w:val="20"/>
          <w:szCs w:val="20"/>
          <w:color w:val="auto"/>
        </w:rPr>
      </w:pPr>
      <w:r>
        <w:rPr>
          <w:rFonts w:ascii="Arial" w:cs="Arial" w:eastAsia="Arial" w:hAnsi="Arial"/>
          <w:sz w:val="16"/>
          <w:szCs w:val="16"/>
          <w:color w:val="010000"/>
        </w:rPr>
        <w:t>(iv)            </w:t>
      </w:r>
      <w:r>
        <w:rPr>
          <w:rFonts w:ascii="Arial" w:cs="Arial" w:eastAsia="Arial" w:hAnsi="Arial"/>
          <w:sz w:val="16"/>
          <w:szCs w:val="16"/>
          <w:color w:val="000000"/>
        </w:rPr>
        <w:t>Except as would not reasonably be expected to have a Material Adverse Effect, the Company and its subsidiaries, with</w:t>
      </w:r>
      <w:r>
        <w:rPr>
          <w:rFonts w:ascii="Arial" w:cs="Arial" w:eastAsia="Arial" w:hAnsi="Arial"/>
          <w:sz w:val="16"/>
          <w:szCs w:val="16"/>
          <w:color w:val="010000"/>
        </w:rPr>
        <w:t xml:space="preserve"> </w:t>
      </w:r>
      <w:r>
        <w:rPr>
          <w:rFonts w:ascii="Arial" w:cs="Arial" w:eastAsia="Arial" w:hAnsi="Arial"/>
          <w:sz w:val="16"/>
          <w:szCs w:val="16"/>
          <w:color w:val="000000"/>
        </w:rPr>
        <w:t>respect to all software (including source code) and other materials that are distributed under a “free,” “open source,” or similar licensing model (including the GNU General Public License, GNU Lesser General Public License, GNU Affero General Public License, New BSD License, Apache License, Apache 2.0 License, MIT License, Common Public License and other licenses approved as Open Source licenses under the Open Source Definition of the Open Source Initiative) (“Open Source Materials”) are in compliance with all</w:t>
      </w:r>
    </w:p>
    <w:p>
      <w:pPr>
        <w:spacing w:after="0" w:line="37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10160</wp:posOffset>
            </wp:positionV>
            <wp:extent cx="71361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120"/>
          </w:cols>
          <w:pgMar w:left="1440" w:top="890" w:right="339" w:bottom="1440" w:gutter="0" w:footer="0" w:header="0"/>
        </w:sectPr>
      </w:pPr>
    </w:p>
    <w:bookmarkStart w:id="51" w:name="page52"/>
    <w:bookmarkEnd w:id="51"/>
    <w:p>
      <w:pPr>
        <w:jc w:val="both"/>
        <w:ind w:left="140"/>
        <w:spacing w:after="0" w:line="282" w:lineRule="auto"/>
        <w:rPr>
          <w:sz w:val="20"/>
          <w:szCs w:val="20"/>
          <w:color w:val="auto"/>
        </w:rPr>
      </w:pPr>
      <w:r>
        <w:rPr>
          <w:rFonts w:ascii="Arial" w:cs="Arial" w:eastAsia="Arial" w:hAnsi="Arial"/>
          <w:sz w:val="16"/>
          <w:szCs w:val="16"/>
          <w:color w:val="auto"/>
        </w:rPr>
        <w:t>license terms applicable to such Open Source Materials. To the knowledge of the Company, except as would not reasonably be expected to have a Material Adverse Effect, neither the Company nor any of its subsidiaries has used or distributed any Open Source Materials (or any software that links to Open Source Materials) in a manner that requires or has required (A) the Company or any of its subsidiaries to permit reverse engineering of any products or services of the Company or any of its subsidiaries, or any software code or other technology owned (or purported to be owned) by the Company or any of its subsidiaries, or (B) any products or services of the Company or any of its subsidiaries, or any software code or other technology owned (or purported to be owned) by the Company or any of its subsidiaries, to be (I) disclosed or distributed in source code form or (II) redistributed at no charge or minimal charge;</w:t>
      </w:r>
    </w:p>
    <w:p>
      <w:pPr>
        <w:spacing w:after="0" w:line="169" w:lineRule="exact"/>
        <w:rPr>
          <w:sz w:val="20"/>
          <w:szCs w:val="20"/>
          <w:color w:val="auto"/>
        </w:rPr>
      </w:pPr>
    </w:p>
    <w:p>
      <w:pPr>
        <w:jc w:val="both"/>
        <w:ind w:left="140" w:firstLine="631"/>
        <w:spacing w:after="0" w:line="279" w:lineRule="auto"/>
        <w:rPr>
          <w:sz w:val="20"/>
          <w:szCs w:val="20"/>
          <w:color w:val="auto"/>
        </w:rPr>
      </w:pPr>
      <w:r>
        <w:rPr>
          <w:rFonts w:ascii="Arial" w:cs="Arial" w:eastAsia="Arial" w:hAnsi="Arial"/>
          <w:sz w:val="16"/>
          <w:szCs w:val="16"/>
          <w:color w:val="010000"/>
        </w:rPr>
        <w:t>(v)            </w:t>
      </w:r>
      <w:r>
        <w:rPr>
          <w:rFonts w:ascii="Arial" w:cs="Arial" w:eastAsia="Arial" w:hAnsi="Arial"/>
          <w:sz w:val="16"/>
          <w:szCs w:val="16"/>
          <w:color w:val="000000"/>
        </w:rPr>
        <w:t>Except as would not be reasonably expected to have a Material Adverse Effect, the Company and its subsidiaries have,</w:t>
      </w:r>
      <w:r>
        <w:rPr>
          <w:rFonts w:ascii="Arial" w:cs="Arial" w:eastAsia="Arial" w:hAnsi="Arial"/>
          <w:sz w:val="16"/>
          <w:szCs w:val="16"/>
          <w:color w:val="010000"/>
        </w:rPr>
        <w:t xml:space="preserve"> </w:t>
      </w:r>
      <w:r>
        <w:rPr>
          <w:rFonts w:ascii="Arial" w:cs="Arial" w:eastAsia="Arial" w:hAnsi="Arial"/>
          <w:sz w:val="16"/>
          <w:szCs w:val="16"/>
          <w:color w:val="000000"/>
        </w:rPr>
        <w:t>since January 1, 2020, (A) operated and currently operate their respective businesses in a manner compliant with all applicable foreign, federal, state and local laws, regulations and standards, all contractual obligations and all Company policies (internal and posted) concerning privacy and data security applicable to the Company’s, and its subsidiaries’, collection, access, use, modification, processing, handling, transfer (including cross border transfers), transmission, storage, disclosure and/or disposal of the data of their respective customers, employees and other third parties (the “Privacy and Data Security Requirements”), (B) implemented commercially reasonable administrative, technical and physical safeguards and policies and procedures designed to ensure compliance with Privacy and Data Security Requirements and (C) there has been no loss or unauthorized collection, access, use, modification, processing, handling, transfer, transmission, storage, disclosure, disposal or breach of security of customer, employee or third-party data maintained by or on behalf of the Company and its subsidiaries, and neither the Company nor any of its subsidiaries has notified, has been required to notify pursuant to its Privacy and Data Security Requirements, or has the current intention to notify, any customer, or governmental entity of any such event; and</w:t>
      </w:r>
    </w:p>
    <w:p>
      <w:pPr>
        <w:spacing w:after="0" w:line="171" w:lineRule="exact"/>
        <w:rPr>
          <w:sz w:val="20"/>
          <w:szCs w:val="20"/>
          <w:color w:val="auto"/>
        </w:rPr>
      </w:pPr>
    </w:p>
    <w:p>
      <w:pPr>
        <w:jc w:val="both"/>
        <w:ind w:left="140" w:firstLine="631"/>
        <w:spacing w:after="0" w:line="282" w:lineRule="auto"/>
        <w:rPr>
          <w:sz w:val="20"/>
          <w:szCs w:val="20"/>
          <w:color w:val="auto"/>
        </w:rPr>
      </w:pPr>
      <w:r>
        <w:rPr>
          <w:rFonts w:ascii="Arial" w:cs="Arial" w:eastAsia="Arial" w:hAnsi="Arial"/>
          <w:sz w:val="16"/>
          <w:szCs w:val="16"/>
          <w:color w:val="010000"/>
        </w:rPr>
        <w:t>(vi)            </w:t>
      </w:r>
      <w:r>
        <w:rPr>
          <w:rFonts w:ascii="Arial" w:cs="Arial" w:eastAsia="Arial" w:hAnsi="Arial"/>
          <w:sz w:val="16"/>
          <w:szCs w:val="16"/>
          <w:color w:val="000000"/>
        </w:rPr>
        <w:t>Except as would not reasonably be expected to have a Material Adverse Effect, (A) the information technology assets and</w:t>
      </w:r>
      <w:r>
        <w:rPr>
          <w:rFonts w:ascii="Arial" w:cs="Arial" w:eastAsia="Arial" w:hAnsi="Arial"/>
          <w:sz w:val="16"/>
          <w:szCs w:val="16"/>
          <w:color w:val="010000"/>
        </w:rPr>
        <w:t xml:space="preserve"> </w:t>
      </w:r>
      <w:r>
        <w:rPr>
          <w:rFonts w:ascii="Arial" w:cs="Arial" w:eastAsia="Arial" w:hAnsi="Arial"/>
          <w:sz w:val="16"/>
          <w:szCs w:val="16"/>
          <w:color w:val="000000"/>
        </w:rPr>
        <w:t>equipment, computers, systems, networks, hardware, software, websites, applications, and databases owned (or purported to be owned) or controlled by the Company and its subsidiaries (collectively, “IT Systems”) are adequate for, and operate and perform in all respects as required in connection with, the operation of the business of the Company and its subsidiaries as currently conducted, and, to the knowledge of the Company, are free and clear of all viruses, bugs, contaminants, errors, defects, “Trojan horses,” “time bombs,” (as such terms are commonly understood in the software industry), malware and other corruptants or malicious code; and (B) the Company and its subsidiaries have taken commercially reasonable</w:t>
      </w:r>
    </w:p>
    <w:p>
      <w:pPr>
        <w:spacing w:after="0" w:line="3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10160</wp:posOffset>
            </wp:positionV>
            <wp:extent cx="71361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120"/>
          </w:cols>
          <w:pgMar w:left="1440" w:top="889" w:right="339" w:bottom="1440" w:gutter="0" w:footer="0" w:header="0"/>
        </w:sectPr>
      </w:pPr>
    </w:p>
    <w:bookmarkStart w:id="52" w:name="page53"/>
    <w:bookmarkEnd w:id="52"/>
    <w:p>
      <w:pPr>
        <w:jc w:val="both"/>
        <w:ind w:left="624"/>
        <w:spacing w:after="0" w:line="282" w:lineRule="auto"/>
        <w:rPr>
          <w:sz w:val="20"/>
          <w:szCs w:val="20"/>
          <w:color w:val="auto"/>
        </w:rPr>
      </w:pPr>
      <w:r>
        <w:rPr>
          <w:rFonts w:ascii="Arial" w:cs="Arial" w:eastAsia="Arial" w:hAnsi="Arial"/>
          <w:sz w:val="16"/>
          <w:szCs w:val="16"/>
          <w:color w:val="auto"/>
        </w:rPr>
        <w:t>measures, consistent with industry standards, designed to protect the IT Systems. Without limiting the foregoing, the Company and its subsidiaries have implemented, maintained and complied with commercially reasonable information technology measures designed to ensure the operation, redundancy and security of, and to protect against any material breach, destruction, loss, unauthorized distribution, use, access, disablement, misappropriation or modification, or other compromise or misuse of or relating to, the IT Systems (“Breach”). Except as described in the Pricing Prospectus, since January 1, 2020, except as would not reasonably be expected to have a Material Adverse Effect, there have been (i) no Breaches or outages, and (ii) no incidents, events or conditions under internal review or investigations relating to outages or any actual or suspected Breach;</w:t>
      </w:r>
    </w:p>
    <w:p>
      <w:pPr>
        <w:spacing w:after="0" w:line="169" w:lineRule="exact"/>
        <w:rPr>
          <w:sz w:val="20"/>
          <w:szCs w:val="20"/>
          <w:color w:val="auto"/>
        </w:rPr>
      </w:pPr>
    </w:p>
    <w:p>
      <w:pPr>
        <w:jc w:val="both"/>
        <w:ind w:left="4" w:firstLine="631"/>
        <w:spacing w:after="0" w:line="249" w:lineRule="auto"/>
        <w:rPr>
          <w:sz w:val="20"/>
          <w:szCs w:val="20"/>
          <w:color w:val="auto"/>
        </w:rPr>
      </w:pPr>
      <w:r>
        <w:rPr>
          <w:rFonts w:ascii="Arial" w:cs="Arial" w:eastAsia="Arial" w:hAnsi="Arial"/>
          <w:sz w:val="18"/>
          <w:szCs w:val="18"/>
          <w:color w:val="010000"/>
        </w:rPr>
        <w:t xml:space="preserve">(aa)         </w:t>
      </w:r>
      <w:r>
        <w:rPr>
          <w:rFonts w:ascii="Arial" w:cs="Arial" w:eastAsia="Arial" w:hAnsi="Arial"/>
          <w:sz w:val="18"/>
          <w:szCs w:val="18"/>
          <w:color w:val="000000"/>
        </w:rPr>
        <w:t>No labor dispute with or disturbance by the employees of the Company or any of its subsidiaries exists or, to the knowledge of the</w:t>
      </w:r>
      <w:r>
        <w:rPr>
          <w:rFonts w:ascii="Arial" w:cs="Arial" w:eastAsia="Arial" w:hAnsi="Arial"/>
          <w:sz w:val="18"/>
          <w:szCs w:val="18"/>
          <w:color w:val="010000"/>
        </w:rPr>
        <w:t xml:space="preserve"> </w:t>
      </w:r>
      <w:r>
        <w:rPr>
          <w:rFonts w:ascii="Arial" w:cs="Arial" w:eastAsia="Arial" w:hAnsi="Arial"/>
          <w:sz w:val="18"/>
          <w:szCs w:val="18"/>
          <w:color w:val="000000"/>
        </w:rPr>
        <w:t>Company is threatened; and neither the Company nor any of its subsidiaries has received written notice of any existing, threatened or imminent labor disturbance by the employees of any of its principal vendors, partners or contractors except, as would not be reasonably expected to have, individually or in the aggregate, a Material Adverse Effect;</w:t>
      </w:r>
    </w:p>
    <w:p>
      <w:pPr>
        <w:spacing w:after="0" w:line="192" w:lineRule="exact"/>
        <w:rPr>
          <w:sz w:val="20"/>
          <w:szCs w:val="20"/>
          <w:color w:val="auto"/>
        </w:rPr>
      </w:pPr>
    </w:p>
    <w:p>
      <w:pPr>
        <w:jc w:val="both"/>
        <w:ind w:left="4" w:firstLine="631"/>
        <w:spacing w:after="0" w:line="275" w:lineRule="auto"/>
        <w:rPr>
          <w:sz w:val="20"/>
          <w:szCs w:val="20"/>
          <w:color w:val="auto"/>
        </w:rPr>
      </w:pPr>
      <w:r>
        <w:rPr>
          <w:rFonts w:ascii="Arial" w:cs="Arial" w:eastAsia="Arial" w:hAnsi="Arial"/>
          <w:sz w:val="16"/>
          <w:szCs w:val="16"/>
          <w:color w:val="010000"/>
        </w:rPr>
        <w:t xml:space="preserve">(bb)         </w:t>
      </w:r>
      <w:r>
        <w:rPr>
          <w:rFonts w:ascii="Arial" w:cs="Arial" w:eastAsia="Arial" w:hAnsi="Arial"/>
          <w:sz w:val="16"/>
          <w:szCs w:val="16"/>
          <w:color w:val="000000"/>
        </w:rPr>
        <w:t>Each Plan (as defined below) sponsored by the Company or any of its subsidiaries has been sponsored, maintained and contributed to</w:t>
      </w:r>
      <w:r>
        <w:rPr>
          <w:rFonts w:ascii="Arial" w:cs="Arial" w:eastAsia="Arial" w:hAnsi="Arial"/>
          <w:sz w:val="16"/>
          <w:szCs w:val="16"/>
          <w:color w:val="010000"/>
        </w:rPr>
        <w:t xml:space="preserve"> </w:t>
      </w:r>
      <w:r>
        <w:rPr>
          <w:rFonts w:ascii="Arial" w:cs="Arial" w:eastAsia="Arial" w:hAnsi="Arial"/>
          <w:sz w:val="16"/>
          <w:szCs w:val="16"/>
          <w:color w:val="000000"/>
        </w:rPr>
        <w:t>in compliance with its terms and the requirements of any applicable statutes, orders, rules and regulations, including, but not limited to, the Employee Retirement Income Security Act of 1974, as amended (“ERISA”), and the Internal Revenue Code of 1986, as amended (the “Code”), except for noncompliance that would not reasonably be expected to have a Material Adverse Effect; (B) no non-exempt prohibited transaction, within the meaning of Section 406 of ERISA or Section 4975 of the Code, has occurred with respect to any Plan sponsored by the Company or any of its subsidiaries that would reasonably be expected to have a Material Adverse Event; (C) for each Plan that is subject to the funding rules of Section 412 of the Code or Section 302 of ERISA, no failure to satisfy the minimum funding standards (within the meaning of Section 412 of the Code or Section 302 of ERISA), whether or not waived, has occurred or is reasonably expected to occur that would reasonably be expected to have a Material Adverse Event; (D) no “reportable event” (within the meaning of Section 4043(c) of ERISA, other than those events as to which notice is waived) has occurred or is reasonably expected to occur that would reasonably be expected to have, individually or in the aggregate, a Material Adverse Effect;</w:t>
      </w:r>
    </w:p>
    <w:p>
      <w:pPr>
        <w:spacing w:after="0" w:line="7" w:lineRule="exact"/>
        <w:rPr>
          <w:sz w:val="20"/>
          <w:szCs w:val="20"/>
          <w:color w:val="auto"/>
        </w:rPr>
      </w:pPr>
    </w:p>
    <w:p>
      <w:pPr>
        <w:jc w:val="both"/>
        <w:ind w:left="4" w:hanging="4"/>
        <w:spacing w:after="0" w:line="305" w:lineRule="auto"/>
        <w:tabs>
          <w:tab w:leader="none" w:pos="303" w:val="left"/>
        </w:tabs>
        <w:numPr>
          <w:ilvl w:val="0"/>
          <w:numId w:val="38"/>
        </w:numPr>
        <w:rPr>
          <w:rFonts w:ascii="Arial" w:cs="Arial" w:eastAsia="Arial" w:hAnsi="Arial"/>
          <w:sz w:val="15"/>
          <w:szCs w:val="15"/>
          <w:color w:val="auto"/>
        </w:rPr>
      </w:pPr>
      <w:r>
        <w:rPr>
          <w:rFonts w:ascii="Arial" w:cs="Arial" w:eastAsia="Arial" w:hAnsi="Arial"/>
          <w:sz w:val="15"/>
          <w:szCs w:val="15"/>
          <w:color w:val="auto"/>
        </w:rPr>
        <w:t>neither the Company nor any member of its “Controlled Group” (defined as any organization which is a member of a controlled group of corporations within the meaning of Section 414 of the Code) has incurred, or is reasonably expected to incur, any liability under Title IV of ERISA (other than contributions to any Plan or any Multiemployer Plan (as defined below) or premiums to the Pension Benefit Guaranty Corporation (the “PBGC”), in the ordinary course and without default) in respect of a Plan or a Multiemployer Plan, except as would not reasonably be expected to have a Material Adverse Effect; and (F) there is no pending audit or investigation by the Internal Revenue Service, the Department of Labor, the PBGC</w:t>
      </w:r>
    </w:p>
    <w:p>
      <w:pPr>
        <w:spacing w:after="0" w:line="364"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10160</wp:posOffset>
            </wp:positionV>
            <wp:extent cx="71361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4"/>
          </w:cols>
          <w:pgMar w:left="956" w:top="889" w:right="339" w:bottom="1440" w:gutter="0" w:footer="0" w:header="0"/>
        </w:sectPr>
      </w:pPr>
    </w:p>
    <w:bookmarkStart w:id="53" w:name="page54"/>
    <w:bookmarkEnd w:id="53"/>
    <w:p>
      <w:pPr>
        <w:jc w:val="both"/>
        <w:ind w:left="4"/>
        <w:spacing w:after="0" w:line="279" w:lineRule="auto"/>
        <w:rPr>
          <w:sz w:val="20"/>
          <w:szCs w:val="20"/>
          <w:color w:val="auto"/>
        </w:rPr>
      </w:pPr>
      <w:r>
        <w:rPr>
          <w:rFonts w:ascii="Arial" w:cs="Arial" w:eastAsia="Arial" w:hAnsi="Arial"/>
          <w:sz w:val="16"/>
          <w:szCs w:val="16"/>
          <w:color w:val="auto"/>
        </w:rPr>
        <w:t>or any other governmental agency or any foreign regulatory agency with respect to any Plan sponsored by the Company or any of its subsidiaries that, individually or in the aggregate, would reasonably be expected to have a Material Adverse Effect. None of the following events has occurred or is reasonably likely to occur, except as would not reasonably be expected to have a Material Adverse Effect: (x) an increase in the aggregate amount of contributions required to be made to all Plans by the Company or its subsidiaries in the current fiscal year of the Company and its subsidiaries compared to the amount of such contributions made in the Company and its subsidiaries’ most recently completed fiscal year; or (y) an increase in the Company and its subsidiaries’ “accumulated post-retirement benefit obligations” (within the meaning of Financial Accounting Standards Board Accounting Standards Codification Topic 715) compared to the amount of such obligations in the Company and its subsidiaries’ most recently completed fiscal year. For purposes of this paragraph, (i) the term “Plan” means an employee benefit plan, within the meaning of Section 3(3) of ERISA, subject to Title IV of ERISA, but excluding any Multiemployer Plan, sponsored, maintained or contributed to (or required to be contributed to) by the Company or any member of its Controlled Group and (ii) the term “Multiemployer Plan” means a multiemployer plan within the meaning of Section 4001(a)(3) of ERISA that is contributed to or required to be contributed to by the Company or any member of its Controlled Group;</w:t>
      </w:r>
    </w:p>
    <w:p>
      <w:pPr>
        <w:spacing w:after="0" w:line="171" w:lineRule="exact"/>
        <w:rPr>
          <w:sz w:val="20"/>
          <w:szCs w:val="20"/>
          <w:color w:val="auto"/>
        </w:rPr>
      </w:pPr>
    </w:p>
    <w:p>
      <w:pPr>
        <w:jc w:val="both"/>
        <w:ind w:left="4" w:firstLine="631"/>
        <w:spacing w:after="0" w:line="275" w:lineRule="auto"/>
        <w:rPr>
          <w:sz w:val="20"/>
          <w:szCs w:val="20"/>
          <w:color w:val="auto"/>
        </w:rPr>
      </w:pPr>
      <w:r>
        <w:rPr>
          <w:rFonts w:ascii="Arial" w:cs="Arial" w:eastAsia="Arial" w:hAnsi="Arial"/>
          <w:sz w:val="16"/>
          <w:szCs w:val="16"/>
          <w:color w:val="010000"/>
        </w:rPr>
        <w:t xml:space="preserve">(cc)         </w:t>
      </w:r>
      <w:r>
        <w:rPr>
          <w:rFonts w:ascii="Arial" w:cs="Arial" w:eastAsia="Arial" w:hAnsi="Arial"/>
          <w:sz w:val="16"/>
          <w:szCs w:val="16"/>
          <w:color w:val="000000"/>
        </w:rPr>
        <w:t>Except in all cases where such violation, claim, request, notice, proceeding, investigation or capital expenditure would not,</w:t>
      </w:r>
      <w:r>
        <w:rPr>
          <w:rFonts w:ascii="Arial" w:cs="Arial" w:eastAsia="Arial" w:hAnsi="Arial"/>
          <w:sz w:val="16"/>
          <w:szCs w:val="16"/>
          <w:color w:val="010000"/>
        </w:rPr>
        <w:t xml:space="preserve"> </w:t>
      </w:r>
      <w:r>
        <w:rPr>
          <w:rFonts w:ascii="Arial" w:cs="Arial" w:eastAsia="Arial" w:hAnsi="Arial"/>
          <w:sz w:val="16"/>
          <w:szCs w:val="16"/>
          <w:color w:val="000000"/>
        </w:rPr>
        <w:t>individually or in the aggregate, reasonably be expected to have a Material Adverse Effect, (A) neither the Company nor any of its subsidiaries is in violation of any applicable statute, law, regulation, ordinance, code or order of or with any governmental agency or body or any court, domestic or foreign, in each case, having jurisdiction over the Company or such subsidiary, relating to the use, management, disposal or release of hazardous or toxic substances or wastes or relating to pollution or the protection of the environment or human health or relating to exposure to hazardous or toxic substances or wastes (collectively, “Environmental Laws”), (B) neither the Company nor any of its subsidiaries has received any written claim, written request for information or written notice of liability or investigation arising under, relating to or based upon any Environmental Laws, (C) neither the Company nor any of its subsidiaries is aware of any pending or threatened notice, claim, proceeding or investigation which might lead to liability under Environmental Laws, (D) the Company does not anticipate incurring capital expenditures relating to compliance with Environmental Laws (including, without limitation, any capital or operating expenditures required for clean-up, investigation or closure of properties or compliance with Environmental Laws or any permit, license, approval, any related constraints on operating activities and any potential liabilities to third parties), and</w:t>
      </w:r>
    </w:p>
    <w:p>
      <w:pPr>
        <w:spacing w:after="0" w:line="6" w:lineRule="exact"/>
        <w:rPr>
          <w:sz w:val="20"/>
          <w:szCs w:val="20"/>
          <w:color w:val="auto"/>
        </w:rPr>
      </w:pPr>
    </w:p>
    <w:p>
      <w:pPr>
        <w:jc w:val="both"/>
        <w:ind w:left="4" w:hanging="4"/>
        <w:spacing w:after="0" w:line="245" w:lineRule="auto"/>
        <w:tabs>
          <w:tab w:leader="none" w:pos="2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named as a “potentially responsible party” under the Comprehensive Environmental Response, Compensation, and Liability Act of 1980, as amended or is otherwise aware of contamination that would reasonably be expected to result in a claim against the Company or any of its subsidiaries under any Environmental Laws;</w:t>
      </w:r>
    </w:p>
    <w:p>
      <w:pPr>
        <w:spacing w:after="0" w:line="195" w:lineRule="exact"/>
        <w:rPr>
          <w:sz w:val="20"/>
          <w:szCs w:val="20"/>
          <w:color w:val="auto"/>
        </w:rPr>
      </w:pPr>
    </w:p>
    <w:p>
      <w:pPr>
        <w:ind w:left="624"/>
        <w:spacing w:after="0"/>
        <w:rPr>
          <w:sz w:val="20"/>
          <w:szCs w:val="20"/>
          <w:color w:val="auto"/>
        </w:rPr>
      </w:pPr>
      <w:r>
        <w:rPr>
          <w:rFonts w:ascii="Arial" w:cs="Arial" w:eastAsia="Arial" w:hAnsi="Arial"/>
          <w:sz w:val="18"/>
          <w:szCs w:val="18"/>
          <w:color w:val="010000"/>
        </w:rPr>
        <w:t xml:space="preserve">(dd)         </w:t>
      </w:r>
      <w:r>
        <w:rPr>
          <w:rFonts w:ascii="Arial" w:cs="Arial" w:eastAsia="Arial" w:hAnsi="Arial"/>
          <w:sz w:val="18"/>
          <w:szCs w:val="18"/>
          <w:color w:val="000000"/>
        </w:rPr>
        <w:t>The Company and its subsidiaries have paid all federal, state, local</w:t>
      </w:r>
    </w:p>
    <w:p>
      <w:pPr>
        <w:spacing w:after="0" w:line="200" w:lineRule="exact"/>
        <w:rPr>
          <w:sz w:val="20"/>
          <w:szCs w:val="20"/>
          <w:color w:val="auto"/>
        </w:rPr>
      </w:pPr>
    </w:p>
    <w:p>
      <w:pPr>
        <w:spacing w:after="0" w:line="224"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10160</wp:posOffset>
            </wp:positionV>
            <wp:extent cx="71361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4"/>
          </w:cols>
          <w:pgMar w:left="956" w:top="889" w:right="339" w:bottom="1440" w:gutter="0" w:footer="0" w:header="0"/>
        </w:sectPr>
      </w:pPr>
    </w:p>
    <w:bookmarkStart w:id="54" w:name="page55"/>
    <w:bookmarkEnd w:id="54"/>
    <w:p>
      <w:pPr>
        <w:jc w:val="both"/>
        <w:spacing w:after="0" w:line="286" w:lineRule="auto"/>
        <w:rPr>
          <w:sz w:val="20"/>
          <w:szCs w:val="20"/>
          <w:color w:val="auto"/>
        </w:rPr>
      </w:pPr>
      <w:r>
        <w:rPr>
          <w:rFonts w:ascii="Arial" w:cs="Arial" w:eastAsia="Arial" w:hAnsi="Arial"/>
          <w:sz w:val="16"/>
          <w:szCs w:val="16"/>
          <w:color w:val="auto"/>
        </w:rPr>
        <w:t>and foreign taxes required to be paid (except as currently being contested in good faith) and filed all tax returns required to be filed through the date hereof, and there is no tax deficiency that has been, or would reasonably be expected to be, asserted against the Company or any of its subsidiaries or any of their respective properties or assets, except, in each case, as would not, individually or in the aggregate, reasonably be expected to have a Material Adverse Effect and the Company does not have any knowledge of any tax deficiencies which would reasonably be expected to be determined adversely to the Company and which would reasonably be expected to have a Material Adverse Effect;</w:t>
      </w:r>
    </w:p>
    <w:p>
      <w:pPr>
        <w:spacing w:after="0" w:line="166"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010000"/>
        </w:rPr>
        <w:t xml:space="preserve">(ee)         </w:t>
      </w:r>
      <w:r>
        <w:rPr>
          <w:rFonts w:ascii="Arial" w:cs="Arial" w:eastAsia="Arial" w:hAnsi="Arial"/>
          <w:sz w:val="18"/>
          <w:szCs w:val="18"/>
          <w:color w:val="000000"/>
        </w:rPr>
        <w:t>No forward-looking statement (within the meaning of Section 27A of the Act and Section 21E of the Exchange Act) included or</w:t>
      </w:r>
      <w:r>
        <w:rPr>
          <w:rFonts w:ascii="Arial" w:cs="Arial" w:eastAsia="Arial" w:hAnsi="Arial"/>
          <w:sz w:val="18"/>
          <w:szCs w:val="18"/>
          <w:color w:val="010000"/>
        </w:rPr>
        <w:t xml:space="preserve"> </w:t>
      </w:r>
      <w:r>
        <w:rPr>
          <w:rFonts w:ascii="Arial" w:cs="Arial" w:eastAsia="Arial" w:hAnsi="Arial"/>
          <w:sz w:val="18"/>
          <w:szCs w:val="18"/>
          <w:color w:val="000000"/>
        </w:rPr>
        <w:t>incorporated by reference in any of the Registration Statement, the Pricing Prospectus or the Prospectus has been made or reaffirmed without a reasonable basis or has been disclosed other than in good faith;</w:t>
      </w:r>
    </w:p>
    <w:p>
      <w:pPr>
        <w:spacing w:after="0" w:line="189" w:lineRule="exact"/>
        <w:rPr>
          <w:sz w:val="20"/>
          <w:szCs w:val="20"/>
          <w:color w:val="auto"/>
        </w:rPr>
      </w:pPr>
    </w:p>
    <w:p>
      <w:pPr>
        <w:jc w:val="both"/>
        <w:ind w:firstLine="631"/>
        <w:spacing w:after="0" w:line="290" w:lineRule="auto"/>
        <w:rPr>
          <w:sz w:val="20"/>
          <w:szCs w:val="20"/>
          <w:color w:val="auto"/>
        </w:rPr>
      </w:pPr>
      <w:r>
        <w:rPr>
          <w:rFonts w:ascii="Arial" w:cs="Arial" w:eastAsia="Arial" w:hAnsi="Arial"/>
          <w:sz w:val="16"/>
          <w:szCs w:val="16"/>
          <w:color w:val="010000"/>
        </w:rPr>
        <w:t xml:space="preserve">(ff)           </w:t>
      </w:r>
      <w:r>
        <w:rPr>
          <w:rFonts w:ascii="Arial" w:cs="Arial" w:eastAsia="Arial" w:hAnsi="Arial"/>
          <w:sz w:val="16"/>
          <w:szCs w:val="16"/>
          <w:color w:val="000000"/>
        </w:rPr>
        <w:t>Nothing has come to the attention of the Company that has caused the Company to believe that the statistical and market-related data</w:t>
      </w:r>
      <w:r>
        <w:rPr>
          <w:rFonts w:ascii="Arial" w:cs="Arial" w:eastAsia="Arial" w:hAnsi="Arial"/>
          <w:sz w:val="16"/>
          <w:szCs w:val="16"/>
          <w:color w:val="010000"/>
        </w:rPr>
        <w:t xml:space="preserve"> </w:t>
      </w:r>
      <w:r>
        <w:rPr>
          <w:rFonts w:ascii="Arial" w:cs="Arial" w:eastAsia="Arial" w:hAnsi="Arial"/>
          <w:sz w:val="16"/>
          <w:szCs w:val="16"/>
          <w:color w:val="000000"/>
        </w:rPr>
        <w:t>included in each of the Registration Statement, the Pricing Prospectus and the Prospectus is not based on or derived from sources that are reliable and accurate in all material respects; and such data are consistent with the sources from which they are derived and, to the extent required, the Company has obtained the written consent to the use of such data from such sources;</w:t>
      </w:r>
    </w:p>
    <w:p>
      <w:pPr>
        <w:spacing w:after="0" w:line="162"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010000"/>
        </w:rPr>
        <w:t>(gg)        </w:t>
      </w:r>
      <w:r>
        <w:rPr>
          <w:rFonts w:ascii="Arial" w:cs="Arial" w:eastAsia="Arial" w:hAnsi="Arial"/>
          <w:sz w:val="16"/>
          <w:szCs w:val="16"/>
          <w:color w:val="000000"/>
        </w:rPr>
        <w:t>There is and has been no failure on the part of the Company or any of the Company’s directors or officers, in their capacities as such,</w:t>
      </w:r>
      <w:r>
        <w:rPr>
          <w:rFonts w:ascii="Arial" w:cs="Arial" w:eastAsia="Arial" w:hAnsi="Arial"/>
          <w:sz w:val="16"/>
          <w:szCs w:val="16"/>
          <w:color w:val="010000"/>
        </w:rPr>
        <w:t xml:space="preserve"> </w:t>
      </w:r>
      <w:r>
        <w:rPr>
          <w:rFonts w:ascii="Arial" w:cs="Arial" w:eastAsia="Arial" w:hAnsi="Arial"/>
          <w:sz w:val="16"/>
          <w:szCs w:val="16"/>
          <w:color w:val="000000"/>
        </w:rPr>
        <w:t>to comply with any applicable provision of the Sarbanes-Oxley Act of 2002, as amended and the rules and regulations promulgated in connection therewith (the “Sarbanes-Oxley Act”), including Section 402 related to loans and Sections 302 and 906 related to certifications;</w:t>
      </w:r>
    </w:p>
    <w:p>
      <w:pPr>
        <w:spacing w:after="0" w:line="154"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010000"/>
        </w:rPr>
        <w:t xml:space="preserve">(hh)         </w:t>
      </w:r>
      <w:r>
        <w:rPr>
          <w:rFonts w:ascii="Arial" w:cs="Arial" w:eastAsia="Arial" w:hAnsi="Arial"/>
          <w:sz w:val="18"/>
          <w:szCs w:val="18"/>
          <w:color w:val="000000"/>
        </w:rPr>
        <w:t>Neither the Company nor any of its affiliates has taken or will take, directly or indirectly, any action designed to or that could</w:t>
      </w:r>
      <w:r>
        <w:rPr>
          <w:rFonts w:ascii="Arial" w:cs="Arial" w:eastAsia="Arial" w:hAnsi="Arial"/>
          <w:sz w:val="18"/>
          <w:szCs w:val="18"/>
          <w:color w:val="010000"/>
        </w:rPr>
        <w:t xml:space="preserve"> </w:t>
      </w:r>
      <w:r>
        <w:rPr>
          <w:rFonts w:ascii="Arial" w:cs="Arial" w:eastAsia="Arial" w:hAnsi="Arial"/>
          <w:sz w:val="18"/>
          <w:szCs w:val="18"/>
          <w:color w:val="000000"/>
        </w:rPr>
        <w:t>reasonably be expected to cause or result in the stabilization or manipulation of the price of any security of the Company or any of its subsidiaries in connection with the offering of the Shares;</w:t>
      </w:r>
    </w:p>
    <w:p>
      <w:pPr>
        <w:spacing w:after="0" w:line="189"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010000"/>
        </w:rPr>
        <w:t>(ii)            </w:t>
      </w:r>
      <w:r>
        <w:rPr>
          <w:rFonts w:ascii="Arial" w:cs="Arial" w:eastAsia="Arial" w:hAnsi="Arial"/>
          <w:sz w:val="18"/>
          <w:szCs w:val="18"/>
          <w:color w:val="000000"/>
        </w:rPr>
        <w:t>The Company has not engaged in any form of solicitation, advertising or other action constituting an offer or a sale under the Israeli</w:t>
      </w:r>
      <w:r>
        <w:rPr>
          <w:rFonts w:ascii="Arial" w:cs="Arial" w:eastAsia="Arial" w:hAnsi="Arial"/>
          <w:sz w:val="18"/>
          <w:szCs w:val="18"/>
          <w:color w:val="010000"/>
        </w:rPr>
        <w:t xml:space="preserve"> </w:t>
      </w:r>
      <w:r>
        <w:rPr>
          <w:rFonts w:ascii="Arial" w:cs="Arial" w:eastAsia="Arial" w:hAnsi="Arial"/>
          <w:sz w:val="18"/>
          <w:szCs w:val="18"/>
          <w:color w:val="000000"/>
        </w:rPr>
        <w:t>Securities Law, 5728-1968 in connection with the transactions contemplated hereby, which would require the Company to publish a prospectus in the State of Israel under the laws of the State of Israel;</w:t>
      </w:r>
    </w:p>
    <w:p>
      <w:pPr>
        <w:spacing w:after="0" w:line="189"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010000"/>
        </w:rPr>
        <w:t xml:space="preserve">(jj)           </w:t>
      </w:r>
      <w:r>
        <w:rPr>
          <w:rFonts w:ascii="Arial" w:cs="Arial" w:eastAsia="Arial" w:hAnsi="Arial"/>
          <w:sz w:val="18"/>
          <w:szCs w:val="18"/>
          <w:color w:val="000000"/>
        </w:rPr>
        <w:t>The Company and each of its subsidiaries have such permits, licenses, approvals, consents, franchises, certificates of need and other</w:t>
      </w:r>
      <w:r>
        <w:rPr>
          <w:rFonts w:ascii="Arial" w:cs="Arial" w:eastAsia="Arial" w:hAnsi="Arial"/>
          <w:sz w:val="18"/>
          <w:szCs w:val="18"/>
          <w:color w:val="010000"/>
        </w:rPr>
        <w:t xml:space="preserve"> </w:t>
      </w:r>
      <w:r>
        <w:rPr>
          <w:rFonts w:ascii="Arial" w:cs="Arial" w:eastAsia="Arial" w:hAnsi="Arial"/>
          <w:sz w:val="18"/>
          <w:szCs w:val="18"/>
          <w:color w:val="000000"/>
        </w:rPr>
        <w:t>approvals or authorizations of governmental or regulatory authorities (“Permits”) as are necessary under applicable law to own their respective properties and conduct their respective businesses in the manner described in the Registration Statement, the Pricing Prospectus and the Prospectus, except for any of the foregoing that would</w:t>
      </w:r>
    </w:p>
    <w:p>
      <w:pPr>
        <w:spacing w:after="0" w:line="200" w:lineRule="exact"/>
        <w:rPr>
          <w:sz w:val="20"/>
          <w:szCs w:val="20"/>
          <w:color w:val="auto"/>
        </w:rPr>
      </w:pPr>
    </w:p>
    <w:p>
      <w:pPr>
        <w:spacing w:after="0" w:line="20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10160</wp:posOffset>
            </wp:positionV>
            <wp:extent cx="71361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0"/>
          </w:cols>
          <w:pgMar w:left="960" w:top="890" w:right="339" w:bottom="1440" w:gutter="0" w:footer="0" w:header="0"/>
        </w:sectPr>
      </w:pPr>
    </w:p>
    <w:bookmarkStart w:id="55" w:name="page56"/>
    <w:bookmarkEnd w:id="55"/>
    <w:p>
      <w:pPr>
        <w:jc w:val="both"/>
        <w:spacing w:after="0" w:line="252" w:lineRule="auto"/>
        <w:rPr>
          <w:sz w:val="20"/>
          <w:szCs w:val="20"/>
          <w:color w:val="auto"/>
        </w:rPr>
      </w:pPr>
      <w:r>
        <w:rPr>
          <w:rFonts w:ascii="Arial" w:cs="Arial" w:eastAsia="Arial" w:hAnsi="Arial"/>
          <w:sz w:val="18"/>
          <w:szCs w:val="18"/>
          <w:color w:val="auto"/>
        </w:rPr>
        <w:t>not, individually or in the aggregate, have a Material Adverse Effect. Neither the Company nor any of its subsidiaries has received notice of any proceedings related to the revocation or modification of any such Permits that, individually or in the aggregate, if the subject of an unfavorable decision, ruling or finding, would have a Material Adverse Effect;</w:t>
      </w:r>
    </w:p>
    <w:p>
      <w:pPr>
        <w:spacing w:after="0" w:line="189" w:lineRule="exact"/>
        <w:rPr>
          <w:sz w:val="20"/>
          <w:szCs w:val="20"/>
          <w:color w:val="auto"/>
        </w:rPr>
      </w:pPr>
    </w:p>
    <w:p>
      <w:pPr>
        <w:jc w:val="both"/>
        <w:ind w:firstLine="631"/>
        <w:spacing w:after="0" w:line="286" w:lineRule="auto"/>
        <w:rPr>
          <w:sz w:val="20"/>
          <w:szCs w:val="20"/>
          <w:color w:val="auto"/>
        </w:rPr>
      </w:pPr>
      <w:r>
        <w:rPr>
          <w:rFonts w:ascii="Arial" w:cs="Arial" w:eastAsia="Arial" w:hAnsi="Arial"/>
          <w:sz w:val="16"/>
          <w:szCs w:val="16"/>
          <w:color w:val="010000"/>
        </w:rPr>
        <w:t xml:space="preserve">(kk)         </w:t>
      </w:r>
      <w:r>
        <w:rPr>
          <w:rFonts w:ascii="Arial" w:cs="Arial" w:eastAsia="Arial" w:hAnsi="Arial"/>
          <w:sz w:val="16"/>
          <w:szCs w:val="16"/>
          <w:color w:val="000000"/>
        </w:rPr>
        <w:t>Except as disclosed in the Registration Statement, the Pricing Prospectus and the Prospectus, the Company and its subsidiaries, taken</w:t>
      </w:r>
      <w:r>
        <w:rPr>
          <w:rFonts w:ascii="Arial" w:cs="Arial" w:eastAsia="Arial" w:hAnsi="Arial"/>
          <w:sz w:val="16"/>
          <w:szCs w:val="16"/>
          <w:color w:val="010000"/>
        </w:rPr>
        <w:t xml:space="preserve"> </w:t>
      </w:r>
      <w:r>
        <w:rPr>
          <w:rFonts w:ascii="Arial" w:cs="Arial" w:eastAsia="Arial" w:hAnsi="Arial"/>
          <w:sz w:val="16"/>
          <w:szCs w:val="16"/>
          <w:color w:val="000000"/>
        </w:rPr>
        <w:t>as a whole, are insured against such losses and risks and in such amounts as are prudent and customary in the businesses in which they are engaged and as required by law; and the Company and its subsidiaries reasonably believe that they will be able to renew each’s existing insurance coverage as and when such coverage expires or to obtain similar coverage from similar insurers as may be necessary to continue its business at a cost that would not reasonably be expected to have a Material Adverse Effect on the Company and its subsidiaries, taken as a whole;</w:t>
      </w:r>
    </w:p>
    <w:p>
      <w:pPr>
        <w:spacing w:after="0" w:line="166"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010000"/>
        </w:rPr>
        <w:t xml:space="preserve">(ll)           </w:t>
      </w:r>
      <w:r>
        <w:rPr>
          <w:rFonts w:ascii="Arial" w:cs="Arial" w:eastAsia="Arial" w:hAnsi="Arial"/>
          <w:sz w:val="18"/>
          <w:szCs w:val="18"/>
          <w:color w:val="000000"/>
        </w:rPr>
        <w:t>There is no debt of, or guaranteed by, the Company or any of its subsidiaries that is rated by a “nationally recognized statistical rating</w:t>
      </w:r>
      <w:r>
        <w:rPr>
          <w:rFonts w:ascii="Arial" w:cs="Arial" w:eastAsia="Arial" w:hAnsi="Arial"/>
          <w:sz w:val="18"/>
          <w:szCs w:val="18"/>
          <w:color w:val="010000"/>
        </w:rPr>
        <w:t xml:space="preserve"> </w:t>
      </w:r>
      <w:r>
        <w:rPr>
          <w:rFonts w:ascii="Arial" w:cs="Arial" w:eastAsia="Arial" w:hAnsi="Arial"/>
          <w:sz w:val="18"/>
          <w:szCs w:val="18"/>
          <w:color w:val="000000"/>
        </w:rPr>
        <w:t>organization,” as that term is defined by in Section 3(a)(62) of the Exchange Act; and</w:t>
      </w:r>
    </w:p>
    <w:p>
      <w:pPr>
        <w:spacing w:after="0" w:line="181"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010000"/>
        </w:rPr>
        <w:t xml:space="preserve">(mm)       </w:t>
      </w:r>
      <w:r>
        <w:rPr>
          <w:rFonts w:ascii="Arial" w:cs="Arial" w:eastAsia="Arial" w:hAnsi="Arial"/>
          <w:sz w:val="18"/>
          <w:szCs w:val="18"/>
          <w:color w:val="000000"/>
        </w:rPr>
        <w:t>(i) There are no persons with registration rights or other similar rights to have any securities registered pursuant to the Registration</w:t>
      </w:r>
      <w:r>
        <w:rPr>
          <w:rFonts w:ascii="Arial" w:cs="Arial" w:eastAsia="Arial" w:hAnsi="Arial"/>
          <w:sz w:val="18"/>
          <w:szCs w:val="18"/>
          <w:color w:val="010000"/>
        </w:rPr>
        <w:t xml:space="preserve"> </w:t>
      </w:r>
      <w:r>
        <w:rPr>
          <w:rFonts w:ascii="Arial" w:cs="Arial" w:eastAsia="Arial" w:hAnsi="Arial"/>
          <w:sz w:val="18"/>
          <w:szCs w:val="18"/>
          <w:color w:val="000000"/>
        </w:rPr>
        <w:t>Statement or otherwise registered by the Company under the Act, except as have been validly waived or complied with and (ii) no holder of outstanding shares of the Company’s capital stock is entitled to preemptive or other rights to subscribe for the Shares that have not been complied with or otherwise effectively waived.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010000"/>
        </w:rPr>
        <w:t>2.            </w:t>
      </w:r>
      <w:r>
        <w:rPr>
          <w:rFonts w:ascii="Arial" w:cs="Arial" w:eastAsia="Arial" w:hAnsi="Arial"/>
          <w:sz w:val="18"/>
          <w:szCs w:val="18"/>
          <w:color w:val="000000"/>
        </w:rPr>
        <w:t>The Selling Stockholder represents and warrants to, and agrees with, each of the Underwriters and the Company that:</w:t>
      </w:r>
    </w:p>
    <w:p>
      <w:pPr>
        <w:spacing w:after="0" w:line="214"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010000"/>
        </w:rPr>
        <w:t xml:space="preserve">(a)           </w:t>
      </w:r>
      <w:r>
        <w:rPr>
          <w:rFonts w:ascii="Arial" w:cs="Arial" w:eastAsia="Arial" w:hAnsi="Arial"/>
          <w:sz w:val="18"/>
          <w:szCs w:val="18"/>
          <w:color w:val="000000"/>
        </w:rPr>
        <w:t>All consents, approvals, authorizations and orders necessary for the execution and delivery by the Selling Stockholder of this</w:t>
      </w:r>
      <w:r>
        <w:rPr>
          <w:rFonts w:ascii="Arial" w:cs="Arial" w:eastAsia="Arial" w:hAnsi="Arial"/>
          <w:sz w:val="18"/>
          <w:szCs w:val="18"/>
          <w:color w:val="010000"/>
        </w:rPr>
        <w:t xml:space="preserve"> </w:t>
      </w:r>
      <w:r>
        <w:rPr>
          <w:rFonts w:ascii="Arial" w:cs="Arial" w:eastAsia="Arial" w:hAnsi="Arial"/>
          <w:sz w:val="18"/>
          <w:szCs w:val="18"/>
          <w:color w:val="000000"/>
        </w:rPr>
        <w:t>Agreement, and for the sale and delivery of the Shares to be sold by the Selling Stockholder hereunder, have been obtained; and the Selling Stockholder has full right, power and authority to enter into this Agreement and to sell, assign, transfer and deliver the Shares to be sold by the Selling Stockholder hereunder;</w:t>
      </w:r>
    </w:p>
    <w:p>
      <w:pPr>
        <w:spacing w:after="0" w:line="192"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010000"/>
        </w:rPr>
        <w:t xml:space="preserve">(b)           </w:t>
      </w:r>
      <w:r>
        <w:rPr>
          <w:rFonts w:ascii="Arial" w:cs="Arial" w:eastAsia="Arial" w:hAnsi="Arial"/>
          <w:sz w:val="16"/>
          <w:szCs w:val="16"/>
          <w:color w:val="000000"/>
        </w:rPr>
        <w:t>The sale of the Shares to be sold by the Selling Stockholder hereunder and the compliance by the Selling Stockholder with this</w:t>
      </w:r>
      <w:r>
        <w:rPr>
          <w:rFonts w:ascii="Arial" w:cs="Arial" w:eastAsia="Arial" w:hAnsi="Arial"/>
          <w:sz w:val="16"/>
          <w:szCs w:val="16"/>
          <w:color w:val="010000"/>
        </w:rPr>
        <w:t xml:space="preserve"> </w:t>
      </w:r>
      <w:r>
        <w:rPr>
          <w:rFonts w:ascii="Arial" w:cs="Arial" w:eastAsia="Arial" w:hAnsi="Arial"/>
          <w:sz w:val="16"/>
          <w:szCs w:val="16"/>
          <w:color w:val="000000"/>
        </w:rPr>
        <w:t>Agreement and the consummation of the sale and delivery of the Shares to be sold by the Selling Stockholder hereunder will not conflict with or result in a breach or violation of any of the terms or provisions of, or constitute a default under, any statute, indenture, mortgage, deed of trust, loan agreement, lease or other agreement or instrument to which the Selling Stockholder is a party or by which the Selling Stockholder is bound or to which any of the property or assets of the Selling Stockholder is subject, nor will such action result in any violation of the provisions of the Certificate of Incorporation or By-laws of the Selling Stockholder or any statute or any judgment,</w:t>
      </w:r>
    </w:p>
    <w:p>
      <w:pPr>
        <w:spacing w:after="0" w:line="37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10160</wp:posOffset>
            </wp:positionV>
            <wp:extent cx="71361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0"/>
          </w:cols>
          <w:pgMar w:left="960" w:top="889" w:right="339" w:bottom="1440" w:gutter="0" w:footer="0" w:header="0"/>
        </w:sectPr>
      </w:pPr>
    </w:p>
    <w:bookmarkStart w:id="56" w:name="page57"/>
    <w:bookmarkEnd w:id="56"/>
    <w:p>
      <w:pPr>
        <w:jc w:val="both"/>
        <w:spacing w:after="0" w:line="279" w:lineRule="auto"/>
        <w:rPr>
          <w:sz w:val="20"/>
          <w:szCs w:val="20"/>
          <w:color w:val="auto"/>
        </w:rPr>
      </w:pPr>
      <w:r>
        <w:rPr>
          <w:rFonts w:ascii="Arial" w:cs="Arial" w:eastAsia="Arial" w:hAnsi="Arial"/>
          <w:sz w:val="16"/>
          <w:szCs w:val="16"/>
          <w:color w:val="auto"/>
        </w:rPr>
        <w:t>order, rule or regulation of any court or governmental agency or body having jurisdiction over the Selling Stockholder or any property or assets of the Selling Stockholder, except, in each case, for any such conflict, breach, violation or default that would not, individually or in the aggregate, affect the validity of the Shares to be sold by the Selling Stockholder hereunder or reasonably be expected to materially impair the ability of such Selling Stockholder to consummate the sale and delivery of the Shares to be sold by the Selling Stockholder hereunder; and no consent, approval, authorization, order, registration or qualification of or with any such court or governmental body or agency is required for the performance by the Selling Stockholder of its obligations under this Agreement and the consummation by the Selling Stockholder of the sale and delivery of the Shares to be sold by the Selling Stockholder hereunder, except the registration under the Act of the Shares, the approval by FINRA of the underwriting terms and arrangements, the approval for listing on NASDAQ and such consents, approvals, authorizations, orders, registrations or qualifications as may be required under state securities or Blue Sky laws in connection with the purchase and distribution of the Shares by the Underwriters; with respect to the Shares to be issued by the Company upon conversion of an equivalent number of shares of Class B Common Stock, the Selling Stockholder has, or will have prior to the Closing Date, duly completed and executed all required documentation (if any) required to effect such conversion;</w:t>
      </w:r>
    </w:p>
    <w:p>
      <w:pPr>
        <w:spacing w:after="0" w:line="171" w:lineRule="exact"/>
        <w:rPr>
          <w:sz w:val="20"/>
          <w:szCs w:val="20"/>
          <w:color w:val="auto"/>
        </w:rPr>
      </w:pPr>
    </w:p>
    <w:p>
      <w:pPr>
        <w:jc w:val="both"/>
        <w:ind w:firstLine="631"/>
        <w:spacing w:after="0" w:line="286" w:lineRule="auto"/>
        <w:rPr>
          <w:sz w:val="20"/>
          <w:szCs w:val="20"/>
          <w:color w:val="auto"/>
        </w:rPr>
      </w:pPr>
      <w:r>
        <w:rPr>
          <w:rFonts w:ascii="Arial" w:cs="Arial" w:eastAsia="Arial" w:hAnsi="Arial"/>
          <w:sz w:val="16"/>
          <w:szCs w:val="16"/>
          <w:color w:val="010000"/>
        </w:rPr>
        <w:t>(c)            </w:t>
      </w:r>
      <w:r>
        <w:rPr>
          <w:rFonts w:ascii="Arial" w:cs="Arial" w:eastAsia="Arial" w:hAnsi="Arial"/>
          <w:sz w:val="16"/>
          <w:szCs w:val="16"/>
          <w:color w:val="000000"/>
        </w:rPr>
        <w:t>Upon issuance of the Shares upon conversion of shares of Class B Common Stock held by the Selling Stockholder, and immediately</w:t>
      </w:r>
      <w:r>
        <w:rPr>
          <w:rFonts w:ascii="Arial" w:cs="Arial" w:eastAsia="Arial" w:hAnsi="Arial"/>
          <w:sz w:val="16"/>
          <w:szCs w:val="16"/>
          <w:color w:val="010000"/>
        </w:rPr>
        <w:t xml:space="preserve"> </w:t>
      </w:r>
      <w:r>
        <w:rPr>
          <w:rFonts w:ascii="Arial" w:cs="Arial" w:eastAsia="Arial" w:hAnsi="Arial"/>
          <w:sz w:val="16"/>
          <w:szCs w:val="16"/>
          <w:color w:val="000000"/>
        </w:rPr>
        <w:t>prior to each Time of Delivery, the Selling Stockholder will have, good and valid title to, or a valid “security entitlement” within the meaning of Section 8-501 of the New York Uniform Commercial Code in respect of, the Shares to be sold by the Selling Stockholder hereunder at such Time of Delivery, free and clear of all liens, encumbrances, equities or claims; and, upon delivery of such Shares and payment therefor pursuant hereto, good and valid title to such Shares, free and clear of all liens, encumbrances, equities or claims, will pass to the several Underwriters;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8"/>
          <w:szCs w:val="18"/>
          <w:color w:val="010000"/>
        </w:rPr>
        <w:t xml:space="preserve">(d)           </w:t>
      </w:r>
      <w:r>
        <w:rPr>
          <w:rFonts w:ascii="Arial" w:cs="Arial" w:eastAsia="Arial" w:hAnsi="Arial"/>
          <w:sz w:val="18"/>
          <w:szCs w:val="18"/>
          <w:color w:val="000000"/>
        </w:rPr>
        <w:t>[Reserved];</w:t>
      </w:r>
    </w:p>
    <w:p>
      <w:pPr>
        <w:spacing w:after="0" w:line="214"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010000"/>
        </w:rPr>
        <w:t>(e)            </w:t>
      </w:r>
      <w:r>
        <w:rPr>
          <w:rFonts w:ascii="Arial" w:cs="Arial" w:eastAsia="Arial" w:hAnsi="Arial"/>
          <w:sz w:val="18"/>
          <w:szCs w:val="18"/>
          <w:color w:val="000000"/>
        </w:rPr>
        <w:t>The Selling Stockholder has not taken and will not take, directly or indirectly, any action that is designed to or that has constituted or</w:t>
      </w:r>
      <w:r>
        <w:rPr>
          <w:rFonts w:ascii="Arial" w:cs="Arial" w:eastAsia="Arial" w:hAnsi="Arial"/>
          <w:sz w:val="18"/>
          <w:szCs w:val="18"/>
          <w:color w:val="010000"/>
        </w:rPr>
        <w:t xml:space="preserve"> </w:t>
      </w:r>
      <w:r>
        <w:rPr>
          <w:rFonts w:ascii="Arial" w:cs="Arial" w:eastAsia="Arial" w:hAnsi="Arial"/>
          <w:sz w:val="18"/>
          <w:szCs w:val="18"/>
          <w:color w:val="000000"/>
        </w:rPr>
        <w:t>might reasonably be expected to cause or result in stabilization or manipulation of the price of any security of the Company to facilitate the sale or resale of the Shares;</w:t>
      </w:r>
    </w:p>
    <w:p>
      <w:pPr>
        <w:spacing w:after="0" w:line="189"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010000"/>
        </w:rPr>
        <w:t>(f)            </w:t>
      </w:r>
      <w:r>
        <w:rPr>
          <w:rFonts w:ascii="Arial" w:cs="Arial" w:eastAsia="Arial" w:hAnsi="Arial"/>
          <w:sz w:val="16"/>
          <w:szCs w:val="16"/>
          <w:color w:val="000000"/>
        </w:rPr>
        <w:t>To the extent that any statements or omissions made in the Registration Statement, any Preliminary Prospectus and the Prospectus</w:t>
      </w:r>
      <w:r>
        <w:rPr>
          <w:rFonts w:ascii="Arial" w:cs="Arial" w:eastAsia="Arial" w:hAnsi="Arial"/>
          <w:sz w:val="16"/>
          <w:szCs w:val="16"/>
          <w:color w:val="010000"/>
        </w:rPr>
        <w:t xml:space="preserve"> </w:t>
      </w:r>
      <w:r>
        <w:rPr>
          <w:rFonts w:ascii="Arial" w:cs="Arial" w:eastAsia="Arial" w:hAnsi="Arial"/>
          <w:sz w:val="16"/>
          <w:szCs w:val="16"/>
          <w:color w:val="000000"/>
        </w:rPr>
        <w:t>and any further amendments or supplements to the Registration Statement and the Prospectus are made in reliance upon and in conformity with written information furnished to the Company by the Selling Stockholder pursuant to Items 7 and 11(m) of Form S–1 expressly for use therein, 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w:t>
      </w:r>
    </w:p>
    <w:p>
      <w:pPr>
        <w:spacing w:after="0" w:line="37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10160</wp:posOffset>
            </wp:positionV>
            <wp:extent cx="71361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0"/>
          </w:cols>
          <w:pgMar w:left="960" w:top="889" w:right="339" w:bottom="1440" w:gutter="0" w:footer="0" w:header="0"/>
        </w:sectPr>
      </w:pPr>
    </w:p>
    <w:bookmarkStart w:id="57" w:name="page58"/>
    <w:bookmarkEnd w:id="57"/>
    <w:p>
      <w:pPr>
        <w:jc w:val="both"/>
        <w:spacing w:after="0" w:line="284" w:lineRule="auto"/>
        <w:rPr>
          <w:sz w:val="20"/>
          <w:szCs w:val="20"/>
          <w:color w:val="auto"/>
        </w:rPr>
      </w:pPr>
      <w:r>
        <w:rPr>
          <w:rFonts w:ascii="Arial" w:cs="Arial" w:eastAsia="Arial" w:hAnsi="Arial"/>
          <w:sz w:val="16"/>
          <w:szCs w:val="16"/>
          <w:color w:val="auto"/>
        </w:rPr>
        <w:t>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it being understood and agreed that for purposes of this Agreement, the only information furnished by the Selling Stockholder consists of the name of the Selling Stockholder, the number of offered shares and the address and other information with respect to the Selling Stockholder (excluding percentages) which appear in the Registration Statement, Preliminary Prospectus or the Prospectus in the table (and corresponding footnotes) under the caption “Principal and Selling Stockholders”(the "Selling Stockholder Information");</w:t>
      </w:r>
    </w:p>
    <w:p>
      <w:pPr>
        <w:spacing w:after="0" w:line="166"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010000"/>
        </w:rPr>
        <w:t xml:space="preserve">(g)           </w:t>
      </w:r>
      <w:r>
        <w:rPr>
          <w:rFonts w:ascii="Arial" w:cs="Arial" w:eastAsia="Arial" w:hAnsi="Arial"/>
          <w:sz w:val="18"/>
          <w:szCs w:val="18"/>
          <w:color w:val="000000"/>
        </w:rPr>
        <w:t>In order to document the Underwriters' compliance with the reporting and withholding provisions of the Tax Equity and Fiscal</w:t>
      </w:r>
      <w:r>
        <w:rPr>
          <w:rFonts w:ascii="Arial" w:cs="Arial" w:eastAsia="Arial" w:hAnsi="Arial"/>
          <w:sz w:val="18"/>
          <w:szCs w:val="18"/>
          <w:color w:val="010000"/>
        </w:rPr>
        <w:t xml:space="preserve"> </w:t>
      </w:r>
      <w:r>
        <w:rPr>
          <w:rFonts w:ascii="Arial" w:cs="Arial" w:eastAsia="Arial" w:hAnsi="Arial"/>
          <w:sz w:val="18"/>
          <w:szCs w:val="18"/>
          <w:color w:val="000000"/>
        </w:rPr>
        <w:t>Responsibility Act of 1982 with respect to the transactions herein contemplated, the Selling Stockholder will deliver to you prior to or at the First Time of Delivery a properly completed and executed United States Treasury Department Form W-9 (or other applicable form or statement specified by Treasury Department regulations in lieu thereof);</w:t>
      </w:r>
    </w:p>
    <w:p>
      <w:pPr>
        <w:spacing w:after="0" w:line="192" w:lineRule="exact"/>
        <w:rPr>
          <w:sz w:val="20"/>
          <w:szCs w:val="20"/>
          <w:color w:val="auto"/>
        </w:rPr>
      </w:pPr>
    </w:p>
    <w:p>
      <w:pPr>
        <w:jc w:val="both"/>
        <w:ind w:firstLine="631"/>
        <w:spacing w:after="0" w:line="279" w:lineRule="auto"/>
        <w:rPr>
          <w:sz w:val="20"/>
          <w:szCs w:val="20"/>
          <w:color w:val="auto"/>
        </w:rPr>
      </w:pPr>
      <w:r>
        <w:rPr>
          <w:rFonts w:ascii="Arial" w:cs="Arial" w:eastAsia="Arial" w:hAnsi="Arial"/>
          <w:sz w:val="16"/>
          <w:szCs w:val="16"/>
          <w:color w:val="010000"/>
        </w:rPr>
        <w:t xml:space="preserve">(h)           </w:t>
      </w:r>
      <w:r>
        <w:rPr>
          <w:rFonts w:ascii="Arial" w:cs="Arial" w:eastAsia="Arial" w:hAnsi="Arial"/>
          <w:sz w:val="16"/>
          <w:szCs w:val="16"/>
          <w:color w:val="000000"/>
        </w:rPr>
        <w:t>None of the Selling Stockholder, any of its subsidiaries or controlled affiliates, or any director or officer of the Selling Stockholder or</w:t>
      </w:r>
      <w:r>
        <w:rPr>
          <w:rFonts w:ascii="Arial" w:cs="Arial" w:eastAsia="Arial" w:hAnsi="Arial"/>
          <w:sz w:val="16"/>
          <w:szCs w:val="16"/>
          <w:color w:val="010000"/>
        </w:rPr>
        <w:t xml:space="preserve"> </w:t>
      </w:r>
      <w:r>
        <w:rPr>
          <w:rFonts w:ascii="Arial" w:cs="Arial" w:eastAsia="Arial" w:hAnsi="Arial"/>
          <w:sz w:val="16"/>
          <w:szCs w:val="16"/>
          <w:color w:val="000000"/>
        </w:rPr>
        <w:t>any of its subsidiaries, nor to the Selling Stockholder’s knowledge, any employee, agent, representative or other person associated with or acting on behalf of the Selling Stockholder, any of its subsidiaries or controlled affiliates, has (i) made, offered, promised or authorized any unlawful contribution, gift, entertainment or other unlawful expense (or taken, or will take, any act in furtherance thereof); (ii) made, offered, promised or authorized any direct or indirect unlawful payment (or taken, or will take, any act in furtherance thereof); or (iii) violated or is in violation of any provision of any Anti-Corruption Laws; the Selling Stockholder and each of its subsidiaries and controlled affiliates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 neither the Selling Stockholder nor any of its subsidiaries will use, directly or indirectly, the proceeds of the offering in furtherance of an offer, payment, promise to pay, or authorization of the payment or giving of money, or anything else of value, to any person in violation of Anti-Corruption Laws; it being understood and agreed that the Selling Stockholder is not making any such representation with respect to the Company under this Section 2(h);</w:t>
      </w:r>
    </w:p>
    <w:p>
      <w:pPr>
        <w:spacing w:after="0" w:line="171" w:lineRule="exact"/>
        <w:rPr>
          <w:sz w:val="20"/>
          <w:szCs w:val="20"/>
          <w:color w:val="auto"/>
        </w:rPr>
      </w:pPr>
    </w:p>
    <w:p>
      <w:pPr>
        <w:jc w:val="both"/>
        <w:ind w:firstLine="631"/>
        <w:spacing w:after="0" w:line="248" w:lineRule="auto"/>
        <w:rPr>
          <w:sz w:val="20"/>
          <w:szCs w:val="20"/>
          <w:color w:val="auto"/>
        </w:rPr>
      </w:pPr>
      <w:r>
        <w:rPr>
          <w:rFonts w:ascii="Arial" w:cs="Arial" w:eastAsia="Arial" w:hAnsi="Arial"/>
          <w:sz w:val="18"/>
          <w:szCs w:val="18"/>
          <w:color w:val="010000"/>
        </w:rPr>
        <w:t>(i)            </w:t>
      </w:r>
      <w:r>
        <w:rPr>
          <w:rFonts w:ascii="Arial" w:cs="Arial" w:eastAsia="Arial" w:hAnsi="Arial"/>
          <w:sz w:val="18"/>
          <w:szCs w:val="18"/>
          <w:color w:val="000000"/>
        </w:rPr>
        <w:t>The operations of the Selling Stockholder and each of its subsidiaries are and have been conducted at all times in compliance in all</w:t>
      </w:r>
      <w:r>
        <w:rPr>
          <w:rFonts w:ascii="Arial" w:cs="Arial" w:eastAsia="Arial" w:hAnsi="Arial"/>
          <w:sz w:val="18"/>
          <w:szCs w:val="18"/>
          <w:color w:val="010000"/>
        </w:rPr>
        <w:t xml:space="preserve"> </w:t>
      </w:r>
      <w:r>
        <w:rPr>
          <w:rFonts w:ascii="Arial" w:cs="Arial" w:eastAsia="Arial" w:hAnsi="Arial"/>
          <w:sz w:val="18"/>
          <w:szCs w:val="18"/>
          <w:color w:val="000000"/>
        </w:rPr>
        <w:t>material respects with the requirements of applicable Money Laundering Laws and no action, suit or proceeding by or before any court or governmental agency, authority or body or any arbitrator involving the Selling Stockholder or any of its subsidiaries with respect to the Money Laundering Laws is pending or, to the knowledge of the Selling Stockholder, threatened; it being understood and agreed that the Selling Stockholder is not making any such representation with respect to the Company</w:t>
      </w:r>
    </w:p>
    <w:p>
      <w:pPr>
        <w:spacing w:after="0" w:line="200" w:lineRule="exact"/>
        <w:rPr>
          <w:sz w:val="20"/>
          <w:szCs w:val="20"/>
          <w:color w:val="auto"/>
        </w:rPr>
      </w:pPr>
    </w:p>
    <w:p>
      <w:pPr>
        <w:spacing w:after="0" w:line="20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10160</wp:posOffset>
            </wp:positionV>
            <wp:extent cx="71361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0"/>
          </w:cols>
          <w:pgMar w:left="960" w:top="889" w:right="339" w:bottom="1440" w:gutter="0" w:footer="0" w:header="0"/>
        </w:sectPr>
      </w:pPr>
    </w:p>
    <w:bookmarkStart w:id="58" w:name="page59"/>
    <w:bookmarkEnd w:id="58"/>
    <w:p>
      <w:pPr>
        <w:ind w:left="640"/>
        <w:spacing w:after="0"/>
        <w:rPr>
          <w:sz w:val="20"/>
          <w:szCs w:val="20"/>
          <w:color w:val="auto"/>
        </w:rPr>
      </w:pPr>
      <w:r>
        <w:rPr>
          <w:rFonts w:ascii="Arial" w:cs="Arial" w:eastAsia="Arial" w:hAnsi="Arial"/>
          <w:sz w:val="18"/>
          <w:szCs w:val="18"/>
          <w:color w:val="auto"/>
        </w:rPr>
        <w:t>under this Section 2(i);</w:t>
      </w:r>
    </w:p>
    <w:p>
      <w:pPr>
        <w:spacing w:after="0" w:line="214" w:lineRule="exact"/>
        <w:rPr>
          <w:sz w:val="20"/>
          <w:szCs w:val="20"/>
          <w:color w:val="auto"/>
        </w:rPr>
      </w:pPr>
    </w:p>
    <w:p>
      <w:pPr>
        <w:jc w:val="both"/>
        <w:ind w:left="640" w:firstLine="631"/>
        <w:spacing w:after="0" w:line="278" w:lineRule="auto"/>
        <w:rPr>
          <w:sz w:val="20"/>
          <w:szCs w:val="20"/>
          <w:color w:val="auto"/>
        </w:rPr>
      </w:pPr>
      <w:r>
        <w:rPr>
          <w:rFonts w:ascii="Arial" w:cs="Arial" w:eastAsia="Arial" w:hAnsi="Arial"/>
          <w:sz w:val="16"/>
          <w:szCs w:val="16"/>
          <w:color w:val="010000"/>
        </w:rPr>
        <w:t>(j)            </w:t>
      </w:r>
      <w:r>
        <w:rPr>
          <w:rFonts w:ascii="Arial" w:cs="Arial" w:eastAsia="Arial" w:hAnsi="Arial"/>
          <w:sz w:val="16"/>
          <w:szCs w:val="16"/>
          <w:color w:val="000000"/>
        </w:rPr>
        <w:t>None of the Selling Stockholder, any of its subsidiaries or any director or officer of the Selling Stockholder or any of its subsidiaries,</w:t>
      </w:r>
      <w:r>
        <w:rPr>
          <w:rFonts w:ascii="Arial" w:cs="Arial" w:eastAsia="Arial" w:hAnsi="Arial"/>
          <w:sz w:val="16"/>
          <w:szCs w:val="16"/>
          <w:color w:val="010000"/>
        </w:rPr>
        <w:t xml:space="preserve"> </w:t>
      </w:r>
      <w:r>
        <w:rPr>
          <w:rFonts w:ascii="Arial" w:cs="Arial" w:eastAsia="Arial" w:hAnsi="Arial"/>
          <w:sz w:val="16"/>
          <w:szCs w:val="16"/>
          <w:color w:val="000000"/>
        </w:rPr>
        <w:t>nor to the Selling Stockholder’s knowledge, any employee, agent, controlled affiliate, representative or other person associated with or acting on behalf of the Selling Stockholder or any of its subsidiaries is, or is owned or controlled by one or more persons or entities that are, (i) currently the subject or the target of any Sanctions, or (ii) located, organized, or resident in a Sanctioned Jurisdiction, and the Selling Stockholder will not directly or indirectly use the proceeds of the offering of the Shares hereunder, or lend, contribute or otherwise make available such proceeds to any subsidiary, joint venture partner or other person or entity (A) to fund or facilitate any activities of or business with any person, or in any country or territory, that, at the time of such funding or facilitation, is the subject or the target of Sanctions or is a Sanctioned Jurisdiction, respectively or (B) in any other manner that will result in a violation by any person (including any person participating in the transaction, whether as underwriter, advisor, investor or otherwise) of Sanctions. For the past five (5) years, the Selling Stockholder and each of its subsidiaries have not knowingly engaged in, are not now knowingly engaged in, and will not knowingly engage in, any dealings or transactions with or involving any individual or entity, or in any country or territory, that at the time of the dealing or transaction is or was the subject of Sanctions; the Selling Stockholder and its subsidiaries have instituted and maintain policies and procedures designed to promote and achieve continued compliance with Sanctions; it being understood and agreed that the Selling Stockholder is not making any such representation with respect to the Company under this Section 2(j); and</w:t>
      </w:r>
    </w:p>
    <w:p>
      <w:pPr>
        <w:spacing w:after="0" w:line="174" w:lineRule="exact"/>
        <w:rPr>
          <w:sz w:val="20"/>
          <w:szCs w:val="20"/>
          <w:color w:val="auto"/>
        </w:rPr>
      </w:pPr>
    </w:p>
    <w:p>
      <w:pPr>
        <w:jc w:val="both"/>
        <w:ind w:left="640" w:firstLine="631"/>
        <w:spacing w:after="0" w:line="261" w:lineRule="auto"/>
        <w:rPr>
          <w:sz w:val="20"/>
          <w:szCs w:val="20"/>
          <w:color w:val="auto"/>
        </w:rPr>
      </w:pPr>
      <w:r>
        <w:rPr>
          <w:rFonts w:ascii="Arial" w:cs="Arial" w:eastAsia="Arial" w:hAnsi="Arial"/>
          <w:sz w:val="18"/>
          <w:szCs w:val="18"/>
          <w:color w:val="010000"/>
        </w:rPr>
        <w:t>(k)            </w:t>
      </w:r>
      <w:r>
        <w:rPr>
          <w:rFonts w:ascii="Arial" w:cs="Arial" w:eastAsia="Arial" w:hAnsi="Arial"/>
          <w:sz w:val="18"/>
          <w:szCs w:val="18"/>
          <w:color w:val="000000"/>
        </w:rPr>
        <w:t>The Selling Stockholder is not prompted by any material information concerning the Company or any of its subsidiaries that is not</w:t>
      </w:r>
      <w:r>
        <w:rPr>
          <w:rFonts w:ascii="Arial" w:cs="Arial" w:eastAsia="Arial" w:hAnsi="Arial"/>
          <w:sz w:val="18"/>
          <w:szCs w:val="18"/>
          <w:color w:val="010000"/>
        </w:rPr>
        <w:t xml:space="preserve"> </w:t>
      </w:r>
      <w:r>
        <w:rPr>
          <w:rFonts w:ascii="Arial" w:cs="Arial" w:eastAsia="Arial" w:hAnsi="Arial"/>
          <w:sz w:val="18"/>
          <w:szCs w:val="18"/>
          <w:color w:val="000000"/>
        </w:rPr>
        <w:t>disclosed in the Pricing Prospectus to sell its Shares pursuant to this Agreement.</w:t>
      </w:r>
    </w:p>
    <w:p>
      <w:pPr>
        <w:spacing w:after="0" w:line="181" w:lineRule="exact"/>
        <w:rPr>
          <w:sz w:val="20"/>
          <w:szCs w:val="20"/>
          <w:color w:val="auto"/>
        </w:rPr>
      </w:pPr>
    </w:p>
    <w:p>
      <w:pPr>
        <w:jc w:val="both"/>
        <w:ind w:firstLine="631"/>
        <w:spacing w:after="0" w:line="279" w:lineRule="auto"/>
        <w:rPr>
          <w:sz w:val="20"/>
          <w:szCs w:val="20"/>
          <w:color w:val="auto"/>
        </w:rPr>
      </w:pPr>
      <w:r>
        <w:rPr>
          <w:rFonts w:ascii="Arial" w:cs="Arial" w:eastAsia="Arial" w:hAnsi="Arial"/>
          <w:sz w:val="16"/>
          <w:szCs w:val="16"/>
          <w:color w:val="010000"/>
        </w:rPr>
        <w:t>3.            </w:t>
      </w:r>
      <w:r>
        <w:rPr>
          <w:rFonts w:ascii="Arial" w:cs="Arial" w:eastAsia="Arial" w:hAnsi="Arial"/>
          <w:sz w:val="16"/>
          <w:szCs w:val="16"/>
          <w:color w:val="000000"/>
        </w:rPr>
        <w:t>Subject to the terms and conditions herein set forth, (a) the Selling Stockholder agrees to sell to each of the Underwriters, and each of the</w:t>
      </w:r>
      <w:r>
        <w:rPr>
          <w:rFonts w:ascii="Arial" w:cs="Arial" w:eastAsia="Arial" w:hAnsi="Arial"/>
          <w:sz w:val="16"/>
          <w:szCs w:val="16"/>
          <w:color w:val="010000"/>
        </w:rPr>
        <w:t xml:space="preserve"> </w:t>
      </w:r>
      <w:r>
        <w:rPr>
          <w:rFonts w:ascii="Arial" w:cs="Arial" w:eastAsia="Arial" w:hAnsi="Arial"/>
          <w:sz w:val="16"/>
          <w:szCs w:val="16"/>
          <w:color w:val="000000"/>
        </w:rPr>
        <w:t>Underwriters agrees, severally and not jointly, to purchase from the Selling Stockholder, at a purchase price per share of $[•], the number of Firm Shares set forth opposite the name of such Underwriter in Schedule I hereto and (b) in the event and to the extent that the Underwriters shall exercise the election to purchase Optional Shares as provided below, the Selling Stockholder agrees to sell to each of the Underwriters, and each of the Underwriters agrees, severally and not jointly, to purchase from the Selling Stockholder, at the purchase price per share set forth in clause (a) of this Section 3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Underwriters are entitled to purchase hereunder.</w:t>
      </w:r>
    </w:p>
    <w:p>
      <w:pPr>
        <w:spacing w:after="0" w:line="214" w:lineRule="exact"/>
        <w:rPr>
          <w:sz w:val="20"/>
          <w:szCs w:val="20"/>
          <w:color w:val="auto"/>
        </w:rPr>
      </w:pPr>
    </w:p>
    <w:p>
      <w:pPr>
        <w:jc w:val="both"/>
        <w:ind w:firstLine="631"/>
        <w:spacing w:after="0" w:line="282" w:lineRule="auto"/>
        <w:rPr>
          <w:sz w:val="20"/>
          <w:szCs w:val="20"/>
          <w:color w:val="auto"/>
        </w:rPr>
      </w:pPr>
      <w:r>
        <w:rPr>
          <w:rFonts w:ascii="Arial" w:cs="Arial" w:eastAsia="Arial" w:hAnsi="Arial"/>
          <w:sz w:val="16"/>
          <w:szCs w:val="16"/>
          <w:color w:val="auto"/>
        </w:rPr>
        <w:t>The Selling Stockholder hereby grants to the Underwriters the right to purchase at their election up to [•]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and the Selling Stockholder, given within a period of 30 calendar days after the date of this Agreement and setting forth the aggregate number of Optional Shares to be purchased and the date on which such Optional Shares are to be delivered, as determined by you but in no event earlier than the First Time of Delivery (as defined in Section 5(a) hereof) or, unless you and the Company and the Selling Stockholder otherwise agree in writing, earlier than two or later than ten business days after the date of such notice.</w:t>
      </w:r>
    </w:p>
    <w:p>
      <w:pPr>
        <w:spacing w:after="0" w:line="169"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010000"/>
        </w:rPr>
        <w:t>4.            </w:t>
      </w:r>
      <w:r>
        <w:rPr>
          <w:rFonts w:ascii="Arial" w:cs="Arial" w:eastAsia="Arial" w:hAnsi="Arial"/>
          <w:sz w:val="18"/>
          <w:szCs w:val="18"/>
          <w:color w:val="000000"/>
        </w:rPr>
        <w:t>Upon the authorization by the Representatives of the release of the Shares, the several Underwriters propose to offer the Shares for sale upon</w:t>
      </w:r>
      <w:r>
        <w:rPr>
          <w:rFonts w:ascii="Arial" w:cs="Arial" w:eastAsia="Arial" w:hAnsi="Arial"/>
          <w:sz w:val="18"/>
          <w:szCs w:val="18"/>
          <w:color w:val="010000"/>
        </w:rPr>
        <w:t xml:space="preserve"> </w:t>
      </w:r>
      <w:r>
        <w:rPr>
          <w:rFonts w:ascii="Arial" w:cs="Arial" w:eastAsia="Arial" w:hAnsi="Arial"/>
          <w:sz w:val="18"/>
          <w:szCs w:val="18"/>
          <w:color w:val="000000"/>
        </w:rPr>
        <w:t>the terms and conditions set forth in the Pricing Disclosure Package and the Prospectus.</w:t>
      </w:r>
    </w:p>
    <w:p>
      <w:pPr>
        <w:spacing w:after="0" w:line="181" w:lineRule="exact"/>
        <w:rPr>
          <w:sz w:val="20"/>
          <w:szCs w:val="20"/>
          <w:color w:val="auto"/>
        </w:rPr>
      </w:pPr>
    </w:p>
    <w:p>
      <w:pPr>
        <w:jc w:val="both"/>
        <w:ind w:firstLine="631"/>
        <w:spacing w:after="0" w:line="278" w:lineRule="auto"/>
        <w:rPr>
          <w:sz w:val="20"/>
          <w:szCs w:val="20"/>
          <w:color w:val="auto"/>
        </w:rPr>
      </w:pPr>
      <w:r>
        <w:rPr>
          <w:rFonts w:ascii="Arial" w:cs="Arial" w:eastAsia="Arial" w:hAnsi="Arial"/>
          <w:sz w:val="16"/>
          <w:szCs w:val="16"/>
          <w:color w:val="010000"/>
        </w:rPr>
        <w:t>5.            </w:t>
      </w:r>
      <w:r>
        <w:rPr>
          <w:rFonts w:ascii="Arial" w:cs="Arial" w:eastAsia="Arial" w:hAnsi="Arial"/>
          <w:sz w:val="16"/>
          <w:szCs w:val="16"/>
          <w:color w:val="000000"/>
        </w:rPr>
        <w:t>(a) The Shares to be purchased by each Underwriter hereunder, in definitive or book-entry form, and in such authorized denominations and</w:t>
      </w:r>
      <w:r>
        <w:rPr>
          <w:rFonts w:ascii="Arial" w:cs="Arial" w:eastAsia="Arial" w:hAnsi="Arial"/>
          <w:sz w:val="16"/>
          <w:szCs w:val="16"/>
          <w:color w:val="010000"/>
        </w:rPr>
        <w:t xml:space="preserve"> </w:t>
      </w:r>
      <w:r>
        <w:rPr>
          <w:rFonts w:ascii="Arial" w:cs="Arial" w:eastAsia="Arial" w:hAnsi="Arial"/>
          <w:sz w:val="16"/>
          <w:szCs w:val="16"/>
          <w:color w:val="000000"/>
        </w:rPr>
        <w:t>registered in such names as the Representatives may request upon at least forty-eight hours’ prior notice to the Selling Stockholder shall be delivered by or on behalf of the Selling Stockholder to the Representatives, through the facilities of the Depository Trust Company (“DTC”), for the account of such Underwriter, against payment by or on behalf of such Underwriter of the purchase price therefor by wire transfer of Federal (same-day) funds to the account specified by the Selling Stockholder to the Representatives at least forty-eight hours in advance. The Company and the Selling Stockholder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 a.m., New York City time, on [•], 2023 or such other time and date as the Representatives, the Company and the Selling Stockholder may agree upon in writing, and, with respect to the Optional Shares, [•]:[•] a.m., New York City time, on the date specified by the Representatives in the written notice given by the Representatives of the Underwriters’ election to purchase such Optional Shares, or such other time and date as the Representatives, the Company and the Selling Stockholder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pacing w:after="0" w:line="174" w:lineRule="exact"/>
        <w:rPr>
          <w:sz w:val="20"/>
          <w:szCs w:val="20"/>
          <w:color w:val="auto"/>
        </w:rPr>
      </w:pPr>
    </w:p>
    <w:p>
      <w:pPr>
        <w:jc w:val="both"/>
        <w:ind w:left="640" w:firstLine="631"/>
        <w:spacing w:after="0" w:line="249"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The documents to be delivered at each Time of Delivery by or on behalf of the parties hereto pursuant to Section 9 hereof, including</w:t>
      </w:r>
      <w:r>
        <w:rPr>
          <w:rFonts w:ascii="Arial" w:cs="Arial" w:eastAsia="Arial" w:hAnsi="Arial"/>
          <w:sz w:val="18"/>
          <w:szCs w:val="18"/>
          <w:color w:val="010000"/>
        </w:rPr>
        <w:t xml:space="preserve"> </w:t>
      </w:r>
      <w:r>
        <w:rPr>
          <w:rFonts w:ascii="Arial" w:cs="Arial" w:eastAsia="Arial" w:hAnsi="Arial"/>
          <w:sz w:val="18"/>
          <w:szCs w:val="18"/>
          <w:color w:val="000000"/>
        </w:rPr>
        <w:t>the cross receipt for the Shares and any additional documents requested by the Underwriters pursuant to Section 9 hereof, will be delivered at the offices of Sullivan &amp; Cromwell LLP, 1870 Embarcadero Road, Palo Alto, California 94303 (the “Closing Location”), and the Shares will be delivered at the Designated Office, all at such Time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0" w:name="page61"/>
    <w:bookmarkEnd w:id="60"/>
    <w:p>
      <w:pPr>
        <w:jc w:val="both"/>
        <w:ind w:left="640"/>
        <w:spacing w:after="0" w:line="290" w:lineRule="auto"/>
        <w:rPr>
          <w:sz w:val="20"/>
          <w:szCs w:val="20"/>
          <w:color w:val="auto"/>
        </w:rPr>
      </w:pPr>
      <w:r>
        <w:rPr>
          <w:rFonts w:ascii="Arial" w:cs="Arial" w:eastAsia="Arial" w:hAnsi="Arial"/>
          <w:sz w:val="16"/>
          <w:szCs w:val="16"/>
          <w:color w:val="auto"/>
        </w:rPr>
        <w:t>Delivery. A meeting will be held at the Closing Location at 3:30 p.m., New York City time, on the New York Business Day next preceding such Time of Delivery, at which meeting the final drafts of the documents to be delivered pursuant to the preceding sentence will be available for review by the parties hereto. For the purposes of this Section 5, “New York Business Day” shall mean each Monday, Tuesday, Wednesday, Thursday and Friday which is not a day on which banking institutions in New York City are generally authorized or obligated by law or executive order to close.</w:t>
      </w:r>
    </w:p>
    <w:p>
      <w:pPr>
        <w:spacing w:after="0" w:line="162" w:lineRule="exact"/>
        <w:rPr>
          <w:sz w:val="20"/>
          <w:szCs w:val="20"/>
          <w:color w:val="auto"/>
        </w:rPr>
      </w:pPr>
    </w:p>
    <w:p>
      <w:pPr>
        <w:ind w:firstLine="631"/>
        <w:spacing w:after="0" w:line="261" w:lineRule="auto"/>
        <w:rPr>
          <w:sz w:val="20"/>
          <w:szCs w:val="20"/>
          <w:color w:val="auto"/>
        </w:rPr>
      </w:pPr>
      <w:r>
        <w:rPr>
          <w:rFonts w:ascii="Arial" w:cs="Arial" w:eastAsia="Arial" w:hAnsi="Arial"/>
          <w:sz w:val="18"/>
          <w:szCs w:val="18"/>
          <w:color w:val="010000"/>
        </w:rPr>
        <w:t>6.            </w:t>
      </w:r>
      <w:r>
        <w:rPr>
          <w:rFonts w:ascii="Arial" w:cs="Arial" w:eastAsia="Arial" w:hAnsi="Arial"/>
          <w:sz w:val="18"/>
          <w:szCs w:val="18"/>
          <w:color w:val="000000"/>
        </w:rPr>
        <w:t>The Company agrees with each of the Underwriters, and solely with respect to Section 6(e)(2) hereof, the Selling Stockholder agrees with each</w:t>
      </w:r>
      <w:r>
        <w:rPr>
          <w:rFonts w:ascii="Arial" w:cs="Arial" w:eastAsia="Arial" w:hAnsi="Arial"/>
          <w:sz w:val="18"/>
          <w:szCs w:val="18"/>
          <w:color w:val="010000"/>
        </w:rPr>
        <w:t xml:space="preserve"> </w:t>
      </w:r>
      <w:r>
        <w:rPr>
          <w:rFonts w:ascii="Arial" w:cs="Arial" w:eastAsia="Arial" w:hAnsi="Arial"/>
          <w:sz w:val="18"/>
          <w:szCs w:val="18"/>
          <w:color w:val="000000"/>
        </w:rPr>
        <w:t>of the Underwriters:</w:t>
      </w:r>
    </w:p>
    <w:p>
      <w:pPr>
        <w:spacing w:after="0" w:line="181" w:lineRule="exact"/>
        <w:rPr>
          <w:sz w:val="20"/>
          <w:szCs w:val="20"/>
          <w:color w:val="auto"/>
        </w:rPr>
      </w:pPr>
    </w:p>
    <w:p>
      <w:pPr>
        <w:jc w:val="both"/>
        <w:ind w:left="640" w:firstLine="631"/>
        <w:spacing w:after="0" w:line="278" w:lineRule="auto"/>
        <w:rPr>
          <w:sz w:val="20"/>
          <w:szCs w:val="20"/>
          <w:color w:val="auto"/>
        </w:rPr>
      </w:pPr>
      <w:r>
        <w:rPr>
          <w:rFonts w:ascii="Arial" w:cs="Arial" w:eastAsia="Arial" w:hAnsi="Arial"/>
          <w:sz w:val="16"/>
          <w:szCs w:val="16"/>
          <w:color w:val="010000"/>
        </w:rPr>
        <w:t>(a)            </w:t>
      </w:r>
      <w:r>
        <w:rPr>
          <w:rFonts w:ascii="Arial" w:cs="Arial" w:eastAsia="Arial" w:hAnsi="Arial"/>
          <w:sz w:val="16"/>
          <w:szCs w:val="16"/>
          <w:color w:val="000000"/>
        </w:rPr>
        <w:t>To prepare the Prospectus in a form approved by you and to file such Prospectus pursuant to Rule 424(b) under the Act not later than</w:t>
      </w:r>
      <w:r>
        <w:rPr>
          <w:rFonts w:ascii="Arial" w:cs="Arial" w:eastAsia="Arial" w:hAnsi="Arial"/>
          <w:sz w:val="16"/>
          <w:szCs w:val="16"/>
          <w:color w:val="010000"/>
        </w:rPr>
        <w:t xml:space="preserve"> </w:t>
      </w:r>
      <w:r>
        <w:rPr>
          <w:rFonts w:ascii="Arial" w:cs="Arial" w:eastAsia="Arial" w:hAnsi="Arial"/>
          <w:sz w:val="16"/>
          <w:szCs w:val="16"/>
          <w:color w:val="000000"/>
        </w:rPr>
        <w:t>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176" w:lineRule="exact"/>
        <w:rPr>
          <w:sz w:val="20"/>
          <w:szCs w:val="20"/>
          <w:color w:val="auto"/>
        </w:rPr>
      </w:pPr>
    </w:p>
    <w:p>
      <w:pPr>
        <w:jc w:val="both"/>
        <w:ind w:left="640" w:firstLine="631"/>
        <w:spacing w:after="0" w:line="286"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color w:val="000000"/>
        </w:rPr>
        <w:t>Promptly from time to time to take such action as you may reasonably request to qualify the Shares for offering and sale under the</w:t>
      </w:r>
      <w:r>
        <w:rPr>
          <w:rFonts w:ascii="Arial" w:cs="Arial" w:eastAsia="Arial" w:hAnsi="Arial"/>
          <w:sz w:val="16"/>
          <w:szCs w:val="16"/>
          <w:color w:val="010000"/>
        </w:rPr>
        <w:t xml:space="preserve"> </w:t>
      </w:r>
      <w:r>
        <w:rPr>
          <w:rFonts w:ascii="Arial" w:cs="Arial" w:eastAsia="Arial" w:hAnsi="Arial"/>
          <w:sz w:val="16"/>
          <w:szCs w:val="16"/>
          <w:color w:val="000000"/>
        </w:rPr>
        <w:t xml:space="preserve">securities laws of such jurisdictions as you may reasonably request and to comply with such laws so as to permit the continuance of sales and dealings therein in such jurisdictions for as long as may be necessary to complete the distribution of the Shares;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in connection therewith the Company shall not be required to qualify as a foreign corporation (where not otherwise required) or to file a general consent to service of process in any jurisdiction (where not otherwise required) or subject itself to taxation in any such jurisdiction in which it was not otherwise subject to taxation;</w:t>
      </w:r>
    </w:p>
    <w:p>
      <w:pPr>
        <w:spacing w:after="0" w:line="166" w:lineRule="exact"/>
        <w:rPr>
          <w:sz w:val="20"/>
          <w:szCs w:val="20"/>
          <w:color w:val="auto"/>
        </w:rPr>
      </w:pPr>
    </w:p>
    <w:p>
      <w:pPr>
        <w:jc w:val="both"/>
        <w:ind w:left="640" w:firstLine="631"/>
        <w:spacing w:after="0" w:line="261" w:lineRule="auto"/>
        <w:rPr>
          <w:sz w:val="20"/>
          <w:szCs w:val="20"/>
          <w:color w:val="auto"/>
        </w:rPr>
      </w:pPr>
      <w:r>
        <w:rPr>
          <w:rFonts w:ascii="Arial" w:cs="Arial" w:eastAsia="Arial" w:hAnsi="Arial"/>
          <w:sz w:val="18"/>
          <w:szCs w:val="18"/>
          <w:color w:val="010000"/>
        </w:rPr>
        <w:t>(c)            </w:t>
      </w:r>
      <w:r>
        <w:rPr>
          <w:rFonts w:ascii="Arial" w:cs="Arial" w:eastAsia="Arial" w:hAnsi="Arial"/>
          <w:sz w:val="18"/>
          <w:szCs w:val="18"/>
          <w:color w:val="000000"/>
        </w:rPr>
        <w:t>Prior to 10:00 a.m., New York City time, on the New York Business Day next succeeding the date of this Agreement and from time</w:t>
      </w:r>
      <w:r>
        <w:rPr>
          <w:rFonts w:ascii="Arial" w:cs="Arial" w:eastAsia="Arial" w:hAnsi="Arial"/>
          <w:sz w:val="18"/>
          <w:szCs w:val="18"/>
          <w:color w:val="010000"/>
        </w:rPr>
        <w:t xml:space="preserve"> </w:t>
      </w:r>
      <w:r>
        <w:rPr>
          <w:rFonts w:ascii="Arial" w:cs="Arial" w:eastAsia="Arial" w:hAnsi="Arial"/>
          <w:sz w:val="18"/>
          <w:szCs w:val="18"/>
          <w:color w:val="000000"/>
        </w:rPr>
        <w:t>to time, to furnish</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1" w:name="page62"/>
    <w:bookmarkEnd w:id="61"/>
    <w:p>
      <w:pPr>
        <w:jc w:val="both"/>
        <w:ind w:left="4"/>
        <w:spacing w:after="0" w:line="278" w:lineRule="auto"/>
        <w:rPr>
          <w:sz w:val="20"/>
          <w:szCs w:val="20"/>
          <w:color w:val="auto"/>
        </w:rPr>
      </w:pPr>
      <w:r>
        <w:rPr>
          <w:rFonts w:ascii="Arial" w:cs="Arial" w:eastAsia="Arial" w:hAnsi="Arial"/>
          <w:sz w:val="16"/>
          <w:szCs w:val="16"/>
          <w:color w:val="auto"/>
        </w:rPr>
        <w:t>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174" w:lineRule="exact"/>
        <w:rPr>
          <w:sz w:val="20"/>
          <w:szCs w:val="20"/>
          <w:color w:val="auto"/>
        </w:rPr>
      </w:pPr>
    </w:p>
    <w:p>
      <w:pPr>
        <w:jc w:val="both"/>
        <w:ind w:left="4" w:firstLine="631"/>
        <w:spacing w:after="0" w:line="248" w:lineRule="auto"/>
        <w:rPr>
          <w:sz w:val="20"/>
          <w:szCs w:val="20"/>
          <w:color w:val="auto"/>
        </w:rPr>
      </w:pPr>
      <w:r>
        <w:rPr>
          <w:rFonts w:ascii="Arial" w:cs="Arial" w:eastAsia="Arial" w:hAnsi="Arial"/>
          <w:sz w:val="18"/>
          <w:szCs w:val="18"/>
          <w:color w:val="010000"/>
        </w:rPr>
        <w:t>(d)            </w:t>
      </w:r>
      <w:r>
        <w:rPr>
          <w:rFonts w:ascii="Arial" w:cs="Arial" w:eastAsia="Arial" w:hAnsi="Arial"/>
          <w:sz w:val="18"/>
          <w:szCs w:val="18"/>
          <w:color w:val="000000"/>
        </w:rPr>
        <w:t>To make generally available to its securityholders as soon as practicable (which may be satisfied by filing with the Commission’s</w:t>
      </w:r>
      <w:r>
        <w:rPr>
          <w:rFonts w:ascii="Arial" w:cs="Arial" w:eastAsia="Arial" w:hAnsi="Arial"/>
          <w:sz w:val="18"/>
          <w:szCs w:val="18"/>
          <w:color w:val="010000"/>
        </w:rPr>
        <w:t xml:space="preserve"> </w:t>
      </w:r>
      <w:r>
        <w:rPr>
          <w:rFonts w:ascii="Arial" w:cs="Arial" w:eastAsia="Arial" w:hAnsi="Arial"/>
          <w:sz w:val="18"/>
          <w:szCs w:val="18"/>
          <w:color w:val="000000"/>
        </w:rPr>
        <w:t>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92" w:lineRule="exact"/>
        <w:rPr>
          <w:sz w:val="20"/>
          <w:szCs w:val="20"/>
          <w:color w:val="auto"/>
        </w:rPr>
      </w:pPr>
    </w:p>
    <w:p>
      <w:pPr>
        <w:jc w:val="both"/>
        <w:ind w:left="4" w:firstLine="631"/>
        <w:spacing w:after="0" w:line="295" w:lineRule="auto"/>
        <w:rPr>
          <w:sz w:val="20"/>
          <w:szCs w:val="20"/>
          <w:color w:val="auto"/>
        </w:rPr>
      </w:pPr>
      <w:r>
        <w:rPr>
          <w:rFonts w:ascii="Arial" w:cs="Arial" w:eastAsia="Arial" w:hAnsi="Arial"/>
          <w:sz w:val="15"/>
          <w:szCs w:val="15"/>
          <w:color w:val="010000"/>
        </w:rPr>
        <w:t>(e)            </w:t>
      </w:r>
      <w:r>
        <w:rPr>
          <w:rFonts w:ascii="Arial" w:cs="Arial" w:eastAsia="Arial" w:hAnsi="Arial"/>
          <w:sz w:val="15"/>
          <w:szCs w:val="15"/>
          <w:color w:val="000000"/>
        </w:rPr>
        <w:t>(1) During the period beginning from the date hereof and continuing to and including the date 90 days after the date of the</w:t>
      </w:r>
      <w:r>
        <w:rPr>
          <w:rFonts w:ascii="Arial" w:cs="Arial" w:eastAsia="Arial" w:hAnsi="Arial"/>
          <w:sz w:val="15"/>
          <w:szCs w:val="15"/>
          <w:color w:val="010000"/>
        </w:rPr>
        <w:t xml:space="preserve"> </w:t>
      </w:r>
      <w:r>
        <w:rPr>
          <w:rFonts w:ascii="Arial" w:cs="Arial" w:eastAsia="Arial" w:hAnsi="Arial"/>
          <w:sz w:val="15"/>
          <w:szCs w:val="15"/>
          <w:color w:val="000000"/>
        </w:rPr>
        <w:t>Prospectus (the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w:t>
      </w:r>
    </w:p>
    <w:p>
      <w:pPr>
        <w:spacing w:after="0" w:line="3" w:lineRule="exact"/>
        <w:rPr>
          <w:sz w:val="20"/>
          <w:szCs w:val="20"/>
          <w:color w:val="auto"/>
        </w:rPr>
      </w:pPr>
    </w:p>
    <w:p>
      <w:pPr>
        <w:jc w:val="both"/>
        <w:ind w:left="4" w:hanging="4"/>
        <w:spacing w:after="0" w:line="245" w:lineRule="auto"/>
        <w:tabs>
          <w:tab w:leader="none" w:pos="2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the Shares to be sold hereunder or pursuant to employee equity incentive plans existing on, or upon the conversion or exchange of convertible or exchangeable securities</w:t>
      </w:r>
    </w:p>
    <w:p>
      <w:pPr>
        <w:spacing w:after="0" w:line="200" w:lineRule="exact"/>
        <w:rPr>
          <w:sz w:val="20"/>
          <w:szCs w:val="20"/>
          <w:color w:val="auto"/>
        </w:rPr>
      </w:pPr>
    </w:p>
    <w:p>
      <w:pPr>
        <w:spacing w:after="0" w:line="205"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10160</wp:posOffset>
            </wp:positionV>
            <wp:extent cx="71361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4"/>
          </w:cols>
          <w:pgMar w:left="956" w:top="889" w:right="339" w:bottom="1440" w:gutter="0" w:footer="0" w:header="0"/>
        </w:sectPr>
      </w:pPr>
    </w:p>
    <w:bookmarkStart w:id="62" w:name="page63"/>
    <w:bookmarkEnd w:id="62"/>
    <w:p>
      <w:pPr>
        <w:jc w:val="both"/>
        <w:ind w:left="4"/>
        <w:spacing w:after="0" w:line="277" w:lineRule="auto"/>
        <w:rPr>
          <w:sz w:val="20"/>
          <w:szCs w:val="20"/>
          <w:color w:val="auto"/>
        </w:rPr>
      </w:pPr>
      <w:r>
        <w:rPr>
          <w:rFonts w:ascii="Arial" w:cs="Arial" w:eastAsia="Arial" w:hAnsi="Arial"/>
          <w:sz w:val="16"/>
          <w:szCs w:val="16"/>
          <w:color w:val="auto"/>
        </w:rPr>
        <w:t xml:space="preserve">outstanding as of, the date of this Agreement), or publicly disclose the intention to take any of the actions described in clause (i) or clause (ii) above, without the prior written consent of Goldman Sachs &amp; Co. LLC and Morgan Stanley &amp; Co. LLC;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restrictions shall not apply to (A) the issuance of the Shares to be sold hereunder upon conversion of shares of Class B Common Stock, (B) the grant of options to purchase or the issuance by the Company of common stock or any securities convertible into, exchangeable for or that represent the right to receive shares of common stock, including restricted stock units, in each case pursuant to the Company’s equity plans disclosed in the Pricing Prospectus,</w:t>
      </w:r>
    </w:p>
    <w:p>
      <w:pPr>
        <w:spacing w:after="0" w:line="2" w:lineRule="exact"/>
        <w:rPr>
          <w:sz w:val="20"/>
          <w:szCs w:val="20"/>
          <w:color w:val="auto"/>
        </w:rPr>
      </w:pPr>
    </w:p>
    <w:p>
      <w:pPr>
        <w:jc w:val="both"/>
        <w:ind w:left="4" w:hanging="4"/>
        <w:spacing w:after="0" w:line="292" w:lineRule="auto"/>
        <w:tabs>
          <w:tab w:leader="none" w:pos="288"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the entry into an agreement providing for the issuance by the Company of shares of common stock or any security convertible into or exercisable for shares of common stock in connection with the acquisition by the Company or any of its subsidiaries of the securities, business, technology, property or other assets of another person or entity or pursuant to an employee benefit plan assumed by the Company in connection with such acquisition, and the issuance of any such securities pursuant to any such agreement, (D) the entry into any agreement providing for the issuance of shares of common stock or any security convertible into or exercisable for shares of common stock in connection with joint ventures, commercial relationships, debt financings, charitable contributions or other strategic transactions, and the issuance of any such securities pursuant to any such agreement and (E) the filing of any registration statement on Form S-8 relating to securities granted or to be granted pursuant to the Company’s equity incentive plans that are described in the Pricing Prospectus or any assumed employee benefit plan contemplated by clause (C);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case of clauses (C) and (D), the aggregate number of shares of Stock that the Company may sell or issue or agree to sell or issue pursuant to clauses</w:t>
      </w:r>
    </w:p>
    <w:p>
      <w:pPr>
        <w:spacing w:after="0" w:line="3" w:lineRule="exact"/>
        <w:rPr>
          <w:rFonts w:ascii="Arial" w:cs="Arial" w:eastAsia="Arial" w:hAnsi="Arial"/>
          <w:sz w:val="15"/>
          <w:szCs w:val="15"/>
          <w:color w:val="auto"/>
        </w:rPr>
      </w:pPr>
    </w:p>
    <w:p>
      <w:pPr>
        <w:jc w:val="both"/>
        <w:ind w:left="4" w:hanging="4"/>
        <w:spacing w:after="0" w:line="281" w:lineRule="auto"/>
        <w:tabs>
          <w:tab w:leader="none" w:pos="286"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and (D) shall not exceed 10% of the total number of shares of common stock issued and outstanding immediately following the completion of the offering contemplated by this Agreement;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the case of clauses (C) and (D), the Company shall (x) cause each recipient of such securities to execute and deliver to the Representatives on or prior to the issuance of such securities, a lock-up agreement on substantially the same terms as the lock-up agreements referenced in Section 9 hereof for the remainder of the Lock-Up Period and (y) enter stop transfer instructions with the Company’s transfer agent and registrar on such securities, which the Company agrees it will not waive or amend without the prior written consent of Goldman Sachs &amp; Co. LLC and Morgan Stanley &amp; Co. LLC;</w:t>
      </w:r>
    </w:p>
    <w:p>
      <w:pPr>
        <w:spacing w:after="0" w:line="167" w:lineRule="exact"/>
        <w:rPr>
          <w:rFonts w:ascii="Arial" w:cs="Arial" w:eastAsia="Arial" w:hAnsi="Arial"/>
          <w:sz w:val="16"/>
          <w:szCs w:val="16"/>
          <w:color w:val="auto"/>
        </w:rPr>
      </w:pPr>
    </w:p>
    <w:p>
      <w:pPr>
        <w:jc w:val="both"/>
        <w:ind w:left="4" w:firstLine="1258"/>
        <w:spacing w:after="0" w:line="246" w:lineRule="auto"/>
        <w:tabs>
          <w:tab w:leader="none" w:pos="1523" w:val="left"/>
        </w:tabs>
        <w:numPr>
          <w:ilvl w:val="1"/>
          <w:numId w:val="42"/>
        </w:numPr>
        <w:rPr>
          <w:rFonts w:ascii="Arial" w:cs="Arial" w:eastAsia="Arial" w:hAnsi="Arial"/>
          <w:sz w:val="18"/>
          <w:szCs w:val="18"/>
          <w:color w:val="auto"/>
        </w:rPr>
      </w:pPr>
      <w:r>
        <w:rPr>
          <w:rFonts w:ascii="Arial" w:cs="Arial" w:eastAsia="Arial" w:hAnsi="Arial"/>
          <w:sz w:val="18"/>
          <w:szCs w:val="18"/>
          <w:color w:val="auto"/>
        </w:rPr>
        <w:t>During the Lock-Up Period, the Selling Stockholder shall not, and shall not cause or direct any of its affiliates to, (i) offer, sell, contract to sell, pledge, grant any option, right or warrant to purchase, purchase any option or contract to sell, lend or otherwise transfer or dispose of, directly or indirectly,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“Selling Stockholder Lock-Up Securities”), including without limitation any such Selling Stockholder Lock-Up Securities currently beneficially owned (as such term is used in Rule 13d-3 of the Exchange Act) or hereafter acquired by the Selling Stockholder, (ii) engage in any hedging or other</w:t>
      </w:r>
    </w:p>
    <w:p>
      <w:pPr>
        <w:spacing w:after="0" w:line="200" w:lineRule="exact"/>
        <w:rPr>
          <w:sz w:val="20"/>
          <w:szCs w:val="20"/>
          <w:color w:val="auto"/>
        </w:rPr>
      </w:pPr>
    </w:p>
    <w:p>
      <w:pPr>
        <w:spacing w:after="0" w:line="208"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10160</wp:posOffset>
            </wp:positionV>
            <wp:extent cx="71361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4"/>
          </w:cols>
          <w:pgMar w:left="956" w:top="889" w:right="339" w:bottom="1440" w:gutter="0" w:footer="0" w:header="0"/>
        </w:sectPr>
      </w:pPr>
    </w:p>
    <w:bookmarkStart w:id="63" w:name="page64"/>
    <w:bookmarkEnd w:id="63"/>
    <w:p>
      <w:pPr>
        <w:jc w:val="both"/>
        <w:spacing w:after="0" w:line="281" w:lineRule="auto"/>
        <w:rPr>
          <w:sz w:val="20"/>
          <w:szCs w:val="20"/>
          <w:color w:val="auto"/>
        </w:rPr>
      </w:pPr>
      <w:r>
        <w:rPr>
          <w:rFonts w:ascii="Arial" w:cs="Arial" w:eastAsia="Arial" w:hAnsi="Arial"/>
          <w:sz w:val="16"/>
          <w:szCs w:val="16"/>
          <w:color w:val="auto"/>
        </w:rPr>
        <w:t>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Selling Stockholder or someone other than the Selling Stockholder), or transfer of any of the economic consequences of ownership, in whole or in part, directly or indirectly, of any Selling Stockholder Lock-Up Securities, whether any such transaction or arrangement described in clause (i) or (ii) above (or instrument provided for thereunder) would be settled by delivery of Common Stock or other securities, in cash or otherwise, (iii) make any demand for or exercise any right with respect to the registration of any Selling Stockholder Lock-Up Securities or (iv) otherwise publicly announce any intention to engage in or cause any action, activity, transaction or arrangement described in clause (i), (ii) or (iii) above; provided, however, that the Selling Stockholder may:</w:t>
      </w:r>
    </w:p>
    <w:p>
      <w:pPr>
        <w:spacing w:after="0" w:line="169" w:lineRule="exact"/>
        <w:rPr>
          <w:sz w:val="20"/>
          <w:szCs w:val="20"/>
          <w:color w:val="auto"/>
        </w:rPr>
      </w:pPr>
    </w:p>
    <w:p>
      <w:pPr>
        <w:jc w:val="both"/>
        <w:ind w:left="620" w:firstLine="631"/>
        <w:spacing w:after="0" w:line="275" w:lineRule="auto"/>
        <w:rPr>
          <w:sz w:val="20"/>
          <w:szCs w:val="20"/>
          <w:color w:val="auto"/>
        </w:rPr>
      </w:pPr>
      <w:r>
        <w:rPr>
          <w:rFonts w:ascii="Arial" w:cs="Arial" w:eastAsia="Arial" w:hAnsi="Arial"/>
          <w:sz w:val="16"/>
          <w:szCs w:val="16"/>
          <w:color w:val="010000"/>
        </w:rPr>
        <w:t>(i)            </w:t>
      </w:r>
      <w:r>
        <w:rPr>
          <w:rFonts w:ascii="Arial" w:cs="Arial" w:eastAsia="Arial" w:hAnsi="Arial"/>
          <w:sz w:val="16"/>
          <w:szCs w:val="16"/>
          <w:color w:val="000000"/>
        </w:rPr>
        <w:t>transfer the Selling Stockholder Lock-Up Securities (i) as one or more bona fide gifts or charitable contributions, or for bona</w:t>
      </w:r>
      <w:r>
        <w:rPr>
          <w:rFonts w:ascii="Arial" w:cs="Arial" w:eastAsia="Arial" w:hAnsi="Arial"/>
          <w:sz w:val="16"/>
          <w:szCs w:val="16"/>
          <w:color w:val="010000"/>
        </w:rPr>
        <w:t xml:space="preserve"> </w:t>
      </w:r>
      <w:r>
        <w:rPr>
          <w:rFonts w:ascii="Arial" w:cs="Arial" w:eastAsia="Arial" w:hAnsi="Arial"/>
          <w:sz w:val="16"/>
          <w:szCs w:val="16"/>
          <w:color w:val="000000"/>
        </w:rPr>
        <w:t>fide estate planning purposes, (ii) upon death by will, testamentary document or intestate succession, (iii) if the party bound by this restriction is a natural person, to any member of such party’s immediate family or to any trust for the direct or indirect benefit of the party or an immediate family member (as defined in FINRA Rule 5130(i)(5)) of the party or, if the party is a trust, to a trustor or beneficiary of the trust or the estate of a beneficiary of such trust, (iv) to a partnership, limited liability company or other entity of which the party and the immediate family of the party are the legal and beneficial owner of all of the outstanding equity securities or similar interests, (v) to a nominee or custodian of a person or entity to whom a disposition or transfer would be permissible under clauses (a)(i) through (iv) above, (vi) if the undersigned is a corporation, partnership, limited liability company or other business entity, (A) to another corporation, partnership, limited liability company or other business entity that is an affiliate (as defined in Rule 405 under the Act) of the party, or to any investment fund or other entity which fund or entity is controlled or managed by the party or affiliates of the party, or (B) as part of a distribution by the party to its stockholders, partners, members or other equityholders or to the estate of any such stockholders, partners, members or other equityholders,</w:t>
      </w:r>
    </w:p>
    <w:p>
      <w:pPr>
        <w:spacing w:after="0" w:line="6" w:lineRule="exact"/>
        <w:rPr>
          <w:sz w:val="20"/>
          <w:szCs w:val="20"/>
          <w:color w:val="auto"/>
        </w:rPr>
      </w:pPr>
    </w:p>
    <w:p>
      <w:pPr>
        <w:jc w:val="both"/>
        <w:ind w:left="620" w:firstLine="7"/>
        <w:spacing w:after="0" w:line="281" w:lineRule="auto"/>
        <w:tabs>
          <w:tab w:leader="none" w:pos="972" w:val="left"/>
        </w:tabs>
        <w:numPr>
          <w:ilvl w:val="0"/>
          <w:numId w:val="43"/>
        </w:numPr>
        <w:rPr>
          <w:rFonts w:ascii="Arial" w:cs="Arial" w:eastAsia="Arial" w:hAnsi="Arial"/>
          <w:sz w:val="16"/>
          <w:szCs w:val="16"/>
          <w:color w:val="auto"/>
        </w:rPr>
      </w:pPr>
      <w:r>
        <w:rPr>
          <w:rFonts w:ascii="Arial" w:cs="Arial" w:eastAsia="Arial" w:hAnsi="Arial"/>
          <w:sz w:val="16"/>
          <w:szCs w:val="16"/>
          <w:color w:val="auto"/>
        </w:rPr>
        <w:t>by operation of law, such as pursuant to a qualified domestic order, divorce settlement, divorce decree or separation agreement, (viii) to the Company from an employee or service provider of the Company upon death, disability or termination of employment, in each case, of such employee or service provider, (ix) in connection with a sale of the Selling Stockholder’s shares of Common Stock acquired (A) from the Underwriters in the offering contemplated by this Agreement or (B) in open market transactions after the closing date of the offering contemplated by this Agreement, (x) to the Company in connection with the vesting, settlement or exercise of restricted stock units, options, warrants or other rights to purchase shares of Common Stock (including, in each case, by way of “net” or “cashless”</w:t>
      </w:r>
    </w:p>
    <w:p>
      <w:pPr>
        <w:spacing w:after="0" w:line="37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10160</wp:posOffset>
            </wp:positionV>
            <wp:extent cx="71361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0"/>
          </w:cols>
          <w:pgMar w:left="960" w:top="889" w:right="339" w:bottom="1440" w:gutter="0" w:footer="0" w:header="0"/>
        </w:sectPr>
      </w:pPr>
    </w:p>
    <w:bookmarkStart w:id="64" w:name="page65"/>
    <w:bookmarkEnd w:id="64"/>
    <w:p>
      <w:pPr>
        <w:jc w:val="both"/>
        <w:ind w:left="140"/>
        <w:spacing w:after="0" w:line="277" w:lineRule="auto"/>
        <w:rPr>
          <w:sz w:val="20"/>
          <w:szCs w:val="20"/>
          <w:color w:val="auto"/>
        </w:rPr>
      </w:pPr>
      <w:r>
        <w:rPr>
          <w:rFonts w:ascii="Arial" w:cs="Arial" w:eastAsia="Arial" w:hAnsi="Arial"/>
          <w:sz w:val="16"/>
          <w:szCs w:val="16"/>
          <w:color w:val="auto"/>
        </w:rPr>
        <w:t>exercise),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Registration Statement, the Preliminary Prospectus relating to the Shares included in the Registration Statement and the Prospectus, provided that any securities received upon such vesting, settlement, exercise or conversion shall be subject to the terms of this Lock-Up Agreement, or (xi) with the prior written consent of Goldman Sachs &amp; Co. LLC and Morgan Stanley &amp; Co. LLC on behalf of the Underwriters; provided that (I) in the case of clauses (i), (ii), (iii), (iv), (v) and (vi) above, such transfer or distribution shall not involve a disposition for value, (II) in the case of clauses (i), (ii), (iii), (iv), (v), (vi) and (vii) above, it shall be a condition to the transfer or distribution that the donee, devisee, transferee or distributee, as the case may be, shall sign and deliver a lock-up agreement containing the restrictions set forth in this paragraph for the benefit of the Underwriters, (III) in the case of clauses (i), (ii), (iii), (iv), (v) and (vi) above, no filing by any party (including, without limitation, any donor, donee, devisee, transferor, transferee, distributor or distributee) under the Exchange Act, or other public filing, report or announcement reporting a reduction in beneficial ownership of Selling Stockholder Lock-Up Securities shall be required or shall be voluntarily made in connection with such transfer or distribution, and (D) in the case of clauses (a)(vii),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 (vii) above, that the donee, devisee, transferee or distributee has agreed to be bound by a lock-up agreement to the extent provided in this Section 6(e)(2);</w:t>
      </w:r>
    </w:p>
    <w:p>
      <w:pPr>
        <w:spacing w:after="0" w:line="173" w:lineRule="exact"/>
        <w:rPr>
          <w:sz w:val="20"/>
          <w:szCs w:val="20"/>
          <w:color w:val="auto"/>
        </w:rPr>
      </w:pPr>
    </w:p>
    <w:p>
      <w:pPr>
        <w:jc w:val="both"/>
        <w:ind w:left="140" w:firstLine="631"/>
        <w:spacing w:after="0" w:line="286" w:lineRule="auto"/>
        <w:rPr>
          <w:sz w:val="20"/>
          <w:szCs w:val="20"/>
          <w:color w:val="auto"/>
        </w:rPr>
      </w:pPr>
      <w:r>
        <w:rPr>
          <w:rFonts w:ascii="Arial" w:cs="Arial" w:eastAsia="Arial" w:hAnsi="Arial"/>
          <w:sz w:val="16"/>
          <w:szCs w:val="16"/>
          <w:color w:val="010000"/>
        </w:rPr>
        <w:t>(ii)            </w:t>
      </w:r>
      <w:r>
        <w:rPr>
          <w:rFonts w:ascii="Arial" w:cs="Arial" w:eastAsia="Arial" w:hAnsi="Arial"/>
          <w:sz w:val="16"/>
          <w:szCs w:val="16"/>
          <w:color w:val="000000"/>
        </w:rPr>
        <w:t>enter into a written plan meeting the requirements of Rule 10b5-1 under the Exchange Act relating to the transfer, sale or</w:t>
      </w:r>
      <w:r>
        <w:rPr>
          <w:rFonts w:ascii="Arial" w:cs="Arial" w:eastAsia="Arial" w:hAnsi="Arial"/>
          <w:sz w:val="16"/>
          <w:szCs w:val="16"/>
          <w:color w:val="010000"/>
        </w:rPr>
        <w:t xml:space="preserve"> </w:t>
      </w:r>
      <w:r>
        <w:rPr>
          <w:rFonts w:ascii="Arial" w:cs="Arial" w:eastAsia="Arial" w:hAnsi="Arial"/>
          <w:sz w:val="16"/>
          <w:szCs w:val="16"/>
          <w:color w:val="000000"/>
        </w:rPr>
        <w:t>other disposition of the Selling Stockholder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required or shall be voluntarily made regarding the establishment of such plan during the Lock-Up Period; and</w:t>
      </w:r>
    </w:p>
    <w:p>
      <w:pPr>
        <w:spacing w:after="0" w:line="166" w:lineRule="exact"/>
        <w:rPr>
          <w:sz w:val="20"/>
          <w:szCs w:val="20"/>
          <w:color w:val="auto"/>
        </w:rPr>
      </w:pPr>
    </w:p>
    <w:p>
      <w:pPr>
        <w:jc w:val="both"/>
        <w:ind w:left="140" w:firstLine="631"/>
        <w:spacing w:after="0" w:line="261" w:lineRule="auto"/>
        <w:rPr>
          <w:sz w:val="20"/>
          <w:szCs w:val="20"/>
          <w:color w:val="auto"/>
        </w:rPr>
      </w:pPr>
      <w:r>
        <w:rPr>
          <w:rFonts w:ascii="Arial" w:cs="Arial" w:eastAsia="Arial" w:hAnsi="Arial"/>
          <w:sz w:val="18"/>
          <w:szCs w:val="18"/>
          <w:color w:val="010000"/>
        </w:rPr>
        <w:t>(iii)            </w:t>
      </w:r>
      <w:r>
        <w:rPr>
          <w:rFonts w:ascii="Arial" w:cs="Arial" w:eastAsia="Arial" w:hAnsi="Arial"/>
          <w:sz w:val="18"/>
          <w:szCs w:val="18"/>
          <w:color w:val="000000"/>
        </w:rPr>
        <w:t>transfer the Selling Stockholder Lock-Up Securities pursuant to a bona fide third-party tender offer, merger, consolidation</w:t>
      </w:r>
      <w:r>
        <w:rPr>
          <w:rFonts w:ascii="Arial" w:cs="Arial" w:eastAsia="Arial" w:hAnsi="Arial"/>
          <w:sz w:val="18"/>
          <w:szCs w:val="18"/>
          <w:color w:val="010000"/>
        </w:rPr>
        <w:t xml:space="preserve"> </w:t>
      </w:r>
      <w:r>
        <w:rPr>
          <w:rFonts w:ascii="Arial" w:cs="Arial" w:eastAsia="Arial" w:hAnsi="Arial"/>
          <w:sz w:val="18"/>
          <w:szCs w:val="18"/>
          <w:color w:val="000000"/>
        </w:rPr>
        <w:t>or other similar transaction that is approved by the Board of Directors of the</w:t>
      </w:r>
    </w:p>
    <w:p>
      <w:pPr>
        <w:spacing w:after="0" w:line="3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10160</wp:posOffset>
            </wp:positionV>
            <wp:extent cx="71361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120"/>
          </w:cols>
          <w:pgMar w:left="1440" w:top="889" w:right="339" w:bottom="1440" w:gutter="0" w:footer="0" w:header="0"/>
        </w:sectPr>
      </w:pPr>
    </w:p>
    <w:bookmarkStart w:id="65" w:name="page66"/>
    <w:bookmarkEnd w:id="65"/>
    <w:p>
      <w:pPr>
        <w:jc w:val="both"/>
        <w:ind w:left="620"/>
        <w:spacing w:after="0" w:line="284" w:lineRule="auto"/>
        <w:rPr>
          <w:sz w:val="20"/>
          <w:szCs w:val="20"/>
          <w:color w:val="auto"/>
        </w:rPr>
      </w:pPr>
      <w:r>
        <w:rPr>
          <w:rFonts w:ascii="Arial" w:cs="Arial" w:eastAsia="Arial" w:hAnsi="Arial"/>
          <w:sz w:val="16"/>
          <w:szCs w:val="16"/>
          <w:color w:val="auto"/>
        </w:rPr>
        <w:t>Company and made to all holders of the Company’s Common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Selling Stockholder Lock-Up Securities shall remain subject to the restrictions set forth in this Section 6(e)(2).</w:t>
      </w:r>
    </w:p>
    <w:p>
      <w:pPr>
        <w:spacing w:after="0" w:line="166"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010000"/>
        </w:rPr>
        <w:t>(f)            </w:t>
      </w:r>
      <w:r>
        <w:rPr>
          <w:rFonts w:ascii="Arial" w:cs="Arial" w:eastAsia="Arial" w:hAnsi="Arial"/>
          <w:sz w:val="16"/>
          <w:szCs w:val="16"/>
          <w:color w:val="000000"/>
        </w:rPr>
        <w:t>During a period of three years from the effective date of the Registration Statement, so long as the Company is subject to the</w:t>
      </w:r>
      <w:r>
        <w:rPr>
          <w:rFonts w:ascii="Arial" w:cs="Arial" w:eastAsia="Arial" w:hAnsi="Arial"/>
          <w:sz w:val="16"/>
          <w:szCs w:val="16"/>
          <w:color w:val="010000"/>
        </w:rPr>
        <w:t xml:space="preserve"> </w:t>
      </w:r>
      <w:r>
        <w:rPr>
          <w:rFonts w:ascii="Arial" w:cs="Arial" w:eastAsia="Arial" w:hAnsi="Arial"/>
          <w:sz w:val="16"/>
          <w:szCs w:val="16"/>
          <w:color w:val="000000"/>
        </w:rPr>
        <w:t>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w:t>
      </w:r>
    </w:p>
    <w:p>
      <w:pPr>
        <w:spacing w:after="0" w:line="166" w:lineRule="exact"/>
        <w:rPr>
          <w:sz w:val="20"/>
          <w:szCs w:val="20"/>
          <w:color w:val="auto"/>
        </w:rPr>
      </w:pPr>
    </w:p>
    <w:p>
      <w:pPr>
        <w:jc w:val="both"/>
        <w:ind w:firstLine="631"/>
        <w:spacing w:after="0" w:line="279" w:lineRule="auto"/>
        <w:rPr>
          <w:sz w:val="20"/>
          <w:szCs w:val="20"/>
          <w:color w:val="auto"/>
        </w:rPr>
      </w:pPr>
      <w:r>
        <w:rPr>
          <w:rFonts w:ascii="Arial" w:cs="Arial" w:eastAsia="Arial" w:hAnsi="Arial"/>
          <w:sz w:val="16"/>
          <w:szCs w:val="16"/>
          <w:color w:val="010000"/>
        </w:rPr>
        <w:t>(g)            </w:t>
      </w:r>
      <w:r>
        <w:rPr>
          <w:rFonts w:ascii="Arial" w:cs="Arial" w:eastAsia="Arial" w:hAnsi="Arial"/>
          <w:sz w:val="16"/>
          <w:szCs w:val="16"/>
          <w:color w:val="000000"/>
        </w:rPr>
        <w:t>During a period of three years from the effective date of the Registration Statement, so long as the Company is subject to the</w:t>
      </w:r>
      <w:r>
        <w:rPr>
          <w:rFonts w:ascii="Arial" w:cs="Arial" w:eastAsia="Arial" w:hAnsi="Arial"/>
          <w:sz w:val="16"/>
          <w:szCs w:val="16"/>
          <w:color w:val="010000"/>
        </w:rPr>
        <w:t xml:space="preserve"> </w:t>
      </w:r>
      <w:r>
        <w:rPr>
          <w:rFonts w:ascii="Arial" w:cs="Arial" w:eastAsia="Arial" w:hAnsi="Arial"/>
          <w:sz w:val="16"/>
          <w:szCs w:val="16"/>
          <w:color w:val="000000"/>
        </w:rPr>
        <w:t xml:space="preserve">reporting requirements of either Section 13 or Section 15(d) of the Exchange Act,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 </w:t>
      </w:r>
      <w:r>
        <w:rPr>
          <w:rFonts w:ascii="Arial" w:cs="Arial" w:eastAsia="Arial" w:hAnsi="Arial"/>
          <w:sz w:val="16"/>
          <w:szCs w:val="16"/>
          <w:i w:val="1"/>
          <w:iCs w:val="1"/>
          <w:color w:val="000000"/>
        </w:rPr>
        <w:t>provided, however</w:t>
      </w:r>
      <w:r>
        <w:rPr>
          <w:rFonts w:ascii="Arial" w:cs="Arial" w:eastAsia="Arial" w:hAnsi="Arial"/>
          <w:sz w:val="16"/>
          <w:szCs w:val="16"/>
          <w:color w:val="000000"/>
        </w:rPr>
        <w:t>, that no report, communication or financial statement need be furnished pursuant to this subsection (g) to the extent (i) they are furnished or filed by the Company and publicly available on the Commission’s EDGAR system, in which case they shall be deemed to have been furnished and delivered to you at the same time furnished to or filed with the Commission or (ii) the provision of which would require public disclosure by the Company under Regulation FD;</w:t>
      </w:r>
    </w:p>
    <w:p>
      <w:pPr>
        <w:spacing w:after="0" w:line="174"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010000"/>
        </w:rPr>
        <w:t>(h)            </w:t>
      </w:r>
      <w:r>
        <w:rPr>
          <w:rFonts w:ascii="Arial" w:cs="Arial" w:eastAsia="Arial" w:hAnsi="Arial"/>
          <w:sz w:val="16"/>
          <w:szCs w:val="16"/>
          <w:color w:val="000000"/>
        </w:rPr>
        <w:t>If the Company elects to rely upon Rule 462(b), the Company shall file a Rule 462(b) Registration Statement with the Commission</w:t>
      </w:r>
      <w:r>
        <w:rPr>
          <w:rFonts w:ascii="Arial" w:cs="Arial" w:eastAsia="Arial" w:hAnsi="Arial"/>
          <w:sz w:val="16"/>
          <w:szCs w:val="16"/>
          <w:color w:val="010000"/>
        </w:rPr>
        <w:t xml:space="preserve"> </w:t>
      </w:r>
      <w:r>
        <w:rPr>
          <w:rFonts w:ascii="Arial" w:cs="Arial" w:eastAsia="Arial" w:hAnsi="Arial"/>
          <w:sz w:val="16"/>
          <w:szCs w:val="16"/>
          <w:color w:val="000000"/>
        </w:rPr>
        <w:t>in compliance with Rule 462(b) by 10:00 p.m., Washington, D.C. time, on the date of this Agreement, and the Company shall at the time of filing either pay to the Commission the filing fee for the Rule 462(b) Registration Statement or give irrevocable instructions for</w:t>
      </w:r>
    </w:p>
    <w:p>
      <w:pPr>
        <w:spacing w:after="0" w:line="36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10160</wp:posOffset>
            </wp:positionV>
            <wp:extent cx="71361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0"/>
          </w:cols>
          <w:pgMar w:left="960" w:top="889" w:right="339" w:bottom="1440" w:gutter="0" w:footer="0" w:header="0"/>
        </w:sectPr>
      </w:pPr>
    </w:p>
    <w:bookmarkStart w:id="66" w:name="page67"/>
    <w:bookmarkEnd w:id="66"/>
    <w:p>
      <w:pPr>
        <w:ind w:left="640"/>
        <w:spacing w:after="0"/>
        <w:rPr>
          <w:sz w:val="20"/>
          <w:szCs w:val="20"/>
          <w:color w:val="auto"/>
        </w:rPr>
      </w:pPr>
      <w:r>
        <w:rPr>
          <w:rFonts w:ascii="Arial" w:cs="Arial" w:eastAsia="Arial" w:hAnsi="Arial"/>
          <w:sz w:val="18"/>
          <w:szCs w:val="18"/>
          <w:color w:val="auto"/>
        </w:rPr>
        <w:t>the payment of such fee pursuant to 16 C.F.R. 202.3a;</w:t>
      </w:r>
    </w:p>
    <w:p>
      <w:pPr>
        <w:spacing w:after="0" w:line="214" w:lineRule="exact"/>
        <w:rPr>
          <w:sz w:val="20"/>
          <w:szCs w:val="20"/>
          <w:color w:val="auto"/>
        </w:rPr>
      </w:pPr>
    </w:p>
    <w:p>
      <w:pPr>
        <w:jc w:val="both"/>
        <w:ind w:left="640" w:firstLine="631"/>
        <w:spacing w:after="0" w:line="249" w:lineRule="auto"/>
        <w:rPr>
          <w:sz w:val="20"/>
          <w:szCs w:val="20"/>
          <w:color w:val="auto"/>
        </w:rPr>
      </w:pPr>
      <w:r>
        <w:rPr>
          <w:rFonts w:ascii="Arial" w:cs="Arial" w:eastAsia="Arial" w:hAnsi="Arial"/>
          <w:sz w:val="18"/>
          <w:szCs w:val="18"/>
          <w:color w:val="010000"/>
        </w:rPr>
        <w:t>(i)            </w:t>
      </w:r>
      <w:r>
        <w:rPr>
          <w:rFonts w:ascii="Arial" w:cs="Arial" w:eastAsia="Arial" w:hAnsi="Arial"/>
          <w:sz w:val="18"/>
          <w:szCs w:val="18"/>
          <w:color w:val="000000"/>
        </w:rPr>
        <w:t>Upon request of any Underwriter, to furnish, or cause to be furnished, to such Underwriter an electronic version of the Company’s</w:t>
      </w:r>
      <w:r>
        <w:rPr>
          <w:rFonts w:ascii="Arial" w:cs="Arial" w:eastAsia="Arial" w:hAnsi="Arial"/>
          <w:sz w:val="18"/>
          <w:szCs w:val="18"/>
          <w:color w:val="010000"/>
        </w:rPr>
        <w:t xml:space="preserve"> </w:t>
      </w:r>
      <w:r>
        <w:rPr>
          <w:rFonts w:ascii="Arial" w:cs="Arial" w:eastAsia="Arial" w:hAnsi="Arial"/>
          <w:sz w:val="18"/>
          <w:szCs w:val="18"/>
          <w:color w:val="000000"/>
        </w:rPr>
        <w:t xml:space="preserve">trademarks, servicemarks and corporate logo for use on the website, if any, operated by such Underwriter for the purpose of facilitating the on-line offering of the Shares (the “License”); </w:t>
      </w:r>
      <w:r>
        <w:rPr>
          <w:rFonts w:ascii="Arial" w:cs="Arial" w:eastAsia="Arial" w:hAnsi="Arial"/>
          <w:sz w:val="18"/>
          <w:szCs w:val="18"/>
          <w:i w:val="1"/>
          <w:iCs w:val="1"/>
          <w:color w:val="000000"/>
        </w:rPr>
        <w:t>provided, however</w:t>
      </w:r>
      <w:r>
        <w:rPr>
          <w:rFonts w:ascii="Arial" w:cs="Arial" w:eastAsia="Arial" w:hAnsi="Arial"/>
          <w:sz w:val="18"/>
          <w:szCs w:val="18"/>
          <w:color w:val="000000"/>
        </w:rPr>
        <w:t>, that the License shall be used solely for the purpose described above, is granted without any fee and may not be assigned or transferred; and</w:t>
      </w:r>
    </w:p>
    <w:p>
      <w:pPr>
        <w:spacing w:after="0" w:line="192" w:lineRule="exact"/>
        <w:rPr>
          <w:sz w:val="20"/>
          <w:szCs w:val="20"/>
          <w:color w:val="auto"/>
        </w:rPr>
      </w:pPr>
    </w:p>
    <w:p>
      <w:pPr>
        <w:jc w:val="both"/>
        <w:ind w:left="640" w:firstLine="631"/>
        <w:spacing w:after="0" w:line="249" w:lineRule="auto"/>
        <w:rPr>
          <w:sz w:val="20"/>
          <w:szCs w:val="20"/>
          <w:color w:val="auto"/>
        </w:rPr>
      </w:pPr>
      <w:r>
        <w:rPr>
          <w:rFonts w:ascii="Arial" w:cs="Arial" w:eastAsia="Arial" w:hAnsi="Arial"/>
          <w:sz w:val="18"/>
          <w:szCs w:val="18"/>
          <w:color w:val="010000"/>
        </w:rPr>
        <w:t>(j)            </w:t>
      </w:r>
      <w:r>
        <w:rPr>
          <w:rFonts w:ascii="Arial" w:cs="Arial" w:eastAsia="Arial" w:hAnsi="Arial"/>
          <w:sz w:val="18"/>
          <w:szCs w:val="18"/>
          <w:color w:val="000000"/>
        </w:rPr>
        <w:t>Upon request of any Underwriter, to furnish, or cause to be furnished, to such Underwriter a properly completed and executed</w:t>
      </w:r>
      <w:r>
        <w:rPr>
          <w:rFonts w:ascii="Arial" w:cs="Arial" w:eastAsia="Arial" w:hAnsi="Arial"/>
          <w:sz w:val="18"/>
          <w:szCs w:val="18"/>
          <w:color w:val="010000"/>
        </w:rPr>
        <w:t xml:space="preserve"> </w:t>
      </w:r>
      <w:r>
        <w:rPr>
          <w:rFonts w:ascii="Arial" w:cs="Arial" w:eastAsia="Arial" w:hAnsi="Arial"/>
          <w:sz w:val="18"/>
          <w:szCs w:val="18"/>
          <w:color w:val="000000"/>
        </w:rPr>
        <w:t>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92"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010000"/>
        </w:rPr>
        <w:t>7.            </w:t>
      </w:r>
      <w:r>
        <w:rPr>
          <w:rFonts w:ascii="Arial" w:cs="Arial" w:eastAsia="Arial" w:hAnsi="Arial"/>
          <w:sz w:val="16"/>
          <w:szCs w:val="16"/>
          <w:color w:val="000000"/>
        </w:rPr>
        <w:t>(a) The Company represents and agrees that, without the prior consent of the Representatives, it has not made and will not make any offer</w:t>
      </w:r>
      <w:r>
        <w:rPr>
          <w:rFonts w:ascii="Arial" w:cs="Arial" w:eastAsia="Arial" w:hAnsi="Arial"/>
          <w:sz w:val="16"/>
          <w:szCs w:val="16"/>
          <w:color w:val="010000"/>
        </w:rPr>
        <w:t xml:space="preserve"> </w:t>
      </w:r>
      <w:r>
        <w:rPr>
          <w:rFonts w:ascii="Arial" w:cs="Arial" w:eastAsia="Arial" w:hAnsi="Arial"/>
          <w:sz w:val="16"/>
          <w:szCs w:val="16"/>
          <w:color w:val="000000"/>
        </w:rPr>
        <w:t>relating to the Shares that would constitute a “free writing prospectus” as defined in Rule 405 under the Act; the Selling Stockholder represents and agrees that, without the prior consent of the Company and the Representatives, it has not made and will not make any offer relating to the Shares that would constitute a free writing prospectus; and each Underwriter represents and agrees that, without the prior consent of the Company,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III(a) or Schedule III(c) hereto;</w:t>
      </w:r>
    </w:p>
    <w:p>
      <w:pPr>
        <w:spacing w:after="0" w:line="166" w:lineRule="exact"/>
        <w:rPr>
          <w:sz w:val="20"/>
          <w:szCs w:val="20"/>
          <w:color w:val="auto"/>
        </w:rPr>
      </w:pPr>
    </w:p>
    <w:p>
      <w:pPr>
        <w:jc w:val="both"/>
        <w:ind w:left="640" w:firstLine="631"/>
        <w:spacing w:after="0" w:line="261"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The Company has complied and will comply with the requirements of Rule 433 under the Act applicable to any Issuer Free Writing</w:t>
      </w:r>
      <w:r>
        <w:rPr>
          <w:rFonts w:ascii="Arial" w:cs="Arial" w:eastAsia="Arial" w:hAnsi="Arial"/>
          <w:sz w:val="18"/>
          <w:szCs w:val="18"/>
          <w:color w:val="010000"/>
        </w:rPr>
        <w:t xml:space="preserve"> </w:t>
      </w:r>
      <w:r>
        <w:rPr>
          <w:rFonts w:ascii="Arial" w:cs="Arial" w:eastAsia="Arial" w:hAnsi="Arial"/>
          <w:sz w:val="18"/>
          <w:szCs w:val="18"/>
          <w:color w:val="000000"/>
        </w:rPr>
        <w:t>Prospectus, including timely filing with the Commission or retention where required and legending;</w:t>
      </w:r>
    </w:p>
    <w:p>
      <w:pPr>
        <w:spacing w:after="0" w:line="181" w:lineRule="exact"/>
        <w:rPr>
          <w:sz w:val="20"/>
          <w:szCs w:val="20"/>
          <w:color w:val="auto"/>
        </w:rPr>
      </w:pPr>
    </w:p>
    <w:p>
      <w:pPr>
        <w:jc w:val="both"/>
        <w:ind w:left="640" w:firstLine="631"/>
        <w:spacing w:after="0" w:line="282" w:lineRule="auto"/>
        <w:rPr>
          <w:sz w:val="20"/>
          <w:szCs w:val="20"/>
          <w:color w:val="auto"/>
        </w:rPr>
      </w:pPr>
      <w:r>
        <w:rPr>
          <w:rFonts w:ascii="Arial" w:cs="Arial" w:eastAsia="Arial" w:hAnsi="Arial"/>
          <w:sz w:val="16"/>
          <w:szCs w:val="16"/>
          <w:color w:val="010000"/>
        </w:rPr>
        <w:t>(c)            </w:t>
      </w:r>
      <w:r>
        <w:rPr>
          <w:rFonts w:ascii="Arial" w:cs="Arial" w:eastAsia="Arial" w:hAnsi="Arial"/>
          <w:sz w:val="16"/>
          <w:szCs w:val="16"/>
          <w:color w:val="000000"/>
        </w:rPr>
        <w:t>The Company agrees that if at any time following issuance of an Issuer Free Writing Prospectus or Written Testing-the-Waters</w:t>
      </w:r>
      <w:r>
        <w:rPr>
          <w:rFonts w:ascii="Arial" w:cs="Arial" w:eastAsia="Arial" w:hAnsi="Arial"/>
          <w:sz w:val="16"/>
          <w:szCs w:val="16"/>
          <w:color w:val="010000"/>
        </w:rPr>
        <w:t xml:space="preserve"> </w:t>
      </w:r>
      <w:r>
        <w:rPr>
          <w:rFonts w:ascii="Arial" w:cs="Arial" w:eastAsia="Arial" w:hAnsi="Arial"/>
          <w:sz w:val="16"/>
          <w:szCs w:val="16"/>
          <w:color w:val="000000"/>
        </w:rPr>
        <w:t>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color w:val="010000"/>
        </w:rPr>
        <w:t>(d)            </w:t>
      </w:r>
      <w:r>
        <w:rPr>
          <w:rFonts w:ascii="Arial" w:cs="Arial" w:eastAsia="Arial" w:hAnsi="Arial"/>
          <w:sz w:val="18"/>
          <w:szCs w:val="18"/>
          <w:color w:val="000000"/>
        </w:rPr>
        <w:t>The Company represents and agrees that (i) it has not engaged 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7" w:name="page68"/>
    <w:bookmarkEnd w:id="67"/>
    <w:p>
      <w:pPr>
        <w:jc w:val="both"/>
        <w:ind w:left="640"/>
        <w:spacing w:after="0" w:line="276" w:lineRule="auto"/>
        <w:rPr>
          <w:sz w:val="20"/>
          <w:szCs w:val="20"/>
          <w:color w:val="auto"/>
        </w:rPr>
      </w:pPr>
      <w:r>
        <w:rPr>
          <w:rFonts w:ascii="Arial" w:cs="Arial" w:eastAsia="Arial" w:hAnsi="Arial"/>
          <w:sz w:val="16"/>
          <w:szCs w:val="16"/>
          <w:color w:val="auto"/>
        </w:rPr>
        <w:t>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3" w:lineRule="exact"/>
        <w:rPr>
          <w:sz w:val="20"/>
          <w:szCs w:val="20"/>
          <w:color w:val="auto"/>
        </w:rPr>
      </w:pPr>
    </w:p>
    <w:p>
      <w:pPr>
        <w:jc w:val="both"/>
        <w:ind w:left="640" w:firstLine="631"/>
        <w:spacing w:after="0" w:line="245" w:lineRule="auto"/>
        <w:rPr>
          <w:sz w:val="20"/>
          <w:szCs w:val="20"/>
          <w:color w:val="auto"/>
        </w:rPr>
      </w:pPr>
      <w:r>
        <w:rPr>
          <w:rFonts w:ascii="Arial" w:cs="Arial" w:eastAsia="Arial" w:hAnsi="Arial"/>
          <w:sz w:val="18"/>
          <w:szCs w:val="18"/>
          <w:color w:val="010000"/>
        </w:rPr>
        <w:t>(e)            </w:t>
      </w:r>
      <w:r>
        <w:rPr>
          <w:rFonts w:ascii="Arial" w:cs="Arial" w:eastAsia="Arial" w:hAnsi="Arial"/>
          <w:sz w:val="18"/>
          <w:szCs w:val="18"/>
          <w:color w:val="000000"/>
        </w:rPr>
        <w:t>Each Underwriter represents and agrees that any Testing-the-Waters Communications undertaken by it were with entities that such</w:t>
      </w:r>
      <w:r>
        <w:rPr>
          <w:rFonts w:ascii="Arial" w:cs="Arial" w:eastAsia="Arial" w:hAnsi="Arial"/>
          <w:sz w:val="18"/>
          <w:szCs w:val="18"/>
          <w:color w:val="010000"/>
        </w:rPr>
        <w:t xml:space="preserve"> </w:t>
      </w:r>
      <w:r>
        <w:rPr>
          <w:rFonts w:ascii="Arial" w:cs="Arial" w:eastAsia="Arial" w:hAnsi="Arial"/>
          <w:sz w:val="18"/>
          <w:szCs w:val="18"/>
          <w:color w:val="000000"/>
        </w:rPr>
        <w:t>Underwriter reasonably believes are qualified institutional buyers as defined in Rule 144A under the Act or institutions that are accredited investors as defined in Rule 501(a)(1), (a)(2), (a)(3), (a)(7) or (a)(8) under the Act.</w:t>
      </w:r>
    </w:p>
    <w:p>
      <w:pPr>
        <w:spacing w:after="0" w:line="195" w:lineRule="exact"/>
        <w:rPr>
          <w:sz w:val="20"/>
          <w:szCs w:val="20"/>
          <w:color w:val="auto"/>
        </w:rPr>
      </w:pPr>
    </w:p>
    <w:p>
      <w:pPr>
        <w:jc w:val="both"/>
        <w:ind w:firstLine="631"/>
        <w:spacing w:after="0" w:line="276" w:lineRule="auto"/>
        <w:rPr>
          <w:sz w:val="20"/>
          <w:szCs w:val="20"/>
          <w:color w:val="auto"/>
        </w:rPr>
      </w:pPr>
      <w:r>
        <w:rPr>
          <w:rFonts w:ascii="Arial" w:cs="Arial" w:eastAsia="Arial" w:hAnsi="Arial"/>
          <w:sz w:val="16"/>
          <w:szCs w:val="16"/>
          <w:color w:val="010000"/>
        </w:rPr>
        <w:t>8.            </w:t>
      </w:r>
      <w:r>
        <w:rPr>
          <w:rFonts w:ascii="Arial" w:cs="Arial" w:eastAsia="Arial" w:hAnsi="Arial"/>
          <w:sz w:val="16"/>
          <w:szCs w:val="16"/>
          <w:color w:val="000000"/>
        </w:rPr>
        <w:t>The Company and the Selling Stockholder covenant and agree with one another and with the several Underwriters that, whether or not the</w:t>
      </w:r>
      <w:r>
        <w:rPr>
          <w:rFonts w:ascii="Arial" w:cs="Arial" w:eastAsia="Arial" w:hAnsi="Arial"/>
          <w:sz w:val="16"/>
          <w:szCs w:val="16"/>
          <w:color w:val="010000"/>
        </w:rPr>
        <w:t xml:space="preserve"> </w:t>
      </w:r>
      <w:r>
        <w:rPr>
          <w:rFonts w:ascii="Arial" w:cs="Arial" w:eastAsia="Arial" w:hAnsi="Arial"/>
          <w:sz w:val="16"/>
          <w:szCs w:val="16"/>
          <w:color w:val="000000"/>
        </w:rPr>
        <w:t>transactions contemplated in this Agreement are consummated or this Agreement is terminated (a) the Company will pay or cause to be paid all expenses incident to the performance of its obligations under this Agreement, including (i) the fees, disbursements and expenses of the Company’s counsel and accountants in connection with the registration of the Shares under the Act and all other fees or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w:t>
      </w:r>
    </w:p>
    <w:p>
      <w:pPr>
        <w:spacing w:after="0" w:line="4" w:lineRule="exact"/>
        <w:rPr>
          <w:sz w:val="20"/>
          <w:szCs w:val="20"/>
          <w:color w:val="auto"/>
        </w:rPr>
      </w:pPr>
    </w:p>
    <w:p>
      <w:pPr>
        <w:jc w:val="both"/>
        <w:ind w:firstLine="5"/>
        <w:spacing w:after="0" w:line="274" w:lineRule="auto"/>
        <w:tabs>
          <w:tab w:leader="none" w:pos="267"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costs and expenses related to the transfer and delivery of the Shares to the Underwriters, including any transfer or other taxes payable thereon; (iii) the cost of printing or producing any Agreement among Underwriters, this Agreement, the Blue Sky Memorandum, closing documents (including any compilations thereof) and any other documents in connection with the offering, purchase, sale and delivery of the Shares; (iv) all expenses in connection with the</w:t>
      </w:r>
    </w:p>
    <w:p>
      <w:pPr>
        <w:spacing w:after="0" w:line="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qualification of the Shares for offering and sale under state securities laws as provided in Section </w:t>
      </w:r>
      <w:r>
        <w:rPr>
          <w:rFonts w:ascii="Arial" w:cs="Arial" w:eastAsia="Arial" w:hAnsi="Arial"/>
          <w:sz w:val="22"/>
          <w:szCs w:val="22"/>
          <w:b w:val="1"/>
          <w:bCs w:val="1"/>
          <w:color w:val="auto"/>
        </w:rPr>
        <w:t>‎</w:t>
      </w:r>
      <w:r>
        <w:rPr>
          <w:rFonts w:ascii="Arial" w:cs="Arial" w:eastAsia="Arial" w:hAnsi="Arial"/>
          <w:sz w:val="16"/>
          <w:szCs w:val="16"/>
          <w:color w:val="auto"/>
        </w:rPr>
        <w:t>6(b) hereof, including the filing fees and the reasonable and documented fees and disbursements of counsel for the Underwriters in connection with such qualification and in connection with the Blue Sky survey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reasonable and documented fees and disbursements of counsel to the Underwriters pursuant to this clause (iv) shall not exceed $5,000); (v) all fees and expenses in connection with listing the Shares on NASDAQ; (vi) the filing fees incident to, and the reasonable and documented fees and disbursements of counsel for the Underwriters in connection with, any required review by FINRA of the terms of the sale of the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reasonable and documented fees and disbursements of counsel to the Underwriters pursuant to this clause (vi) shall not exceed $35,000); (vii) the cost of preparing stock certificates; if applicable; (viii) the cost and charges of any transfer agent, registrar or depositary; (ix) the costs and expenses of the Company relating to investor presentations on any roadshow undertaken in connection with the marketing of the offering of the Shares, including, without limitation, expenses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8" w:name="page69"/>
    <w:bookmarkEnd w:id="68"/>
    <w:p>
      <w:pPr>
        <w:jc w:val="both"/>
        <w:spacing w:after="0" w:line="279" w:lineRule="auto"/>
        <w:rPr>
          <w:sz w:val="20"/>
          <w:szCs w:val="20"/>
          <w:color w:val="auto"/>
        </w:rPr>
      </w:pPr>
      <w:r>
        <w:rPr>
          <w:rFonts w:ascii="Arial" w:cs="Arial" w:eastAsia="Arial" w:hAnsi="Arial"/>
          <w:sz w:val="16"/>
          <w:szCs w:val="16"/>
          <w:color w:val="auto"/>
        </w:rPr>
        <w:t>associated with the preparation or dissemination of any electronic roadshow, expenses associated with the production of roadshow slides and graphics, fees and expenses of any consultants engaged in connection with the roadshow presentations with the prior approval of the Company, travel and lodging expenses of the representatives and officers of the Company and any such consultants, and 50% of the cost of any aircraft chartered in connection with the roadshow, and (x) all other costs and expenses incident to the performance of its obligations hereunder which are not otherwise specifically provided for in this Section; and (b) the Selling Stockholder will pay or cause to be paid all costs and expenses for its own internal administrative, its own legal costs and similar costs incident to the performance of the Selling Stockholder’s obligations hereunder which are not otherwise specifically provided for in this Section. It is understood, however, that, the Company shall bear, and the Selling Stockholder shall not be required to pay or to reimburse the Company for, the cost of any other matters not directly relating to the sale and purchase of the Shares pursuant to this Agreement, and except as provided in this Section, and Sections 10 and 13 hereof, the Underwriters will pay all of their own costs and expenses, including the fees of their counsel, stock transfer taxes payable on resale of any of the Shares by them, and any advertising expenses connected with any offers they may make.</w:t>
      </w:r>
    </w:p>
    <w:p>
      <w:pPr>
        <w:spacing w:after="0" w:line="174" w:lineRule="exact"/>
        <w:rPr>
          <w:sz w:val="20"/>
          <w:szCs w:val="20"/>
          <w:color w:val="auto"/>
        </w:rPr>
      </w:pPr>
    </w:p>
    <w:p>
      <w:pPr>
        <w:jc w:val="both"/>
        <w:ind w:firstLine="631"/>
        <w:spacing w:after="0" w:line="290" w:lineRule="auto"/>
        <w:rPr>
          <w:sz w:val="20"/>
          <w:szCs w:val="20"/>
          <w:color w:val="auto"/>
        </w:rPr>
      </w:pPr>
      <w:r>
        <w:rPr>
          <w:rFonts w:ascii="Arial" w:cs="Arial" w:eastAsia="Arial" w:hAnsi="Arial"/>
          <w:sz w:val="16"/>
          <w:szCs w:val="16"/>
          <w:color w:val="010000"/>
        </w:rPr>
        <w:t>9.            </w:t>
      </w:r>
      <w:r>
        <w:rPr>
          <w:rFonts w:ascii="Arial" w:cs="Arial" w:eastAsia="Arial" w:hAnsi="Arial"/>
          <w:sz w:val="16"/>
          <w:szCs w:val="16"/>
          <w:color w:val="000000"/>
        </w:rPr>
        <w:t>The obligations of the Underwriters hereunder, as to the Shares to be delivered at each Time of Delivery, shall be subject, in their discretion, to</w:t>
      </w:r>
      <w:r>
        <w:rPr>
          <w:rFonts w:ascii="Arial" w:cs="Arial" w:eastAsia="Arial" w:hAnsi="Arial"/>
          <w:sz w:val="16"/>
          <w:szCs w:val="16"/>
          <w:color w:val="010000"/>
        </w:rPr>
        <w:t xml:space="preserve"> </w:t>
      </w:r>
      <w:r>
        <w:rPr>
          <w:rFonts w:ascii="Arial" w:cs="Arial" w:eastAsia="Arial" w:hAnsi="Arial"/>
          <w:sz w:val="16"/>
          <w:szCs w:val="16"/>
          <w:color w:val="000000"/>
        </w:rPr>
        <w:t>the condition that all representations and warranties and other statements of the Company and the Selling Stockholder herein are, at and as of the Applicable Time and such Time of Delivery, true and correct, the condition that the Company and the Selling Stockholder shall have performed all of its and their obligations hereunder theretofore to be performed, and the following additional conditions: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010000"/>
        </w:rPr>
        <w:t>(a)            </w:t>
      </w:r>
      <w:r>
        <w:rPr>
          <w:rFonts w:ascii="Arial" w:cs="Arial" w:eastAsia="Arial" w:hAnsi="Arial"/>
          <w:sz w:val="18"/>
          <w:szCs w:val="18"/>
          <w:color w:val="000000"/>
        </w:rPr>
        <w:t>The Prospectus shall have been filed with the Commission pursuant to Rule 424(b) under the Act within the applicable time period</w:t>
      </w:r>
    </w:p>
    <w:p>
      <w:pPr>
        <w:spacing w:after="0" w:line="15" w:lineRule="exact"/>
        <w:rPr>
          <w:sz w:val="20"/>
          <w:szCs w:val="20"/>
          <w:color w:val="auto"/>
        </w:rPr>
      </w:pPr>
    </w:p>
    <w:p>
      <w:pPr>
        <w:jc w:val="both"/>
        <w:ind w:left="640"/>
        <w:spacing w:after="0" w:line="261" w:lineRule="auto"/>
        <w:rPr>
          <w:sz w:val="20"/>
          <w:szCs w:val="20"/>
          <w:color w:val="auto"/>
        </w:rPr>
      </w:pPr>
      <w:r>
        <w:rPr>
          <w:rFonts w:ascii="Arial" w:cs="Arial" w:eastAsia="Arial" w:hAnsi="Arial"/>
          <w:sz w:val="17"/>
          <w:szCs w:val="17"/>
          <w:color w:val="auto"/>
        </w:rPr>
        <w:t xml:space="preserve">prescribed for such filing by the rules and regulations under the Act and in accordance with Section </w:t>
      </w:r>
      <w:r>
        <w:rPr>
          <w:rFonts w:ascii="Arial" w:cs="Arial" w:eastAsia="Arial" w:hAnsi="Arial"/>
          <w:sz w:val="23"/>
          <w:szCs w:val="23"/>
          <w:b w:val="1"/>
          <w:bCs w:val="1"/>
          <w:i w:val="1"/>
          <w:iCs w:val="1"/>
          <w:color w:val="auto"/>
        </w:rPr>
        <w:t>‎</w:t>
      </w:r>
      <w:r>
        <w:rPr>
          <w:rFonts w:ascii="Arial" w:cs="Arial" w:eastAsia="Arial" w:hAnsi="Arial"/>
          <w:sz w:val="17"/>
          <w:szCs w:val="17"/>
          <w:color w:val="auto"/>
        </w:rPr>
        <w:t>6(a)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84" w:lineRule="exact"/>
        <w:rPr>
          <w:sz w:val="20"/>
          <w:szCs w:val="20"/>
          <w:color w:val="auto"/>
        </w:rPr>
      </w:pPr>
    </w:p>
    <w:p>
      <w:pPr>
        <w:jc w:val="both"/>
        <w:ind w:left="640" w:firstLine="631"/>
        <w:spacing w:after="0" w:line="252"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Sullivan &amp; Cromwell LLP, counsel for the Underwriters, shall have furnished to you such written opinion or opinions, dated such</w:t>
      </w:r>
      <w:r>
        <w:rPr>
          <w:rFonts w:ascii="Arial" w:cs="Arial" w:eastAsia="Arial" w:hAnsi="Arial"/>
          <w:sz w:val="18"/>
          <w:szCs w:val="18"/>
          <w:color w:val="010000"/>
        </w:rPr>
        <w:t xml:space="preserve"> </w:t>
      </w:r>
      <w:r>
        <w:rPr>
          <w:rFonts w:ascii="Arial" w:cs="Arial" w:eastAsia="Arial" w:hAnsi="Arial"/>
          <w:sz w:val="18"/>
          <w:szCs w:val="18"/>
          <w:color w:val="000000"/>
        </w:rPr>
        <w:t>Time of Delivery, in form and substance satisfactory to the Representatives, with respect to such matters as the Representatives may reasonably request, and such counsel shall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9" w:name="page70"/>
    <w:bookmarkEnd w:id="69"/>
    <w:p>
      <w:pPr>
        <w:ind w:left="4"/>
        <w:spacing w:after="0"/>
        <w:rPr>
          <w:sz w:val="20"/>
          <w:szCs w:val="20"/>
          <w:color w:val="auto"/>
        </w:rPr>
      </w:pPr>
      <w:r>
        <w:rPr>
          <w:rFonts w:ascii="Arial" w:cs="Arial" w:eastAsia="Arial" w:hAnsi="Arial"/>
          <w:sz w:val="18"/>
          <w:szCs w:val="18"/>
          <w:color w:val="auto"/>
        </w:rPr>
        <w:t>have received such papers and information as they may reasonably request to enable them to pass upon such matters;</w:t>
      </w:r>
    </w:p>
    <w:p>
      <w:pPr>
        <w:spacing w:after="0" w:line="214" w:lineRule="exact"/>
        <w:rPr>
          <w:sz w:val="20"/>
          <w:szCs w:val="20"/>
          <w:color w:val="auto"/>
        </w:rPr>
      </w:pPr>
    </w:p>
    <w:p>
      <w:pPr>
        <w:jc w:val="both"/>
        <w:ind w:left="4" w:firstLine="631"/>
        <w:spacing w:after="0" w:line="261" w:lineRule="auto"/>
        <w:rPr>
          <w:sz w:val="20"/>
          <w:szCs w:val="20"/>
          <w:color w:val="auto"/>
        </w:rPr>
      </w:pPr>
      <w:r>
        <w:rPr>
          <w:rFonts w:ascii="Arial" w:cs="Arial" w:eastAsia="Arial" w:hAnsi="Arial"/>
          <w:sz w:val="18"/>
          <w:szCs w:val="18"/>
          <w:color w:val="010000"/>
        </w:rPr>
        <w:t>(c)            </w:t>
      </w:r>
      <w:r>
        <w:rPr>
          <w:rFonts w:ascii="Arial" w:cs="Arial" w:eastAsia="Arial" w:hAnsi="Arial"/>
          <w:sz w:val="18"/>
          <w:szCs w:val="18"/>
          <w:color w:val="000000"/>
        </w:rPr>
        <w:t>Skadden, Arps, Slate, Meagher &amp; Flom LLP, counsel for the Selling Stockholder, shall have furnished to you their written opinion or</w:t>
      </w:r>
      <w:r>
        <w:rPr>
          <w:rFonts w:ascii="Arial" w:cs="Arial" w:eastAsia="Arial" w:hAnsi="Arial"/>
          <w:sz w:val="18"/>
          <w:szCs w:val="18"/>
          <w:color w:val="010000"/>
        </w:rPr>
        <w:t xml:space="preserve"> </w:t>
      </w:r>
      <w:r>
        <w:rPr>
          <w:rFonts w:ascii="Arial" w:cs="Arial" w:eastAsia="Arial" w:hAnsi="Arial"/>
          <w:sz w:val="18"/>
          <w:szCs w:val="18"/>
          <w:color w:val="000000"/>
        </w:rPr>
        <w:t>opinions, dated such Time of Delivery, in form and substance satisfactory to the Representatives;</w:t>
      </w:r>
    </w:p>
    <w:p>
      <w:pPr>
        <w:spacing w:after="0" w:line="181" w:lineRule="exact"/>
        <w:rPr>
          <w:sz w:val="20"/>
          <w:szCs w:val="20"/>
          <w:color w:val="auto"/>
        </w:rPr>
      </w:pPr>
    </w:p>
    <w:p>
      <w:pPr>
        <w:jc w:val="both"/>
        <w:ind w:left="4" w:firstLine="631"/>
        <w:spacing w:after="0" w:line="261" w:lineRule="auto"/>
        <w:rPr>
          <w:sz w:val="20"/>
          <w:szCs w:val="20"/>
          <w:color w:val="auto"/>
        </w:rPr>
      </w:pPr>
      <w:r>
        <w:rPr>
          <w:rFonts w:ascii="Arial" w:cs="Arial" w:eastAsia="Arial" w:hAnsi="Arial"/>
          <w:sz w:val="18"/>
          <w:szCs w:val="18"/>
          <w:color w:val="010000"/>
        </w:rPr>
        <w:t>(d)            </w:t>
      </w:r>
      <w:r>
        <w:rPr>
          <w:rFonts w:ascii="Arial" w:cs="Arial" w:eastAsia="Arial" w:hAnsi="Arial"/>
          <w:sz w:val="18"/>
          <w:szCs w:val="18"/>
          <w:color w:val="000000"/>
        </w:rPr>
        <w:t>Davis Polk &amp; Wardwell LLP, counsel for the Company, shall have furnished to you their written opinion or opinions, dated such</w:t>
      </w:r>
      <w:r>
        <w:rPr>
          <w:rFonts w:ascii="Arial" w:cs="Arial" w:eastAsia="Arial" w:hAnsi="Arial"/>
          <w:sz w:val="18"/>
          <w:szCs w:val="18"/>
          <w:color w:val="010000"/>
        </w:rPr>
        <w:t xml:space="preserve"> </w:t>
      </w:r>
      <w:r>
        <w:rPr>
          <w:rFonts w:ascii="Arial" w:cs="Arial" w:eastAsia="Arial" w:hAnsi="Arial"/>
          <w:sz w:val="18"/>
          <w:szCs w:val="18"/>
          <w:color w:val="000000"/>
        </w:rPr>
        <w:t>Time of Delivery, in form and substance satisfactory to the Representatives;</w:t>
      </w:r>
    </w:p>
    <w:p>
      <w:pPr>
        <w:spacing w:after="0" w:line="181" w:lineRule="exact"/>
        <w:rPr>
          <w:sz w:val="20"/>
          <w:szCs w:val="20"/>
          <w:color w:val="auto"/>
        </w:rPr>
      </w:pPr>
    </w:p>
    <w:p>
      <w:pPr>
        <w:ind w:left="624"/>
        <w:spacing w:after="0"/>
        <w:rPr>
          <w:sz w:val="20"/>
          <w:szCs w:val="20"/>
          <w:color w:val="auto"/>
        </w:rPr>
      </w:pPr>
      <w:r>
        <w:rPr>
          <w:rFonts w:ascii="Arial" w:cs="Arial" w:eastAsia="Arial" w:hAnsi="Arial"/>
          <w:sz w:val="18"/>
          <w:szCs w:val="18"/>
          <w:color w:val="010000"/>
        </w:rPr>
        <w:t>(e)            </w:t>
      </w:r>
      <w:r>
        <w:rPr>
          <w:rFonts w:ascii="Arial" w:cs="Arial" w:eastAsia="Arial" w:hAnsi="Arial"/>
          <w:sz w:val="18"/>
          <w:szCs w:val="18"/>
          <w:color w:val="000000"/>
        </w:rPr>
        <w:t>[Reserved];</w:t>
      </w:r>
    </w:p>
    <w:p>
      <w:pPr>
        <w:spacing w:after="0" w:line="214" w:lineRule="exact"/>
        <w:rPr>
          <w:sz w:val="20"/>
          <w:szCs w:val="20"/>
          <w:color w:val="auto"/>
        </w:rPr>
      </w:pPr>
    </w:p>
    <w:p>
      <w:pPr>
        <w:jc w:val="both"/>
        <w:ind w:left="4" w:firstLine="631"/>
        <w:spacing w:after="0" w:line="249" w:lineRule="auto"/>
        <w:rPr>
          <w:sz w:val="20"/>
          <w:szCs w:val="20"/>
          <w:color w:val="auto"/>
        </w:rPr>
      </w:pPr>
      <w:r>
        <w:rPr>
          <w:rFonts w:ascii="Arial" w:cs="Arial" w:eastAsia="Arial" w:hAnsi="Arial"/>
          <w:sz w:val="18"/>
          <w:szCs w:val="18"/>
          <w:color w:val="010000"/>
        </w:rPr>
        <w:t>(f)            </w:t>
      </w:r>
      <w:r>
        <w:rPr>
          <w:rFonts w:ascii="Arial" w:cs="Arial" w:eastAsia="Arial" w:hAnsi="Arial"/>
          <w:sz w:val="18"/>
          <w:szCs w:val="18"/>
          <w:color w:val="000000"/>
        </w:rPr>
        <w:t>On the date of the Prospectus at a time prior to the execution of this Agreement, at 9:30 a.m., New York City time, on the effective</w:t>
      </w:r>
      <w:r>
        <w:rPr>
          <w:rFonts w:ascii="Arial" w:cs="Arial" w:eastAsia="Arial" w:hAnsi="Arial"/>
          <w:sz w:val="18"/>
          <w:szCs w:val="18"/>
          <w:color w:val="010000"/>
        </w:rPr>
        <w:t xml:space="preserve"> </w:t>
      </w:r>
      <w:r>
        <w:rPr>
          <w:rFonts w:ascii="Arial" w:cs="Arial" w:eastAsia="Arial" w:hAnsi="Arial"/>
          <w:sz w:val="18"/>
          <w:szCs w:val="18"/>
          <w:color w:val="000000"/>
        </w:rPr>
        <w:t>date of any post-effective amendment to the Registration Statement filed subsequent to the date of this Agreement and also at each Time of Delivery, PricewaterhouseCoopers LLP shall have furnished to you a letter or letters, dated the respective dates of delivery thereof, in form and substance satisfactory to you;</w:t>
      </w:r>
    </w:p>
    <w:p>
      <w:pPr>
        <w:spacing w:after="0" w:line="192" w:lineRule="exact"/>
        <w:rPr>
          <w:sz w:val="20"/>
          <w:szCs w:val="20"/>
          <w:color w:val="auto"/>
        </w:rPr>
      </w:pPr>
    </w:p>
    <w:p>
      <w:pPr>
        <w:jc w:val="both"/>
        <w:ind w:left="4" w:firstLine="631"/>
        <w:spacing w:after="0" w:line="294" w:lineRule="auto"/>
        <w:rPr>
          <w:sz w:val="20"/>
          <w:szCs w:val="20"/>
          <w:color w:val="auto"/>
        </w:rPr>
      </w:pPr>
      <w:r>
        <w:rPr>
          <w:rFonts w:ascii="Arial" w:cs="Arial" w:eastAsia="Arial" w:hAnsi="Arial"/>
          <w:sz w:val="15"/>
          <w:szCs w:val="15"/>
          <w:color w:val="010000"/>
        </w:rPr>
        <w:t>(g)            </w:t>
      </w:r>
      <w:r>
        <w:rPr>
          <w:rFonts w:ascii="Arial" w:cs="Arial" w:eastAsia="Arial" w:hAnsi="Arial"/>
          <w:sz w:val="15"/>
          <w:szCs w:val="15"/>
          <w:color w:val="000000"/>
        </w:rPr>
        <w:t>(i) Neither the Company nor any of its subsidiaries shall have sustained since the date of the latest audited financial statements</w:t>
      </w:r>
      <w:r>
        <w:rPr>
          <w:rFonts w:ascii="Arial" w:cs="Arial" w:eastAsia="Arial" w:hAnsi="Arial"/>
          <w:sz w:val="15"/>
          <w:szCs w:val="15"/>
          <w:color w:val="010000"/>
        </w:rPr>
        <w:t xml:space="preserve"> </w:t>
      </w:r>
      <w:r>
        <w:rPr>
          <w:rFonts w:ascii="Arial" w:cs="Arial" w:eastAsia="Arial" w:hAnsi="Arial"/>
          <w:sz w:val="15"/>
          <w:szCs w:val="15"/>
          <w:color w:val="000000"/>
        </w:rPr>
        <w:t>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the grant of stock options and restricted stock units or other equity incentives or the award of stock options, restricted stock units or other equity incentives in the ordinary course of business, in each case pursuant to the Company’s equity plans disclosed in the Registration Statement, the Pricing Prospectus and the Prospectus) or long-term debt of the Company or any of its subsidiaries or any change or effect, or any development involving a prospective change or effect, in or affecting (x) the business, properties, general affairs, management, consolidated financial position, stockholders’ equity or results of operations of the Company and its subsidiaries, taken as a whole, except as set forth or contemplated in the Pricing Prospectus, or (y) the ability of the Company to perform its obligations under this Agreement, or to consummate the transactions contemplated in the Pricing Prospectus and the Prospectus, the effect of which, in any such case described in clause</w:t>
      </w:r>
    </w:p>
    <w:p>
      <w:pPr>
        <w:spacing w:after="0" w:line="1" w:lineRule="exact"/>
        <w:rPr>
          <w:sz w:val="20"/>
          <w:szCs w:val="20"/>
          <w:color w:val="auto"/>
        </w:rPr>
      </w:pPr>
    </w:p>
    <w:p>
      <w:pPr>
        <w:jc w:val="both"/>
        <w:ind w:left="4" w:hanging="4"/>
        <w:spacing w:after="0" w:line="245" w:lineRule="auto"/>
        <w:tabs>
          <w:tab w:leader="none" w:pos="2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or (ii), is in the judgment of the Representatives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95" w:lineRule="exact"/>
        <w:rPr>
          <w:sz w:val="20"/>
          <w:szCs w:val="20"/>
          <w:color w:val="auto"/>
        </w:rPr>
      </w:pPr>
    </w:p>
    <w:p>
      <w:pPr>
        <w:ind w:left="4" w:firstLine="631"/>
        <w:spacing w:after="0" w:line="261" w:lineRule="auto"/>
        <w:rPr>
          <w:sz w:val="20"/>
          <w:szCs w:val="20"/>
          <w:color w:val="auto"/>
        </w:rPr>
      </w:pPr>
      <w:r>
        <w:rPr>
          <w:rFonts w:ascii="Arial" w:cs="Arial" w:eastAsia="Arial" w:hAnsi="Arial"/>
          <w:sz w:val="18"/>
          <w:szCs w:val="18"/>
          <w:color w:val="010000"/>
        </w:rPr>
        <w:t>(h)            </w:t>
      </w:r>
      <w:r>
        <w:rPr>
          <w:rFonts w:ascii="Arial" w:cs="Arial" w:eastAsia="Arial" w:hAnsi="Arial"/>
          <w:sz w:val="18"/>
          <w:szCs w:val="18"/>
          <w:color w:val="000000"/>
        </w:rPr>
        <w:t>On or after the Applicable Time there shall not have occurred any of the following: (i) a suspension or material limitation in trading</w:t>
      </w:r>
      <w:r>
        <w:rPr>
          <w:rFonts w:ascii="Arial" w:cs="Arial" w:eastAsia="Arial" w:hAnsi="Arial"/>
          <w:sz w:val="18"/>
          <w:szCs w:val="18"/>
          <w:color w:val="010000"/>
        </w:rPr>
        <w:t xml:space="preserve"> </w:t>
      </w:r>
      <w:r>
        <w:rPr>
          <w:rFonts w:ascii="Arial" w:cs="Arial" w:eastAsia="Arial" w:hAnsi="Arial"/>
          <w:sz w:val="18"/>
          <w:szCs w:val="18"/>
          <w:color w:val="000000"/>
        </w:rPr>
        <w:t>in securities generally</w:t>
      </w:r>
    </w:p>
    <w:p>
      <w:pPr>
        <w:spacing w:after="0" w:line="391"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10160</wp:posOffset>
            </wp:positionV>
            <wp:extent cx="71361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4"/>
          </w:cols>
          <w:pgMar w:left="956" w:top="890" w:right="339" w:bottom="1440" w:gutter="0" w:footer="0" w:header="0"/>
        </w:sectPr>
      </w:pPr>
    </w:p>
    <w:bookmarkStart w:id="70" w:name="page71"/>
    <w:bookmarkEnd w:id="70"/>
    <w:p>
      <w:pPr>
        <w:jc w:val="both"/>
        <w:ind w:left="640"/>
        <w:spacing w:after="0" w:line="281" w:lineRule="auto"/>
        <w:rPr>
          <w:sz w:val="20"/>
          <w:szCs w:val="20"/>
          <w:color w:val="auto"/>
        </w:rPr>
      </w:pPr>
      <w:r>
        <w:rPr>
          <w:rFonts w:ascii="Arial" w:cs="Arial" w:eastAsia="Arial" w:hAnsi="Arial"/>
          <w:sz w:val="16"/>
          <w:szCs w:val="16"/>
          <w:color w:val="auto"/>
        </w:rPr>
        <w:t>on the New York Stock Exchange, NASDAQ, the NYSE American, the Chicago Board of Options Exchange, the Chicago Mercantile Exchange or the Chicago Board of Trade; (ii) a suspension or material limitation in trading in the Company’s securities on any exchange or in any over-the-counter market;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judgment of the Representatives makes it impracticable or inadvisable to proceed with the public offering or the delivery of the Shares being delivered at such Time of Delivery on the terms and in the manner contemplated in the Pricing Prospectus and the Prospectus;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color w:val="010000"/>
        </w:rPr>
        <w:t>(i)            </w:t>
      </w:r>
      <w:r>
        <w:rPr>
          <w:rFonts w:ascii="Arial" w:cs="Arial" w:eastAsia="Arial" w:hAnsi="Arial"/>
          <w:sz w:val="18"/>
          <w:szCs w:val="18"/>
          <w:color w:val="000000"/>
        </w:rPr>
        <w:t>The Shares to be sold at such Time of Delivery shall have been duly listed for quotation on NASDAQ;</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color w:val="010000"/>
        </w:rPr>
        <w:t>(j)            </w:t>
      </w:r>
      <w:r>
        <w:rPr>
          <w:rFonts w:ascii="Arial" w:cs="Arial" w:eastAsia="Arial" w:hAnsi="Arial"/>
          <w:sz w:val="18"/>
          <w:szCs w:val="18"/>
          <w:color w:val="000000"/>
        </w:rPr>
        <w:t>[Reserved];</w:t>
      </w:r>
    </w:p>
    <w:p>
      <w:pPr>
        <w:spacing w:after="0" w:line="209" w:lineRule="exact"/>
        <w:rPr>
          <w:sz w:val="20"/>
          <w:szCs w:val="20"/>
          <w:color w:val="auto"/>
        </w:rPr>
      </w:pPr>
    </w:p>
    <w:p>
      <w:pPr>
        <w:jc w:val="both"/>
        <w:ind w:left="640" w:firstLine="631"/>
        <w:spacing w:after="0" w:line="278" w:lineRule="auto"/>
        <w:rPr>
          <w:sz w:val="20"/>
          <w:szCs w:val="20"/>
          <w:color w:val="auto"/>
        </w:rPr>
      </w:pPr>
      <w:r>
        <w:rPr>
          <w:rFonts w:ascii="Arial" w:cs="Arial" w:eastAsia="Arial" w:hAnsi="Arial"/>
          <w:sz w:val="18"/>
          <w:szCs w:val="18"/>
          <w:color w:val="010000"/>
        </w:rPr>
        <w:t>(k)            </w:t>
      </w:r>
      <w:r>
        <w:rPr>
          <w:rFonts w:ascii="Arial" w:cs="Arial" w:eastAsia="Arial" w:hAnsi="Arial"/>
          <w:sz w:val="18"/>
          <w:szCs w:val="18"/>
          <w:color w:val="000000"/>
        </w:rPr>
        <w:t>The Company shall have complied with the provisions of Section</w:t>
      </w:r>
      <w:r>
        <w:rPr>
          <w:rFonts w:ascii="Arial" w:cs="Arial" w:eastAsia="Arial" w:hAnsi="Arial"/>
          <w:sz w:val="18"/>
          <w:szCs w:val="18"/>
          <w:color w:val="010000"/>
        </w:rPr>
        <w:t xml:space="preserve"> </w:t>
      </w:r>
      <w:r>
        <w:rPr>
          <w:rFonts w:ascii="Arial" w:cs="Arial" w:eastAsia="Arial" w:hAnsi="Arial"/>
          <w:sz w:val="24"/>
          <w:szCs w:val="24"/>
          <w:b w:val="1"/>
          <w:bCs w:val="1"/>
          <w:i w:val="1"/>
          <w:iCs w:val="1"/>
          <w:color w:val="000000"/>
        </w:rPr>
        <w:t>‎</w:t>
      </w:r>
      <w:r>
        <w:rPr>
          <w:rFonts w:ascii="Arial" w:cs="Arial" w:eastAsia="Arial" w:hAnsi="Arial"/>
          <w:sz w:val="18"/>
          <w:szCs w:val="18"/>
          <w:color w:val="000000"/>
        </w:rPr>
        <w:t>6(c) hereof with respect to the furnishing of prospectuses on the</w:t>
      </w:r>
      <w:r>
        <w:rPr>
          <w:rFonts w:ascii="Arial" w:cs="Arial" w:eastAsia="Arial" w:hAnsi="Arial"/>
          <w:sz w:val="18"/>
          <w:szCs w:val="18"/>
          <w:color w:val="010000"/>
        </w:rPr>
        <w:t xml:space="preserve"> </w:t>
      </w:r>
      <w:r>
        <w:rPr>
          <w:rFonts w:ascii="Arial" w:cs="Arial" w:eastAsia="Arial" w:hAnsi="Arial"/>
          <w:sz w:val="18"/>
          <w:szCs w:val="18"/>
          <w:color w:val="000000"/>
        </w:rPr>
        <w:t>New York Business Day next succeeding the date of this Agreement; and</w:t>
      </w:r>
    </w:p>
    <w:p>
      <w:pPr>
        <w:spacing w:after="0" w:line="155" w:lineRule="exact"/>
        <w:rPr>
          <w:sz w:val="20"/>
          <w:szCs w:val="20"/>
          <w:color w:val="auto"/>
        </w:rPr>
      </w:pPr>
    </w:p>
    <w:p>
      <w:pPr>
        <w:jc w:val="both"/>
        <w:ind w:left="640" w:firstLine="631"/>
        <w:spacing w:after="0" w:line="296" w:lineRule="auto"/>
        <w:rPr>
          <w:sz w:val="20"/>
          <w:szCs w:val="20"/>
          <w:color w:val="auto"/>
        </w:rPr>
      </w:pPr>
      <w:r>
        <w:rPr>
          <w:rFonts w:ascii="Arial" w:cs="Arial" w:eastAsia="Arial" w:hAnsi="Arial"/>
          <w:sz w:val="15"/>
          <w:szCs w:val="15"/>
          <w:color w:val="010000"/>
        </w:rPr>
        <w:t>(l)            </w:t>
      </w:r>
      <w:r>
        <w:rPr>
          <w:rFonts w:ascii="Arial" w:cs="Arial" w:eastAsia="Arial" w:hAnsi="Arial"/>
          <w:sz w:val="15"/>
          <w:szCs w:val="15"/>
          <w:color w:val="000000"/>
        </w:rPr>
        <w:t>The Company and the Selling Stockholder shall have furnished or caused to be furnished to you at such Time of Delivery certificates</w:t>
      </w:r>
      <w:r>
        <w:rPr>
          <w:rFonts w:ascii="Arial" w:cs="Arial" w:eastAsia="Arial" w:hAnsi="Arial"/>
          <w:sz w:val="15"/>
          <w:szCs w:val="15"/>
          <w:color w:val="010000"/>
        </w:rPr>
        <w:t xml:space="preserve"> </w:t>
      </w:r>
      <w:r>
        <w:rPr>
          <w:rFonts w:ascii="Arial" w:cs="Arial" w:eastAsia="Arial" w:hAnsi="Arial"/>
          <w:sz w:val="15"/>
          <w:szCs w:val="15"/>
          <w:color w:val="000000"/>
        </w:rPr>
        <w:t>of officers of the Company and of the Selling Stockholder, respectively, satisfactory to you as to the accuracy of the representations and warranties of the Company and of the Selling Stockholder, respectively, herein at and as of such Time of Delivery, as to the performance by the Company and of the Selling Stockholder, respectively, of all of their respective obligations hereunder to be performed at or prior to such Time of Delivery, as to the matters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set forth in subsections </w:t>
      </w:r>
      <w:r>
        <w:rPr>
          <w:rFonts w:ascii="Arial" w:cs="Arial" w:eastAsia="Arial" w:hAnsi="Arial"/>
          <w:sz w:val="24"/>
          <w:szCs w:val="24"/>
          <w:b w:val="1"/>
          <w:bCs w:val="1"/>
          <w:i w:val="1"/>
          <w:iCs w:val="1"/>
          <w:color w:val="auto"/>
        </w:rPr>
        <w:t>‎</w:t>
      </w:r>
      <w:r>
        <w:rPr>
          <w:rFonts w:ascii="Arial" w:cs="Arial" w:eastAsia="Arial" w:hAnsi="Arial"/>
          <w:sz w:val="18"/>
          <w:szCs w:val="18"/>
          <w:color w:val="auto"/>
        </w:rPr>
        <w:t xml:space="preserve">(a) and </w:t>
      </w:r>
      <w:r>
        <w:rPr>
          <w:rFonts w:ascii="Arial" w:cs="Arial" w:eastAsia="Arial" w:hAnsi="Arial"/>
          <w:sz w:val="24"/>
          <w:szCs w:val="24"/>
          <w:b w:val="1"/>
          <w:bCs w:val="1"/>
          <w:i w:val="1"/>
          <w:iCs w:val="1"/>
          <w:color w:val="auto"/>
        </w:rPr>
        <w:t>‎</w:t>
      </w:r>
      <w:r>
        <w:rPr>
          <w:rFonts w:ascii="Arial" w:cs="Arial" w:eastAsia="Arial" w:hAnsi="Arial"/>
          <w:sz w:val="18"/>
          <w:szCs w:val="18"/>
          <w:color w:val="auto"/>
        </w:rPr>
        <w:t>(g) of this Section and as to such other matters as you may reasonably request.</w:t>
      </w:r>
    </w:p>
    <w:p>
      <w:pPr>
        <w:spacing w:after="0" w:line="212" w:lineRule="exact"/>
        <w:rPr>
          <w:sz w:val="20"/>
          <w:szCs w:val="20"/>
          <w:color w:val="auto"/>
        </w:rPr>
      </w:pPr>
    </w:p>
    <w:p>
      <w:pPr>
        <w:jc w:val="both"/>
        <w:ind w:firstLine="631"/>
        <w:spacing w:after="0" w:line="246" w:lineRule="auto"/>
        <w:rPr>
          <w:sz w:val="20"/>
          <w:szCs w:val="20"/>
          <w:color w:val="auto"/>
        </w:rPr>
      </w:pPr>
      <w:r>
        <w:rPr>
          <w:rFonts w:ascii="Arial" w:cs="Arial" w:eastAsia="Arial" w:hAnsi="Arial"/>
          <w:sz w:val="18"/>
          <w:szCs w:val="18"/>
          <w:color w:val="010000"/>
        </w:rPr>
        <w:t>10.            </w:t>
      </w:r>
      <w:r>
        <w:rPr>
          <w:rFonts w:ascii="Arial" w:cs="Arial" w:eastAsia="Arial" w:hAnsi="Arial"/>
          <w:sz w:val="18"/>
          <w:szCs w:val="18"/>
          <w:color w:val="000000"/>
        </w:rPr>
        <w:t>(a) The Company will indemnify and hold harmless each Underwriter against any losses, claims, damages or liabilities, joint or several, to</w:t>
      </w:r>
      <w:r>
        <w:rPr>
          <w:rFonts w:ascii="Arial" w:cs="Arial" w:eastAsia="Arial" w:hAnsi="Arial"/>
          <w:sz w:val="18"/>
          <w:szCs w:val="18"/>
          <w:color w:val="010000"/>
        </w:rPr>
        <w:t xml:space="preserve"> </w:t>
      </w:r>
      <w:r>
        <w:rPr>
          <w:rFonts w:ascii="Arial" w:cs="Arial" w:eastAsia="Arial" w:hAnsi="Arial"/>
          <w:sz w:val="18"/>
          <w:szCs w:val="18"/>
          <w:color w:val="000000"/>
        </w:rPr>
        <w:t>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1" w:name="page72"/>
    <w:bookmarkEnd w:id="71"/>
    <w:p>
      <w:pPr>
        <w:jc w:val="both"/>
        <w:spacing w:after="0" w:line="315" w:lineRule="auto"/>
        <w:rPr>
          <w:sz w:val="20"/>
          <w:szCs w:val="20"/>
          <w:color w:val="auto"/>
        </w:rPr>
      </w:pPr>
      <w:r>
        <w:rPr>
          <w:rFonts w:ascii="Arial" w:cs="Arial" w:eastAsia="Arial" w:hAnsi="Arial"/>
          <w:sz w:val="15"/>
          <w:szCs w:val="15"/>
          <w:color w:val="auto"/>
        </w:rPr>
        <w:t xml:space="preserve">investigating or defending any such action or claim as such expenses are incurred;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Testing-the-Waters Communication, in reliance upon and in conformity with the Underwriter Information.</w:t>
      </w:r>
    </w:p>
    <w:p>
      <w:pPr>
        <w:spacing w:after="0" w:line="146" w:lineRule="exact"/>
        <w:rPr>
          <w:sz w:val="20"/>
          <w:szCs w:val="20"/>
          <w:color w:val="auto"/>
        </w:rPr>
      </w:pPr>
    </w:p>
    <w:p>
      <w:pPr>
        <w:jc w:val="both"/>
        <w:ind w:left="640" w:firstLine="631"/>
        <w:spacing w:after="0" w:line="278" w:lineRule="auto"/>
        <w:rPr>
          <w:sz w:val="20"/>
          <w:szCs w:val="20"/>
          <w:color w:val="auto"/>
        </w:rPr>
      </w:pPr>
      <w:r>
        <w:rPr>
          <w:rFonts w:ascii="Arial" w:cs="Arial" w:eastAsia="Arial" w:hAnsi="Arial"/>
          <w:sz w:val="16"/>
          <w:szCs w:val="16"/>
          <w:color w:val="010000"/>
        </w:rPr>
        <w:t>(b)            </w:t>
      </w:r>
      <w:r>
        <w:rPr>
          <w:rFonts w:ascii="Arial" w:cs="Arial" w:eastAsia="Arial" w:hAnsi="Arial"/>
          <w:sz w:val="16"/>
          <w:szCs w:val="16"/>
          <w:color w:val="000000"/>
        </w:rPr>
        <w:t>The Selling Stockholder will indemnify and hold harmless each Underwriter against any losses, claims, damages or liabilities, joint</w:t>
      </w:r>
      <w:r>
        <w:rPr>
          <w:rFonts w:ascii="Arial" w:cs="Arial" w:eastAsia="Arial" w:hAnsi="Arial"/>
          <w:sz w:val="16"/>
          <w:szCs w:val="16"/>
          <w:color w:val="010000"/>
        </w:rPr>
        <w:t xml:space="preserve"> </w:t>
      </w:r>
      <w:r>
        <w:rPr>
          <w:rFonts w:ascii="Arial" w:cs="Arial" w:eastAsia="Arial" w:hAnsi="Arial"/>
          <w:sz w:val="16"/>
          <w:szCs w:val="16"/>
          <w:color w:val="000000"/>
        </w:rPr>
        <w:t xml:space="preserve">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Selling Stockholder Information;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6"/>
          <w:szCs w:val="16"/>
          <w:i w:val="1"/>
          <w:iCs w:val="1"/>
          <w:color w:val="000000"/>
        </w:rPr>
        <w:t>provided, however</w:t>
      </w:r>
      <w:r>
        <w:rPr>
          <w:rFonts w:ascii="Arial" w:cs="Arial" w:eastAsia="Arial" w:hAnsi="Arial"/>
          <w:sz w:val="16"/>
          <w:szCs w:val="16"/>
          <w:color w:val="000000"/>
        </w:rPr>
        <w:t>, that the Selling Stockholder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in reliance upon and in conformity with the Underwriter Information.</w:t>
      </w:r>
    </w:p>
    <w:p>
      <w:pPr>
        <w:spacing w:after="0" w:line="171" w:lineRule="exact"/>
        <w:rPr>
          <w:sz w:val="20"/>
          <w:szCs w:val="20"/>
          <w:color w:val="auto"/>
        </w:rPr>
      </w:pPr>
    </w:p>
    <w:p>
      <w:pPr>
        <w:jc w:val="both"/>
        <w:ind w:left="640" w:firstLine="631"/>
        <w:spacing w:after="0" w:line="282" w:lineRule="auto"/>
        <w:rPr>
          <w:sz w:val="20"/>
          <w:szCs w:val="20"/>
          <w:color w:val="auto"/>
        </w:rPr>
      </w:pPr>
      <w:r>
        <w:rPr>
          <w:rFonts w:ascii="Arial" w:cs="Arial" w:eastAsia="Arial" w:hAnsi="Arial"/>
          <w:sz w:val="16"/>
          <w:szCs w:val="16"/>
          <w:color w:val="010000"/>
        </w:rPr>
        <w:t>(c)            </w:t>
      </w:r>
      <w:r>
        <w:rPr>
          <w:rFonts w:ascii="Arial" w:cs="Arial" w:eastAsia="Arial" w:hAnsi="Arial"/>
          <w:sz w:val="16"/>
          <w:szCs w:val="16"/>
          <w:color w:val="000000"/>
        </w:rPr>
        <w:t>Each Underwriter, severally and not jointly, will indemnify and hold harmless the Company and the Selling Stockholder against any</w:t>
      </w:r>
      <w:r>
        <w:rPr>
          <w:rFonts w:ascii="Arial" w:cs="Arial" w:eastAsia="Arial" w:hAnsi="Arial"/>
          <w:sz w:val="16"/>
          <w:szCs w:val="16"/>
          <w:color w:val="010000"/>
        </w:rPr>
        <w:t xml:space="preserve"> </w:t>
      </w:r>
      <w:r>
        <w:rPr>
          <w:rFonts w:ascii="Arial" w:cs="Arial" w:eastAsia="Arial" w:hAnsi="Arial"/>
          <w:sz w:val="16"/>
          <w:szCs w:val="16"/>
          <w:color w:val="000000"/>
        </w:rPr>
        <w:t>losses, claims, damages or liabilities to which the Company or the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2" w:name="page73"/>
    <w:bookmarkEnd w:id="72"/>
    <w:p>
      <w:pPr>
        <w:jc w:val="both"/>
        <w:spacing w:after="0" w:line="279" w:lineRule="auto"/>
        <w:rPr>
          <w:sz w:val="20"/>
          <w:szCs w:val="20"/>
          <w:color w:val="auto"/>
        </w:rPr>
      </w:pPr>
      <w:r>
        <w:rPr>
          <w:rFonts w:ascii="Arial" w:cs="Arial" w:eastAsia="Arial" w:hAnsi="Arial"/>
          <w:sz w:val="16"/>
          <w:szCs w:val="16"/>
          <w:color w:val="auto"/>
        </w:rPr>
        <w:t>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and the Selling Stockholder for any legal or other expenses reasonably incurred by the Company or the Selling Stockholder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fifth paragraph under the caption “Underwriting,” and the information contained in the first, fifth, sixth and eighth sentences of the tenth paragraph, the first sentence of the eleventh paragraph, and the third and fourth sentences of the twelfth paragraph under the caption “Underwriting.”</w:t>
      </w:r>
    </w:p>
    <w:p>
      <w:pPr>
        <w:spacing w:after="0" w:line="174" w:lineRule="exact"/>
        <w:rPr>
          <w:sz w:val="20"/>
          <w:szCs w:val="20"/>
          <w:color w:val="auto"/>
        </w:rPr>
      </w:pPr>
    </w:p>
    <w:p>
      <w:pPr>
        <w:jc w:val="both"/>
        <w:ind w:firstLine="631"/>
        <w:spacing w:after="0" w:line="277" w:lineRule="auto"/>
        <w:rPr>
          <w:sz w:val="20"/>
          <w:szCs w:val="20"/>
          <w:color w:val="auto"/>
        </w:rPr>
      </w:pPr>
      <w:r>
        <w:rPr>
          <w:rFonts w:ascii="Arial" w:cs="Arial" w:eastAsia="Arial" w:hAnsi="Arial"/>
          <w:sz w:val="16"/>
          <w:szCs w:val="16"/>
          <w:color w:val="010000"/>
        </w:rPr>
        <w:t>(d)            </w:t>
      </w:r>
      <w:r>
        <w:rPr>
          <w:rFonts w:ascii="Arial" w:cs="Arial" w:eastAsia="Arial" w:hAnsi="Arial"/>
          <w:sz w:val="16"/>
          <w:szCs w:val="16"/>
          <w:color w:val="000000"/>
        </w:rPr>
        <w:t>In case any proceeding (including any governmental investigation) shall be instituted involving any person in respect of which</w:t>
      </w:r>
      <w:r>
        <w:rPr>
          <w:rFonts w:ascii="Arial" w:cs="Arial" w:eastAsia="Arial" w:hAnsi="Arial"/>
          <w:sz w:val="16"/>
          <w:szCs w:val="16"/>
          <w:color w:val="010000"/>
        </w:rPr>
        <w:t xml:space="preserve"> </w:t>
      </w:r>
      <w:r>
        <w:rPr>
          <w:rFonts w:ascii="Arial" w:cs="Arial" w:eastAsia="Arial" w:hAnsi="Arial"/>
          <w:sz w:val="16"/>
          <w:szCs w:val="16"/>
          <w:color w:val="000000"/>
        </w:rPr>
        <w:t xml:space="preserve">indemnity may be sought pursuant to subsection (a), (b) and (c) above (such person, the “indemnified party”), the indemnified party shall promptly notify the person against whom such indemnity may be sought (the “indemnifying party”) in writing of the commencement thereof;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the failure to notify the indemnifying party shall not relieve it from any liability that it may have under the preceding paragraphs of this Section 10 except to the extent that it has been materially prejudiced (through the forfeiture of substantive rights or defenses) by such failure; and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w:t>
      </w:r>
      <w:r>
        <w:rPr>
          <w:rFonts w:ascii="Arial" w:cs="Arial" w:eastAsia="Arial" w:hAnsi="Arial"/>
          <w:sz w:val="16"/>
          <w:szCs w:val="16"/>
          <w:i w:val="1"/>
          <w:iCs w:val="1"/>
          <w:color w:val="000000"/>
        </w:rPr>
        <w:t>further</w:t>
      </w:r>
      <w:r>
        <w:rPr>
          <w:rFonts w:ascii="Arial" w:cs="Arial" w:eastAsia="Arial" w:hAnsi="Arial"/>
          <w:sz w:val="16"/>
          <w:szCs w:val="16"/>
          <w:color w:val="000000"/>
        </w:rPr>
        <w:t>, that the failure to notify the indemnifying party shall not relieve it from any liability that it may have to an indemnified party otherwise than under the preceding paragraphs of this Section 10;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subsection (a), by</w:t>
      </w:r>
    </w:p>
    <w:p>
      <w:pPr>
        <w:spacing w:after="0" w:line="38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10160</wp:posOffset>
            </wp:positionV>
            <wp:extent cx="71361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0"/>
          </w:cols>
          <w:pgMar w:left="960" w:top="889" w:right="339" w:bottom="1440" w:gutter="0" w:footer="0" w:header="0"/>
        </w:sectPr>
      </w:pPr>
    </w:p>
    <w:bookmarkStart w:id="73" w:name="page74"/>
    <w:bookmarkEnd w:id="73"/>
    <w:p>
      <w:pPr>
        <w:jc w:val="both"/>
        <w:spacing w:after="0" w:line="280" w:lineRule="auto"/>
        <w:rPr>
          <w:sz w:val="20"/>
          <w:szCs w:val="20"/>
          <w:color w:val="auto"/>
        </w:rPr>
      </w:pPr>
      <w:r>
        <w:rPr>
          <w:rFonts w:ascii="Arial" w:cs="Arial" w:eastAsia="Arial" w:hAnsi="Arial"/>
          <w:sz w:val="16"/>
          <w:szCs w:val="16"/>
          <w:color w:val="auto"/>
        </w:rPr>
        <w:t>the Selling Stockholder, in the case of parties indemnified pursuant to subsection (b), and by the Company, in the case of parties indemnified pursuant to subsection (c).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or compromise of, or consent to the entry of any judgment with respect to, any pending or threatened action or claim in respect of which any indemnified party is or could have been a party and indemnity could have been sought hereunder (whether or not the indemnified party is an actual or potential party to such action or claim) unless such settlement, compromise or judgment (i) includes an unconditional release of such indemnified party from all liability on claims that are the subject matter of such proceeding and (ii) does not include a statement as to or an admission of fault, culpability or a failure to act, by or on behalf of any indemnified party.</w:t>
      </w:r>
    </w:p>
    <w:p>
      <w:pPr>
        <w:spacing w:after="0" w:line="171" w:lineRule="exact"/>
        <w:rPr>
          <w:sz w:val="20"/>
          <w:szCs w:val="20"/>
          <w:color w:val="auto"/>
        </w:rPr>
      </w:pPr>
    </w:p>
    <w:p>
      <w:pPr>
        <w:jc w:val="both"/>
        <w:ind w:firstLine="631"/>
        <w:spacing w:after="0" w:line="277" w:lineRule="auto"/>
        <w:rPr>
          <w:sz w:val="20"/>
          <w:szCs w:val="20"/>
          <w:color w:val="auto"/>
        </w:rPr>
      </w:pPr>
      <w:r>
        <w:rPr>
          <w:rFonts w:ascii="Arial" w:cs="Arial" w:eastAsia="Arial" w:hAnsi="Arial"/>
          <w:sz w:val="16"/>
          <w:szCs w:val="16"/>
          <w:color w:val="auto"/>
        </w:rPr>
        <w:t>(e)            If the indemnification provided for in this Section 10 is unavailable to or insufficient to hold harmless an indemnified party under subsection (a),‎ (b), or (c) above in respect of any losses, claims, damages or liabilities (or actions in respect thereof) referred to therein, then each indemnifying party under such paragraph, in lieu of indemnifying such indemnified party thereunder,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 on the one hand and the Underwriters on the other hand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and the Selling Stockholder on the one hand and of the Underwriters on the other hand in connection with the statements or omissions that resulted in such losses, claims, damages or liabilities (or actions in respect thereof), as well as any other relevant equitable considerations. The relative benefits received by the Company and the Selling Stockholder on the one hand and the Underwriters on the other hand shall be deemed to be in the same proportion as the total net proceeds from the offering (before deducting expenses) received by the Company and the Selling Stockholder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and the Selling Stockholder on the one hand or the Underwriters on the other hand in connection with the offering of the Shares and the parties’ relative intent, knowledge, access to information and opportunity to correct or prevent such statement or omission. The Company, the Selling Stockholder and the Underwriters agree that it would not be just and equitable if contribution pursuant to this subsection (e)‎ were determined by pro rata</w:t>
      </w:r>
    </w:p>
    <w:p>
      <w:pPr>
        <w:spacing w:after="0" w:line="200" w:lineRule="exact"/>
        <w:rPr>
          <w:sz w:val="20"/>
          <w:szCs w:val="20"/>
          <w:color w:val="auto"/>
        </w:rPr>
      </w:pPr>
    </w:p>
    <w:p>
      <w:pPr>
        <w:spacing w:after="0" w:line="21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10160</wp:posOffset>
            </wp:positionV>
            <wp:extent cx="71361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0"/>
          </w:cols>
          <w:pgMar w:left="960" w:top="890" w:right="339" w:bottom="1440" w:gutter="0" w:footer="0" w:header="0"/>
        </w:sectPr>
      </w:pPr>
    </w:p>
    <w:bookmarkStart w:id="74" w:name="page75"/>
    <w:bookmarkEnd w:id="74"/>
    <w:p>
      <w:pPr>
        <w:jc w:val="both"/>
        <w:ind w:left="640"/>
        <w:spacing w:after="0" w:line="279" w:lineRule="auto"/>
        <w:rPr>
          <w:sz w:val="20"/>
          <w:szCs w:val="20"/>
          <w:color w:val="auto"/>
        </w:rPr>
      </w:pPr>
      <w:r>
        <w:rPr>
          <w:rFonts w:ascii="Arial" w:cs="Arial" w:eastAsia="Arial" w:hAnsi="Arial"/>
          <w:sz w:val="16"/>
          <w:szCs w:val="16"/>
          <w:color w:val="auto"/>
        </w:rPr>
        <w:t>allocation (even if the Underwriters were treated as one entity for such purpose)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legal or other expenses reasonably incurred by such indemnified party in connection with investigating or defending any such action or claim. Notwithstanding the provisions of this subsection (e),‎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w:t>
      </w:r>
    </w:p>
    <w:p>
      <w:pPr>
        <w:spacing w:after="0" w:line="188" w:lineRule="exact"/>
        <w:rPr>
          <w:sz w:val="20"/>
          <w:szCs w:val="20"/>
          <w:color w:val="auto"/>
        </w:rPr>
      </w:pPr>
    </w:p>
    <w:p>
      <w:pPr>
        <w:jc w:val="both"/>
        <w:ind w:left="640" w:firstLine="631"/>
        <w:spacing w:after="0" w:line="284" w:lineRule="auto"/>
        <w:rPr>
          <w:sz w:val="20"/>
          <w:szCs w:val="20"/>
          <w:color w:val="auto"/>
        </w:rPr>
      </w:pPr>
      <w:r>
        <w:rPr>
          <w:rFonts w:ascii="Arial" w:cs="Arial" w:eastAsia="Arial" w:hAnsi="Arial"/>
          <w:sz w:val="16"/>
          <w:szCs w:val="16"/>
          <w:color w:val="010000"/>
        </w:rPr>
        <w:t>(f)            </w:t>
      </w:r>
      <w:r>
        <w:rPr>
          <w:rFonts w:ascii="Arial" w:cs="Arial" w:eastAsia="Arial" w:hAnsi="Arial"/>
          <w:sz w:val="16"/>
          <w:szCs w:val="16"/>
          <w:color w:val="000000"/>
        </w:rPr>
        <w:t>The obligations of the Company and the Selling Stockholder under this Section 10 shall be in addition to any liability which the</w:t>
      </w:r>
      <w:r>
        <w:rPr>
          <w:rFonts w:ascii="Arial" w:cs="Arial" w:eastAsia="Arial" w:hAnsi="Arial"/>
          <w:sz w:val="16"/>
          <w:szCs w:val="16"/>
          <w:color w:val="010000"/>
        </w:rPr>
        <w:t xml:space="preserve"> </w:t>
      </w:r>
      <w:r>
        <w:rPr>
          <w:rFonts w:ascii="Arial" w:cs="Arial" w:eastAsia="Arial" w:hAnsi="Arial"/>
          <w:sz w:val="16"/>
          <w:szCs w:val="16"/>
          <w:color w:val="000000"/>
        </w:rPr>
        <w:t>Company and the Selling Stockholder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10 shall be in addition to any liability which the respective Underwriters may otherwise have and shall extend, upon the same terms and conditions, to each officer and director of the Company and to each person, if any, who controls the Company or the Selling Stockholder within the meaning of the Act.</w:t>
      </w:r>
    </w:p>
    <w:p>
      <w:pPr>
        <w:spacing w:after="0" w:line="166" w:lineRule="exact"/>
        <w:rPr>
          <w:sz w:val="20"/>
          <w:szCs w:val="20"/>
          <w:color w:val="auto"/>
        </w:rPr>
      </w:pPr>
    </w:p>
    <w:p>
      <w:pPr>
        <w:jc w:val="both"/>
        <w:ind w:firstLine="631"/>
        <w:spacing w:after="0" w:line="279" w:lineRule="auto"/>
        <w:rPr>
          <w:sz w:val="20"/>
          <w:szCs w:val="20"/>
          <w:color w:val="auto"/>
        </w:rPr>
      </w:pPr>
      <w:r>
        <w:rPr>
          <w:rFonts w:ascii="Arial" w:cs="Arial" w:eastAsia="Arial" w:hAnsi="Arial"/>
          <w:sz w:val="16"/>
          <w:szCs w:val="16"/>
          <w:color w:val="010000"/>
        </w:rPr>
        <w:t>11.            </w:t>
      </w:r>
      <w:r>
        <w:rPr>
          <w:rFonts w:ascii="Arial" w:cs="Arial" w:eastAsia="Arial" w:hAnsi="Arial"/>
          <w:sz w:val="16"/>
          <w:szCs w:val="16"/>
          <w:color w:val="000000"/>
        </w:rPr>
        <w:t>(a) If any Underwriter shall default in its obligation to purchase the Shares that it has agreed to purchase hereunder at a Time of Delivery, you</w:t>
      </w:r>
      <w:r>
        <w:rPr>
          <w:rFonts w:ascii="Arial" w:cs="Arial" w:eastAsia="Arial" w:hAnsi="Arial"/>
          <w:sz w:val="16"/>
          <w:szCs w:val="16"/>
          <w:color w:val="010000"/>
        </w:rPr>
        <w:t xml:space="preserve"> </w:t>
      </w:r>
      <w:r>
        <w:rPr>
          <w:rFonts w:ascii="Arial" w:cs="Arial" w:eastAsia="Arial" w:hAnsi="Arial"/>
          <w:sz w:val="16"/>
          <w:szCs w:val="16"/>
          <w:color w:val="000000"/>
        </w:rPr>
        <w:t>may in your discretion arrange for you or another party or other parties to purchase such Shares on the terms contained herein. If within thirty-six hours after such default by any Underwriter you do not arrange for the purchase of such Shares, then the Company and the Selling Stockholder shall be entitled to a further period of thirty-six hours within which to procure another party or other parties satisfactory to you to purchase such Shares on such terms. In the event that, within the respective prescribed periods, you notify the Company and the Selling Stockholder that you have so arranged for the purchase of such Shares, or the Company or the Selling Stockholder notifies you that it has so arranged for the purchase of such Shares, you or the Company or the Selling Stockholder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5" w:name="page76"/>
    <w:bookmarkEnd w:id="75"/>
    <w:p>
      <w:pPr>
        <w:jc w:val="both"/>
        <w:ind w:left="640" w:firstLine="631"/>
        <w:spacing w:after="0" w:line="282" w:lineRule="auto"/>
        <w:rPr>
          <w:sz w:val="20"/>
          <w:szCs w:val="20"/>
          <w:color w:val="auto"/>
        </w:rPr>
      </w:pPr>
      <w:r>
        <w:rPr>
          <w:rFonts w:ascii="Arial" w:cs="Arial" w:eastAsia="Arial" w:hAnsi="Arial"/>
          <w:sz w:val="16"/>
          <w:szCs w:val="16"/>
          <w:color w:val="auto"/>
        </w:rPr>
        <w:t>(b)            If, after giving effect to any arrangements for the purchase of the Shares of a defaulting Underwriter or Underwriters by you, the Company and the Selling Stockholder as provided in subsection (a)‎ above, the aggregate number of such Shares which remains unpurchased does not exceed one-eleventh of the aggregate number of all the Shares to be purchased at such Time of Delivery, then the Selling Stockholder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69" w:lineRule="exact"/>
        <w:rPr>
          <w:sz w:val="20"/>
          <w:szCs w:val="20"/>
          <w:color w:val="auto"/>
        </w:rPr>
      </w:pPr>
    </w:p>
    <w:p>
      <w:pPr>
        <w:jc w:val="both"/>
        <w:ind w:left="640" w:firstLine="631"/>
        <w:spacing w:after="0" w:line="302" w:lineRule="auto"/>
        <w:rPr>
          <w:sz w:val="20"/>
          <w:szCs w:val="20"/>
          <w:color w:val="auto"/>
        </w:rPr>
      </w:pPr>
      <w:r>
        <w:rPr>
          <w:rFonts w:ascii="Arial" w:cs="Arial" w:eastAsia="Arial" w:hAnsi="Arial"/>
          <w:sz w:val="15"/>
          <w:szCs w:val="15"/>
          <w:color w:val="auto"/>
        </w:rPr>
        <w:t>(c)            If, after giving effect to any arrangements for the purchase of the Shares of a defaulting Underwriter or Underwriters by you, the Company and the Selling Stockholder as provided in subsection (a)‎ above, the aggregate number of such Shares which remains unpurchased exceeds one-eleventh of the aggregate number of all of the Shares to be purchased at such Time of Delivery, or if the Selling Stockholder shall not exercise the right described in subsection (b)‎ above to require non-defaulting Underwriters to purchase Shares of a defaulting Underwriter or Underwriters, then this Agreement (or, with respect to a Second Time of Delivery, the obligations of the Underwriters to purchase and of the Selling Stockholder to sell the Optional Shares) shall thereupon terminate, without liability on the part of any non-defaulting Underwriter, the Company or the Selling Stockholder, except for the expenses to be borne by the Company, the Selling Stockholder and the Underwriters as provided in Section 8 hereof and the indemnity and contribution agreements in Section 10 hereof; but nothing herein shall relieve a defaulting Underwriter from liability for its default.</w:t>
      </w:r>
    </w:p>
    <w:p>
      <w:pPr>
        <w:spacing w:after="0" w:line="156" w:lineRule="exact"/>
        <w:rPr>
          <w:sz w:val="20"/>
          <w:szCs w:val="20"/>
          <w:color w:val="auto"/>
        </w:rPr>
      </w:pPr>
    </w:p>
    <w:p>
      <w:pPr>
        <w:jc w:val="both"/>
        <w:ind w:firstLine="631"/>
        <w:spacing w:after="0" w:line="286" w:lineRule="auto"/>
        <w:rPr>
          <w:sz w:val="20"/>
          <w:szCs w:val="20"/>
          <w:color w:val="auto"/>
        </w:rPr>
      </w:pPr>
      <w:r>
        <w:rPr>
          <w:rFonts w:ascii="Arial" w:cs="Arial" w:eastAsia="Arial" w:hAnsi="Arial"/>
          <w:sz w:val="16"/>
          <w:szCs w:val="16"/>
          <w:color w:val="010000"/>
        </w:rPr>
        <w:t>12.            </w:t>
      </w:r>
      <w:r>
        <w:rPr>
          <w:rFonts w:ascii="Arial" w:cs="Arial" w:eastAsia="Arial" w:hAnsi="Arial"/>
          <w:sz w:val="16"/>
          <w:szCs w:val="16"/>
          <w:color w:val="000000"/>
        </w:rPr>
        <w:t>The respective indemnities, rights of contribution, agreements, representations, warranties and other statements of the Company, the Selling</w:t>
      </w:r>
      <w:r>
        <w:rPr>
          <w:rFonts w:ascii="Arial" w:cs="Arial" w:eastAsia="Arial" w:hAnsi="Arial"/>
          <w:sz w:val="16"/>
          <w:szCs w:val="16"/>
          <w:color w:val="010000"/>
        </w:rPr>
        <w:t xml:space="preserve"> </w:t>
      </w:r>
      <w:r>
        <w:rPr>
          <w:rFonts w:ascii="Arial" w:cs="Arial" w:eastAsia="Arial" w:hAnsi="Arial"/>
          <w:sz w:val="16"/>
          <w:szCs w:val="16"/>
          <w:color w:val="000000"/>
        </w:rPr>
        <w:t>Stockholder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 the Selling Stockholder, or any officer or director or controlling person of the Company, or any controlling person of the Selling Stockholder, and shall survive delivery of and payment for the Shares.</w:t>
      </w:r>
    </w:p>
    <w:p>
      <w:pPr>
        <w:spacing w:after="0" w:line="166" w:lineRule="exact"/>
        <w:rPr>
          <w:sz w:val="20"/>
          <w:szCs w:val="20"/>
          <w:color w:val="auto"/>
        </w:rPr>
      </w:pPr>
    </w:p>
    <w:p>
      <w:pPr>
        <w:jc w:val="both"/>
        <w:ind w:firstLine="631"/>
        <w:spacing w:after="0" w:line="286" w:lineRule="auto"/>
        <w:rPr>
          <w:sz w:val="20"/>
          <w:szCs w:val="20"/>
          <w:color w:val="auto"/>
        </w:rPr>
      </w:pPr>
      <w:r>
        <w:rPr>
          <w:rFonts w:ascii="Arial" w:cs="Arial" w:eastAsia="Arial" w:hAnsi="Arial"/>
          <w:sz w:val="16"/>
          <w:szCs w:val="16"/>
          <w:color w:val="010000"/>
        </w:rPr>
        <w:t>13.            </w:t>
      </w:r>
      <w:r>
        <w:rPr>
          <w:rFonts w:ascii="Arial" w:cs="Arial" w:eastAsia="Arial" w:hAnsi="Arial"/>
          <w:sz w:val="16"/>
          <w:szCs w:val="16"/>
          <w:color w:val="000000"/>
        </w:rPr>
        <w:t>If this Agreement shall be terminated pursuant to Section 11 hereof, neither the Company nor the Selling Stockholder shall then be under any</w:t>
      </w:r>
      <w:r>
        <w:rPr>
          <w:rFonts w:ascii="Arial" w:cs="Arial" w:eastAsia="Arial" w:hAnsi="Arial"/>
          <w:sz w:val="16"/>
          <w:szCs w:val="16"/>
          <w:color w:val="010000"/>
        </w:rPr>
        <w:t xml:space="preserve"> </w:t>
      </w:r>
      <w:r>
        <w:rPr>
          <w:rFonts w:ascii="Arial" w:cs="Arial" w:eastAsia="Arial" w:hAnsi="Arial"/>
          <w:sz w:val="16"/>
          <w:szCs w:val="16"/>
          <w:color w:val="000000"/>
        </w:rPr>
        <w:t>liability to any Underwriter except as provided in Sections 8 and 10 hereof; but, if for any other reason, any Shares are not delivered by or on behalf of the Selling Stockholder as provided herein or the Underwriters decline to purchase the Shares for any reason permitted under this Agreement, the Company will reimburse the Underwriters through you for all documented out-of-pocket expenses approved in writing by you, including fees and disbursements of counsel, reasonably incurred by the Underwriters in making preparations for the purchase,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6" w:name="page77"/>
    <w:bookmarkEnd w:id="76"/>
    <w:p>
      <w:pPr>
        <w:jc w:val="both"/>
        <w:spacing w:after="0" w:line="261" w:lineRule="auto"/>
        <w:rPr>
          <w:sz w:val="20"/>
          <w:szCs w:val="20"/>
          <w:color w:val="auto"/>
        </w:rPr>
      </w:pPr>
      <w:r>
        <w:rPr>
          <w:rFonts w:ascii="Arial" w:cs="Arial" w:eastAsia="Arial" w:hAnsi="Arial"/>
          <w:sz w:val="18"/>
          <w:szCs w:val="18"/>
          <w:color w:val="auto"/>
        </w:rPr>
        <w:t>sale and delivery of the Shares not so delivered, but the Company and the Selling Stockholder shall then be under no further liability to any Underwriter except as provided in Sections 8 and 10 hereof.</w:t>
      </w:r>
    </w:p>
    <w:p>
      <w:pPr>
        <w:spacing w:after="0" w:line="181"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010000"/>
        </w:rPr>
        <w:t>14.            </w:t>
      </w:r>
      <w:r>
        <w:rPr>
          <w:rFonts w:ascii="Arial" w:cs="Arial" w:eastAsia="Arial" w:hAnsi="Arial"/>
          <w:sz w:val="18"/>
          <w:szCs w:val="18"/>
          <w:color w:val="000000"/>
        </w:rPr>
        <w:t>In all dealings hereunder, the Representatives shall act on behalf of each of the Underwriters, and the parties hereto shall be entitled to act and</w:t>
      </w:r>
      <w:r>
        <w:rPr>
          <w:rFonts w:ascii="Arial" w:cs="Arial" w:eastAsia="Arial" w:hAnsi="Arial"/>
          <w:sz w:val="18"/>
          <w:szCs w:val="18"/>
          <w:color w:val="010000"/>
        </w:rPr>
        <w:t xml:space="preserve"> </w:t>
      </w:r>
      <w:r>
        <w:rPr>
          <w:rFonts w:ascii="Arial" w:cs="Arial" w:eastAsia="Arial" w:hAnsi="Arial"/>
          <w:sz w:val="18"/>
          <w:szCs w:val="18"/>
          <w:color w:val="000000"/>
        </w:rPr>
        <w:t>rely upon any statement, request, notice or agreement on behalf of any Underwriter made or given by the Representatives.</w:t>
      </w:r>
    </w:p>
    <w:p>
      <w:pPr>
        <w:spacing w:after="0" w:line="181" w:lineRule="exact"/>
        <w:rPr>
          <w:sz w:val="20"/>
          <w:szCs w:val="20"/>
          <w:color w:val="auto"/>
        </w:rPr>
      </w:pPr>
    </w:p>
    <w:p>
      <w:pPr>
        <w:jc w:val="both"/>
        <w:ind w:firstLine="631"/>
        <w:spacing w:after="0" w:line="279" w:lineRule="auto"/>
        <w:rPr>
          <w:sz w:val="20"/>
          <w:szCs w:val="20"/>
          <w:color w:val="auto"/>
        </w:rPr>
      </w:pPr>
      <w:r>
        <w:rPr>
          <w:rFonts w:ascii="Arial" w:cs="Arial" w:eastAsia="Arial" w:hAnsi="Arial"/>
          <w:sz w:val="16"/>
          <w:szCs w:val="16"/>
          <w:color w:val="auto"/>
        </w:rPr>
        <w:t xml:space="preserve">All statements, requests, notices and agreements hereunder shall be in writing, and if to the Underwriters shall be delivered or sent by mail, telex or facsimile transmission to each of the Representatives in care of (i) Goldman Sachs &amp; Co. LLC, 200 West Street, New York, New York 10282-2198, Attention: Registration Department and (ii) Morgan Stanley &amp; Co. LLC, 1585 Broadway, New York, New York 10036, Attention: Equity Syndicate Desk, with a copy to the Legal Department; if to the Selling Stockholder shall be delivered or sent by mail, telex or facsimile transmission the Selling Stockholder at its address set forth in Schedule II hereto; and if to the Company shall be delivered or sent by mail, telex or facsimile transmission to the address of the Company set forth in the Registration Statement, Attention: Secretary;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notice to an Underwriter pursuant to Section 10 hereof shall be delivered or sent by mail, telex or facsimile transmission to such Underwriter at its address set forth in its Underwriters’ Questionnaire, or telex constituting such Questionnaire, which address will be supplied to the Company or the Selling Stockholder by you upon request;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notices under subsection 6(e)‎ shall be in writing, and if to the Underwriters shall be delivered or sent by mail, telex or facsimile transmission to you as the representatives at Goldman Sachs &amp; Co. LLC, 200 West Street, New York, New York 10282-2198, Attention: Control Room and Morgan Stanley &amp; Co. LLC, 1585 Broadway, New York, New York 10036, Attention: Control Room. Any such statements, requests, notices or agreements shall take effect upon receipt thereof.</w:t>
      </w:r>
    </w:p>
    <w:p>
      <w:pPr>
        <w:spacing w:after="0" w:line="171"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and the Selling Stockholder, which information may include the name and address of their respective clients, as well as other information that will allow the Underwriters to properly identify their respective clients.</w:t>
      </w:r>
    </w:p>
    <w:p>
      <w:pPr>
        <w:spacing w:after="0" w:line="192" w:lineRule="exact"/>
        <w:rPr>
          <w:sz w:val="20"/>
          <w:szCs w:val="20"/>
          <w:color w:val="auto"/>
        </w:rPr>
      </w:pPr>
    </w:p>
    <w:p>
      <w:pPr>
        <w:jc w:val="both"/>
        <w:ind w:firstLine="631"/>
        <w:spacing w:after="0" w:line="286" w:lineRule="auto"/>
        <w:rPr>
          <w:sz w:val="20"/>
          <w:szCs w:val="20"/>
          <w:color w:val="auto"/>
        </w:rPr>
      </w:pPr>
      <w:r>
        <w:rPr>
          <w:rFonts w:ascii="Arial" w:cs="Arial" w:eastAsia="Arial" w:hAnsi="Arial"/>
          <w:sz w:val="16"/>
          <w:szCs w:val="16"/>
          <w:color w:val="010000"/>
        </w:rPr>
        <w:t>15.            </w:t>
      </w:r>
      <w:r>
        <w:rPr>
          <w:rFonts w:ascii="Arial" w:cs="Arial" w:eastAsia="Arial" w:hAnsi="Arial"/>
          <w:sz w:val="16"/>
          <w:szCs w:val="16"/>
          <w:color w:val="000000"/>
        </w:rPr>
        <w:t>This Agreement shall be binding upon, and inure solely to the benefit of, the Underwriters, the Company and the Selling Stockholder and, to</w:t>
      </w:r>
      <w:r>
        <w:rPr>
          <w:rFonts w:ascii="Arial" w:cs="Arial" w:eastAsia="Arial" w:hAnsi="Arial"/>
          <w:sz w:val="16"/>
          <w:szCs w:val="16"/>
          <w:color w:val="010000"/>
        </w:rPr>
        <w:t xml:space="preserve"> </w:t>
      </w:r>
      <w:r>
        <w:rPr>
          <w:rFonts w:ascii="Arial" w:cs="Arial" w:eastAsia="Arial" w:hAnsi="Arial"/>
          <w:sz w:val="16"/>
          <w:szCs w:val="16"/>
          <w:color w:val="000000"/>
        </w:rPr>
        <w:t>the extent provided in Sections 10 and 12 hereof, the officers and directors of the Company and each person who controls the Company, the Selling Stockholder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66"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010000"/>
        </w:rPr>
        <w:t>16.            </w:t>
      </w:r>
      <w:r>
        <w:rPr>
          <w:rFonts w:ascii="Arial" w:cs="Arial" w:eastAsia="Arial" w:hAnsi="Arial"/>
          <w:sz w:val="18"/>
          <w:szCs w:val="18"/>
          <w:color w:val="000000"/>
        </w:rPr>
        <w:t>Time shall be of the essence of this Agreement. As used herein, the term “business day” shall mean any day when the Commission’s office in</w:t>
      </w:r>
      <w:r>
        <w:rPr>
          <w:rFonts w:ascii="Arial" w:cs="Arial" w:eastAsia="Arial" w:hAnsi="Arial"/>
          <w:sz w:val="18"/>
          <w:szCs w:val="18"/>
          <w:color w:val="010000"/>
        </w:rPr>
        <w:t xml:space="preserve"> </w:t>
      </w:r>
      <w:r>
        <w:rPr>
          <w:rFonts w:ascii="Arial" w:cs="Arial" w:eastAsia="Arial" w:hAnsi="Arial"/>
          <w:sz w:val="18"/>
          <w:szCs w:val="18"/>
          <w:color w:val="000000"/>
        </w:rPr>
        <w:t>Washington, D.C. is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open for business.</w:t>
      </w:r>
    </w:p>
    <w:p>
      <w:pPr>
        <w:spacing w:after="0" w:line="214" w:lineRule="exact"/>
        <w:rPr>
          <w:sz w:val="20"/>
          <w:szCs w:val="20"/>
          <w:color w:val="auto"/>
        </w:rPr>
      </w:pPr>
    </w:p>
    <w:p>
      <w:pPr>
        <w:jc w:val="both"/>
        <w:ind w:firstLine="631"/>
        <w:spacing w:after="0" w:line="279" w:lineRule="auto"/>
        <w:rPr>
          <w:sz w:val="20"/>
          <w:szCs w:val="20"/>
          <w:color w:val="auto"/>
        </w:rPr>
      </w:pPr>
      <w:r>
        <w:rPr>
          <w:rFonts w:ascii="Arial" w:cs="Arial" w:eastAsia="Arial" w:hAnsi="Arial"/>
          <w:sz w:val="16"/>
          <w:szCs w:val="16"/>
          <w:color w:val="010000"/>
        </w:rPr>
        <w:t>17.            </w:t>
      </w:r>
      <w:r>
        <w:rPr>
          <w:rFonts w:ascii="Arial" w:cs="Arial" w:eastAsia="Arial" w:hAnsi="Arial"/>
          <w:sz w:val="16"/>
          <w:szCs w:val="16"/>
          <w:color w:val="000000"/>
        </w:rPr>
        <w:t>The Company and the Selling Stockholder acknowledge and agree that (i) the purchase and sale of the Shares pursuant to this Agreement is</w:t>
      </w:r>
      <w:r>
        <w:rPr>
          <w:rFonts w:ascii="Arial" w:cs="Arial" w:eastAsia="Arial" w:hAnsi="Arial"/>
          <w:sz w:val="16"/>
          <w:szCs w:val="16"/>
          <w:color w:val="010000"/>
        </w:rPr>
        <w:t xml:space="preserve"> </w:t>
      </w:r>
      <w:r>
        <w:rPr>
          <w:rFonts w:ascii="Arial" w:cs="Arial" w:eastAsia="Arial" w:hAnsi="Arial"/>
          <w:sz w:val="16"/>
          <w:szCs w:val="16"/>
          <w:color w:val="000000"/>
        </w:rPr>
        <w:t>an arm’s-length commercial transaction between the Company and the Selling Stockholder, on the one hand, and the several Underwriters, on the other, (ii) in connection therewith and with the process leading to such transaction each Underwriter is acting solely as a principal and not the agent or fiduciary of the Company or the Selling Stockholder, (iii) no Underwriter has assumed an advisory or fiduciary responsibility in favor of the Company or the Selling Stockholder with respect to the offering contemplated hereby or the process leading thereto (irrespective of whether such Underwriter has advised or is currently advising the Company or the Selling Stockholder on other matters) or any other obligation to the Company or the Selling Stockholder except the obligations expressly set forth in this Agreement, (iv) each of the Company and the Selling Stockholder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Each of the Company and the Selling Stockholder agrees that it will not claim that the Underwriters, or any of them, has rendered advisory services of any nature or respect, or owes a fiduciary or similar duty to the Company or the Selling Stockholder, in connection with such transaction or the process leading thereto.</w:t>
      </w:r>
    </w:p>
    <w:p>
      <w:pPr>
        <w:spacing w:after="0" w:line="171"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010000"/>
        </w:rPr>
        <w:t>18.            </w:t>
      </w:r>
      <w:r>
        <w:rPr>
          <w:rFonts w:ascii="Arial" w:cs="Arial" w:eastAsia="Arial" w:hAnsi="Arial"/>
          <w:sz w:val="18"/>
          <w:szCs w:val="18"/>
          <w:color w:val="000000"/>
        </w:rPr>
        <w:t>This Agreement supersedes all prior agreements and understandings (whether written or oral) between or among the Company, the Selling</w:t>
      </w:r>
      <w:r>
        <w:rPr>
          <w:rFonts w:ascii="Arial" w:cs="Arial" w:eastAsia="Arial" w:hAnsi="Arial"/>
          <w:sz w:val="18"/>
          <w:szCs w:val="18"/>
          <w:color w:val="010000"/>
        </w:rPr>
        <w:t xml:space="preserve"> </w:t>
      </w:r>
      <w:r>
        <w:rPr>
          <w:rFonts w:ascii="Arial" w:cs="Arial" w:eastAsia="Arial" w:hAnsi="Arial"/>
          <w:sz w:val="18"/>
          <w:szCs w:val="18"/>
          <w:color w:val="000000"/>
        </w:rPr>
        <w:t>Stockholder and the Underwriters, or any of them, with respect to the subject matter hereof.</w:t>
      </w:r>
    </w:p>
    <w:p>
      <w:pPr>
        <w:spacing w:after="0" w:line="175" w:lineRule="exact"/>
        <w:rPr>
          <w:sz w:val="20"/>
          <w:szCs w:val="20"/>
          <w:color w:val="auto"/>
        </w:rPr>
      </w:pPr>
    </w:p>
    <w:p>
      <w:pPr>
        <w:jc w:val="both"/>
        <w:ind w:firstLine="631"/>
        <w:spacing w:after="0" w:line="285" w:lineRule="auto"/>
        <w:rPr>
          <w:sz w:val="20"/>
          <w:szCs w:val="20"/>
          <w:color w:val="auto"/>
        </w:rPr>
      </w:pPr>
      <w:r>
        <w:rPr>
          <w:rFonts w:ascii="Arial" w:cs="Arial" w:eastAsia="Arial" w:hAnsi="Arial"/>
          <w:sz w:val="16"/>
          <w:szCs w:val="16"/>
          <w:color w:val="010000"/>
        </w:rPr>
        <w:t>19.            </w:t>
      </w:r>
      <w:r>
        <w:rPr>
          <w:rFonts w:ascii="Arial" w:cs="Arial" w:eastAsia="Arial" w:hAnsi="Arial"/>
          <w:sz w:val="16"/>
          <w:szCs w:val="16"/>
          <w:b w:val="1"/>
          <w:bCs w:val="1"/>
          <w:color w:val="000000"/>
        </w:rPr>
        <w:t>This Agreement and any transaction contemplated by this Agreement and any claim, controversy or dispute arising under or related</w:t>
      </w:r>
      <w:r>
        <w:rPr>
          <w:rFonts w:ascii="Arial" w:cs="Arial" w:eastAsia="Arial" w:hAnsi="Arial"/>
          <w:sz w:val="16"/>
          <w:szCs w:val="16"/>
          <w:color w:val="010000"/>
        </w:rPr>
        <w:t xml:space="preserve"> </w:t>
      </w:r>
      <w:r>
        <w:rPr>
          <w:rFonts w:ascii="Arial" w:cs="Arial" w:eastAsia="Arial" w:hAnsi="Arial"/>
          <w:sz w:val="16"/>
          <w:szCs w:val="16"/>
          <w:b w:val="1"/>
          <w:bCs w:val="1"/>
          <w:color w:val="000000"/>
        </w:rPr>
        <w:t>thereto shall be governed by and construed in accordance with the laws of the State of New York without regard to principles of conflict of laws that would result in the application of any other law than the laws of the State of New York. The Company and the Selling Stockholder agree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and the Selling Stockholder agree to submit to the jurisdiction of, and to venue in, such courts.</w:t>
      </w:r>
    </w:p>
    <w:p>
      <w:pPr>
        <w:spacing w:after="0" w:line="167" w:lineRule="exact"/>
        <w:rPr>
          <w:sz w:val="20"/>
          <w:szCs w:val="20"/>
          <w:color w:val="auto"/>
        </w:rPr>
      </w:pPr>
    </w:p>
    <w:p>
      <w:pPr>
        <w:jc w:val="both"/>
        <w:ind w:firstLine="631"/>
        <w:spacing w:after="0" w:line="324" w:lineRule="auto"/>
        <w:rPr>
          <w:sz w:val="20"/>
          <w:szCs w:val="20"/>
          <w:color w:val="auto"/>
        </w:rPr>
      </w:pPr>
      <w:r>
        <w:rPr>
          <w:rFonts w:ascii="Arial" w:cs="Arial" w:eastAsia="Arial" w:hAnsi="Arial"/>
          <w:sz w:val="16"/>
          <w:szCs w:val="16"/>
          <w:color w:val="010000"/>
        </w:rPr>
        <w:t>20.            </w:t>
      </w:r>
      <w:r>
        <w:rPr>
          <w:rFonts w:ascii="Arial" w:cs="Arial" w:eastAsia="Arial" w:hAnsi="Arial"/>
          <w:sz w:val="16"/>
          <w:szCs w:val="16"/>
          <w:color w:val="000000"/>
        </w:rPr>
        <w:t>The Company, the Selling Stockholder and each of the Underwriters hereby irrevocably waives, to the fullest extent permitted by applicable</w:t>
      </w:r>
      <w:r>
        <w:rPr>
          <w:rFonts w:ascii="Arial" w:cs="Arial" w:eastAsia="Arial" w:hAnsi="Arial"/>
          <w:sz w:val="16"/>
          <w:szCs w:val="16"/>
          <w:color w:val="010000"/>
        </w:rPr>
        <w:t xml:space="preserve"> </w:t>
      </w:r>
      <w:r>
        <w:rPr>
          <w:rFonts w:ascii="Arial" w:cs="Arial" w:eastAsia="Arial" w:hAnsi="Arial"/>
          <w:sz w:val="16"/>
          <w:szCs w:val="16"/>
          <w:color w:val="000000"/>
        </w:rPr>
        <w:t>law, any and all right to trial by jury in any legal proceeding arising out of or relating to this Agreement or the transactions contemplated hereby.</w:t>
      </w:r>
    </w:p>
    <w:p>
      <w:pPr>
        <w:spacing w:after="0" w:line="134"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010000"/>
        </w:rPr>
        <w:t>21.            </w:t>
      </w:r>
      <w:r>
        <w:rPr>
          <w:rFonts w:ascii="Arial" w:cs="Arial" w:eastAsia="Arial" w:hAnsi="Arial"/>
          <w:sz w:val="16"/>
          <w:szCs w:val="16"/>
          <w:color w:val="000000"/>
        </w:rPr>
        <w:t>This Agreement may be executed by any one or more of the parties hereto in any number of counterparts, each of which shall be deemed to</w:t>
      </w:r>
      <w:r>
        <w:rPr>
          <w:rFonts w:ascii="Arial" w:cs="Arial" w:eastAsia="Arial" w:hAnsi="Arial"/>
          <w:sz w:val="16"/>
          <w:szCs w:val="16"/>
          <w:color w:val="010000"/>
        </w:rPr>
        <w:t xml:space="preserve"> </w:t>
      </w:r>
      <w:r>
        <w:rPr>
          <w:rFonts w:ascii="Arial" w:cs="Arial" w:eastAsia="Arial" w:hAnsi="Arial"/>
          <w:sz w:val="16"/>
          <w:szCs w:val="16"/>
          <w:color w:val="000000"/>
        </w:rPr>
        <w:t>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8" w:name="page79"/>
    <w:bookmarkEnd w:id="78"/>
    <w:p>
      <w:pPr>
        <w:jc w:val="both"/>
        <w:spacing w:after="0" w:line="261" w:lineRule="auto"/>
        <w:rPr>
          <w:sz w:val="20"/>
          <w:szCs w:val="20"/>
          <w:color w:val="auto"/>
        </w:rPr>
      </w:pPr>
      <w:r>
        <w:rPr>
          <w:rFonts w:ascii="Arial" w:cs="Arial" w:eastAsia="Arial" w:hAnsi="Arial"/>
          <w:sz w:val="18"/>
          <w:szCs w:val="18"/>
          <w:color w:val="auto"/>
        </w:rPr>
        <w:t>Signatures and Records Act or other applicable law, e.g., www.docusign.com) or other transmission method and any counterpart so delivered shall be deemed to have been duly and validly delivered and be valid and effective for all purposes.</w:t>
      </w:r>
    </w:p>
    <w:p>
      <w:pPr>
        <w:spacing w:after="0" w:line="181" w:lineRule="exact"/>
        <w:rPr>
          <w:sz w:val="20"/>
          <w:szCs w:val="20"/>
          <w:color w:val="auto"/>
        </w:rPr>
      </w:pPr>
    </w:p>
    <w:p>
      <w:pPr>
        <w:jc w:val="both"/>
        <w:ind w:firstLine="631"/>
        <w:spacing w:after="0" w:line="309" w:lineRule="auto"/>
        <w:rPr>
          <w:sz w:val="20"/>
          <w:szCs w:val="20"/>
          <w:color w:val="auto"/>
        </w:rPr>
      </w:pPr>
      <w:r>
        <w:rPr>
          <w:rFonts w:ascii="Arial" w:cs="Arial" w:eastAsia="Arial" w:hAnsi="Arial"/>
          <w:sz w:val="15"/>
          <w:szCs w:val="15"/>
          <w:color w:val="010000"/>
        </w:rPr>
        <w:t>22.            </w:t>
      </w:r>
      <w:r>
        <w:rPr>
          <w:rFonts w:ascii="Arial" w:cs="Arial" w:eastAsia="Arial" w:hAnsi="Arial"/>
          <w:sz w:val="15"/>
          <w:szCs w:val="15"/>
          <w:color w:val="000000"/>
        </w:rPr>
        <w:t>Notwithstanding anything herein to the contrary, the Company and the Selling Stockholder are authorized to disclose to any persons the U.S.</w:t>
      </w:r>
      <w:r>
        <w:rPr>
          <w:rFonts w:ascii="Arial" w:cs="Arial" w:eastAsia="Arial" w:hAnsi="Arial"/>
          <w:sz w:val="15"/>
          <w:szCs w:val="15"/>
          <w:color w:val="010000"/>
        </w:rPr>
        <w:t xml:space="preserve"> </w:t>
      </w:r>
      <w:r>
        <w:rPr>
          <w:rFonts w:ascii="Arial" w:cs="Arial" w:eastAsia="Arial" w:hAnsi="Arial"/>
          <w:sz w:val="15"/>
          <w:szCs w:val="15"/>
          <w:color w:val="000000"/>
        </w:rPr>
        <w:t>federal and state income tax treatment and tax structure of the potential transaction and all materials of any kind (including tax opinions and other tax analyses) provided to the Company and the Selling Stockholder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color w:val="010000"/>
        </w:rPr>
        <w:t>23.            </w:t>
      </w:r>
      <w:r>
        <w:rPr>
          <w:rFonts w:ascii="Arial" w:cs="Arial" w:eastAsia="Arial" w:hAnsi="Arial"/>
          <w:sz w:val="18"/>
          <w:szCs w:val="18"/>
          <w:color w:val="000000"/>
        </w:rPr>
        <w:t>Recognition of the U.S. Special Resolution Regimes.</w:t>
      </w:r>
    </w:p>
    <w:p>
      <w:pPr>
        <w:spacing w:after="0" w:line="214" w:lineRule="exact"/>
        <w:rPr>
          <w:sz w:val="20"/>
          <w:szCs w:val="20"/>
          <w:color w:val="auto"/>
        </w:rPr>
      </w:pPr>
    </w:p>
    <w:p>
      <w:pPr>
        <w:jc w:val="both"/>
        <w:ind w:left="640" w:firstLine="631"/>
        <w:spacing w:after="0" w:line="249" w:lineRule="auto"/>
        <w:rPr>
          <w:sz w:val="20"/>
          <w:szCs w:val="20"/>
          <w:color w:val="auto"/>
        </w:rPr>
      </w:pPr>
      <w:r>
        <w:rPr>
          <w:rFonts w:ascii="Arial" w:cs="Arial" w:eastAsia="Arial" w:hAnsi="Arial"/>
          <w:sz w:val="18"/>
          <w:szCs w:val="18"/>
          <w:color w:val="010000"/>
        </w:rPr>
        <w:t>(a)            </w:t>
      </w:r>
      <w:r>
        <w:rPr>
          <w:rFonts w:ascii="Arial" w:cs="Arial" w:eastAsia="Arial" w:hAnsi="Arial"/>
          <w:sz w:val="18"/>
          <w:szCs w:val="18"/>
          <w:color w:val="000000"/>
        </w:rPr>
        <w:t>In the event that any Underwriter that is a Covered Entity becomes subject to a proceeding under a U.S. Special Resolution Regime,</w:t>
      </w:r>
      <w:r>
        <w:rPr>
          <w:rFonts w:ascii="Arial" w:cs="Arial" w:eastAsia="Arial" w:hAnsi="Arial"/>
          <w:sz w:val="18"/>
          <w:szCs w:val="18"/>
          <w:color w:val="010000"/>
        </w:rPr>
        <w:t xml:space="preserve"> </w:t>
      </w:r>
      <w:r>
        <w:rPr>
          <w:rFonts w:ascii="Arial" w:cs="Arial" w:eastAsia="Arial" w:hAnsi="Arial"/>
          <w:sz w:val="18"/>
          <w:szCs w:val="18"/>
          <w:color w:val="000000"/>
        </w:rPr>
        <w:t>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92" w:lineRule="exact"/>
        <w:rPr>
          <w:sz w:val="20"/>
          <w:szCs w:val="20"/>
          <w:color w:val="auto"/>
        </w:rPr>
      </w:pPr>
    </w:p>
    <w:p>
      <w:pPr>
        <w:jc w:val="both"/>
        <w:ind w:left="640" w:firstLine="631"/>
        <w:spacing w:after="0" w:line="249" w:lineRule="auto"/>
        <w:rPr>
          <w:sz w:val="20"/>
          <w:szCs w:val="20"/>
          <w:color w:val="auto"/>
        </w:rPr>
      </w:pPr>
      <w:r>
        <w:rPr>
          <w:rFonts w:ascii="Arial" w:cs="Arial" w:eastAsia="Arial" w:hAnsi="Arial"/>
          <w:sz w:val="18"/>
          <w:szCs w:val="18"/>
          <w:color w:val="010000"/>
        </w:rPr>
        <w:t>(b)            </w:t>
      </w:r>
      <w:r>
        <w:rPr>
          <w:rFonts w:ascii="Arial" w:cs="Arial" w:eastAsia="Arial" w:hAnsi="Arial"/>
          <w:sz w:val="18"/>
          <w:szCs w:val="18"/>
          <w:color w:val="000000"/>
        </w:rPr>
        <w:t>In the event that any Underwriter that is a Covered Entity or a BHC Act Affiliate of such Underwriter becomes subject to a</w:t>
      </w:r>
      <w:r>
        <w:rPr>
          <w:rFonts w:ascii="Arial" w:cs="Arial" w:eastAsia="Arial" w:hAnsi="Arial"/>
          <w:sz w:val="18"/>
          <w:szCs w:val="18"/>
          <w:color w:val="010000"/>
        </w:rPr>
        <w:t xml:space="preserve"> </w:t>
      </w:r>
      <w:r>
        <w:rPr>
          <w:rFonts w:ascii="Arial" w:cs="Arial" w:eastAsia="Arial" w:hAnsi="Arial"/>
          <w:sz w:val="18"/>
          <w:szCs w:val="18"/>
          <w:color w:val="000000"/>
        </w:rPr>
        <w:t>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color w:val="010000"/>
        </w:rPr>
        <w:t>(c)            </w:t>
      </w:r>
      <w:r>
        <w:rPr>
          <w:rFonts w:ascii="Arial" w:cs="Arial" w:eastAsia="Arial" w:hAnsi="Arial"/>
          <w:sz w:val="18"/>
          <w:szCs w:val="18"/>
          <w:color w:val="000000"/>
        </w:rPr>
        <w:t>As used in this section:</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“BHC Act Affiliate” has the meaning assigned to the term “affiliate” in, and shall be interpreted in accordance with, 12 U.S.C. § 1841(k).</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“Covered Entity” means any of the following:</w:t>
      </w:r>
    </w:p>
    <w:p>
      <w:pPr>
        <w:spacing w:after="0" w:line="214" w:lineRule="exact"/>
        <w:rPr>
          <w:sz w:val="20"/>
          <w:szCs w:val="20"/>
          <w:color w:val="auto"/>
        </w:rPr>
      </w:pPr>
    </w:p>
    <w:p>
      <w:pPr>
        <w:ind w:left="840" w:hanging="204"/>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13" w:lineRule="exact"/>
        <w:rPr>
          <w:rFonts w:ascii="Arial" w:cs="Arial" w:eastAsia="Arial" w:hAnsi="Arial"/>
          <w:sz w:val="18"/>
          <w:szCs w:val="18"/>
          <w:color w:val="auto"/>
        </w:rPr>
      </w:pPr>
    </w:p>
    <w:p>
      <w:pPr>
        <w:ind w:left="900" w:hanging="264"/>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13" w:lineRule="exact"/>
        <w:rPr>
          <w:rFonts w:ascii="Arial" w:cs="Arial" w:eastAsia="Arial" w:hAnsi="Arial"/>
          <w:sz w:val="18"/>
          <w:szCs w:val="18"/>
          <w:color w:val="auto"/>
        </w:rPr>
      </w:pPr>
    </w:p>
    <w:p>
      <w:pPr>
        <w:ind w:left="940" w:hanging="304"/>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9" w:name="page80"/>
    <w:bookmarkEnd w:id="79"/>
    <w:p>
      <w:pPr>
        <w:jc w:val="both"/>
        <w:ind w:firstLine="631"/>
        <w:spacing w:after="0" w:line="261"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81"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1" w:lineRule="exact"/>
        <w:rPr>
          <w:sz w:val="20"/>
          <w:szCs w:val="20"/>
          <w:color w:val="auto"/>
        </w:rPr>
      </w:pPr>
    </w:p>
    <w:p>
      <w:pPr>
        <w:jc w:val="both"/>
        <w:ind w:firstLine="631"/>
        <w:spacing w:after="0" w:line="286" w:lineRule="auto"/>
        <w:rPr>
          <w:sz w:val="20"/>
          <w:szCs w:val="20"/>
          <w:color w:val="auto"/>
        </w:rPr>
      </w:pPr>
      <w:r>
        <w:rPr>
          <w:rFonts w:ascii="Arial" w:cs="Arial" w:eastAsia="Arial" w:hAnsi="Arial"/>
          <w:sz w:val="16"/>
          <w:szCs w:val="16"/>
          <w:color w:val="auto"/>
        </w:rPr>
        <w:t>If the foregoing is in accordance with your understanding, please sign and return to us a copy hereof, and upon the acceptance hereof by you, on behalf of each of the Underwriters, this letter and such acceptance hereof shall constitute a binding agreement among each of the Underwriters, the Company and the Selling Stockholder. It is understood that your acceptance of this letter on behalf of each of the Underwriters is pursuant to the authority set forth in a form of Agreement among Underwriters, the form of which shall be submitted to the Company and the Selling Stockholder for examination upon request, but without warranty on your part as to the authority of the signers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80" w:name="page81"/>
    <w:bookmarkEnd w:id="80"/>
    <w:p>
      <w:pPr>
        <w:ind w:left="5620"/>
        <w:spacing w:after="0"/>
        <w:rPr>
          <w:sz w:val="20"/>
          <w:szCs w:val="20"/>
          <w:color w:val="auto"/>
        </w:rPr>
      </w:pPr>
      <w:r>
        <w:rPr>
          <w:rFonts w:ascii="Arial" w:cs="Arial" w:eastAsia="Arial" w:hAnsi="Arial"/>
          <w:sz w:val="18"/>
          <w:szCs w:val="18"/>
          <w:color w:val="auto"/>
        </w:rPr>
        <w:t>Very truly yours,</w:t>
      </w: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Mobileye Global Inc.</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Intel Overseas Funding Corporation</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&amp; Co. LLC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1905</wp:posOffset>
            </wp:positionV>
            <wp:extent cx="32131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&amp; Co. LLC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1905</wp:posOffset>
            </wp:positionV>
            <wp:extent cx="32131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Name:</w:t>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behalf of each of the Underwriters</w:t>
      </w: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1361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139"/>
          </w:cols>
          <w:pgMar w:left="320" w:top="889" w:right="1440" w:bottom="1440" w:gutter="0" w:footer="0" w:header="0"/>
        </w:sectPr>
      </w:pPr>
    </w:p>
    <w:bookmarkStart w:id="81" w:name="page82"/>
    <w:bookmarkEnd w:id="81"/>
    <w:tbl>
      <w:tblPr>
        <w:tblLayout w:type="fixed"/>
        <w:tblInd w:w="336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5040" w:type="dxa"/>
            <w:vAlign w:val="bottom"/>
            <w:gridSpan w:val="2"/>
          </w:tcPr>
          <w:p>
            <w:pPr>
              <w:ind w:left="780"/>
              <w:spacing w:after="0"/>
              <w:rPr>
                <w:sz w:val="20"/>
                <w:szCs w:val="20"/>
                <w:color w:val="auto"/>
              </w:rPr>
            </w:pPr>
            <w:r>
              <w:rPr>
                <w:rFonts w:ascii="Arial" w:cs="Arial" w:eastAsia="Arial" w:hAnsi="Arial"/>
                <w:sz w:val="18"/>
                <w:szCs w:val="18"/>
                <w:b w:val="1"/>
                <w:bCs w:val="1"/>
                <w:color w:val="auto"/>
              </w:rPr>
              <w:t>SCHEDULE I</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3"/>
        </w:trPr>
        <w:tc>
          <w:tcPr>
            <w:tcW w:w="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Optional</w:t>
            </w:r>
          </w:p>
        </w:tc>
      </w:tr>
      <w:tr>
        <w:trPr>
          <w:trHeight w:val="210"/>
        </w:trPr>
        <w:tc>
          <w:tcPr>
            <w:tcW w:w="9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5"/>
              </w:rPr>
              <w:t>Shares to be</w:t>
            </w:r>
          </w:p>
        </w:tc>
      </w:tr>
      <w:tr>
        <w:trPr>
          <w:trHeight w:val="210"/>
        </w:trPr>
        <w:tc>
          <w:tcPr>
            <w:tcW w:w="9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Total Number of</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if</w:t>
            </w:r>
          </w:p>
        </w:tc>
      </w:tr>
      <w:tr>
        <w:trPr>
          <w:trHeight w:val="210"/>
        </w:trPr>
        <w:tc>
          <w:tcPr>
            <w:tcW w:w="9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Firm Shares</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Maximum Option</w:t>
            </w:r>
          </w:p>
        </w:tc>
      </w:tr>
      <w:tr>
        <w:trPr>
          <w:trHeight w:val="189"/>
        </w:trPr>
        <w:tc>
          <w:tcPr>
            <w:tcW w:w="94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b w:val="1"/>
                <w:bCs w:val="1"/>
                <w:color w:val="auto"/>
                <w:w w:val="91"/>
              </w:rPr>
              <w:t>Underwriter</w:t>
            </w:r>
          </w:p>
        </w:tc>
        <w:tc>
          <w:tcPr>
            <w:tcW w:w="3340" w:type="dxa"/>
            <w:vAlign w:val="bottom"/>
          </w:tcPr>
          <w:p>
            <w:pPr>
              <w:spacing w:after="0"/>
              <w:rPr>
                <w:sz w:val="16"/>
                <w:szCs w:val="16"/>
                <w:color w:val="auto"/>
              </w:rPr>
            </w:pPr>
          </w:p>
        </w:tc>
        <w:tc>
          <w:tcPr>
            <w:tcW w:w="17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4"/>
              </w:rPr>
              <w:t>to be Purchased</w:t>
            </w:r>
          </w:p>
        </w:tc>
        <w:tc>
          <w:tcPr>
            <w:tcW w:w="220" w:type="dxa"/>
            <w:vAlign w:val="bottom"/>
          </w:tcPr>
          <w:p>
            <w:pPr>
              <w:spacing w:after="0"/>
              <w:rPr>
                <w:sz w:val="16"/>
                <w:szCs w:val="16"/>
                <w:color w:val="auto"/>
              </w:rPr>
            </w:pPr>
          </w:p>
        </w:tc>
        <w:tc>
          <w:tcPr>
            <w:tcW w:w="16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4"/>
              </w:rPr>
              <w:t>Exercised</w:t>
            </w:r>
          </w:p>
        </w:tc>
      </w:tr>
      <w:tr>
        <w:trPr>
          <w:trHeight w:val="20"/>
        </w:trPr>
        <w:tc>
          <w:tcPr>
            <w:tcW w:w="9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36130" cy="133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Goldman Sachs &amp; Co. LLC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133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7136130" cy="133350"/>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135890</wp:posOffset>
            </wp:positionV>
            <wp:extent cx="22866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2286635" cy="8255"/>
                    </a:xfrm>
                    <a:prstGeom prst="rect">
                      <a:avLst/>
                    </a:prstGeom>
                    <a:noFill/>
                  </pic:spPr>
                </pic:pic>
              </a:graphicData>
            </a:graphic>
          </wp:anchor>
        </w:drawing>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36130" cy="1504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7136130" cy="15049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82" w:name="page83"/>
    <w:bookmarkEnd w:id="82"/>
    <w:p>
      <w:pPr>
        <w:jc w:val="center"/>
        <w:ind w:right="-79"/>
        <w:spacing w:after="0"/>
        <w:rPr>
          <w:sz w:val="20"/>
          <w:szCs w:val="20"/>
          <w:color w:val="auto"/>
        </w:rPr>
      </w:pPr>
      <w:r>
        <w:rPr>
          <w:rFonts w:ascii="Arial" w:cs="Arial" w:eastAsia="Arial" w:hAnsi="Arial"/>
          <w:sz w:val="18"/>
          <w:szCs w:val="18"/>
          <w:b w:val="1"/>
          <w:bCs w:val="1"/>
          <w:color w:val="auto"/>
        </w:rPr>
        <w:t>SCHEDULE II</w:t>
      </w:r>
    </w:p>
    <w:p>
      <w:pPr>
        <w:spacing w:after="0" w:line="7" w:lineRule="exact"/>
        <w:rPr>
          <w:sz w:val="20"/>
          <w:szCs w:val="20"/>
          <w:color w:val="auto"/>
        </w:rPr>
      </w:pPr>
    </w:p>
    <w:tbl>
      <w:tblPr>
        <w:tblLayout w:type="fixed"/>
        <w:tblInd w:w="788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780" w:type="dxa"/>
            <w:vAlign w:val="bottom"/>
          </w:tcPr>
          <w:p>
            <w:pPr>
              <w:jc w:val="center"/>
              <w:ind w:left="172"/>
              <w:spacing w:after="0"/>
              <w:rPr>
                <w:sz w:val="20"/>
                <w:szCs w:val="20"/>
                <w:color w:val="auto"/>
              </w:rPr>
            </w:pPr>
            <w:r>
              <w:rPr>
                <w:rFonts w:ascii="Arial" w:cs="Arial" w:eastAsia="Arial" w:hAnsi="Arial"/>
                <w:sz w:val="18"/>
                <w:szCs w:val="18"/>
                <w:b w:val="1"/>
                <w:bCs w:val="1"/>
                <w:color w:val="auto"/>
                <w:w w:val="90"/>
              </w:rPr>
              <w:t>Number of Optional</w:t>
            </w:r>
          </w:p>
        </w:tc>
      </w:tr>
      <w:tr>
        <w:trPr>
          <w:trHeight w:val="210"/>
        </w:trPr>
        <w:tc>
          <w:tcPr>
            <w:tcW w:w="1500" w:type="dxa"/>
            <w:vAlign w:val="bottom"/>
          </w:tcPr>
          <w:p>
            <w:pPr>
              <w:spacing w:after="0"/>
              <w:rPr>
                <w:sz w:val="18"/>
                <w:szCs w:val="18"/>
                <w:color w:val="auto"/>
              </w:rPr>
            </w:pPr>
          </w:p>
        </w:tc>
        <w:tc>
          <w:tcPr>
            <w:tcW w:w="1780" w:type="dxa"/>
            <w:vAlign w:val="bottom"/>
          </w:tcPr>
          <w:p>
            <w:pPr>
              <w:jc w:val="center"/>
              <w:ind w:left="172"/>
              <w:spacing w:after="0"/>
              <w:rPr>
                <w:sz w:val="20"/>
                <w:szCs w:val="20"/>
                <w:color w:val="auto"/>
              </w:rPr>
            </w:pPr>
            <w:r>
              <w:rPr>
                <w:rFonts w:ascii="Arial" w:cs="Arial" w:eastAsia="Arial" w:hAnsi="Arial"/>
                <w:sz w:val="18"/>
                <w:szCs w:val="18"/>
                <w:b w:val="1"/>
                <w:bCs w:val="1"/>
                <w:color w:val="auto"/>
                <w:w w:val="85"/>
              </w:rPr>
              <w:t>Shares to be</w:t>
            </w:r>
          </w:p>
        </w:tc>
      </w:tr>
      <w:tr>
        <w:trPr>
          <w:trHeight w:val="210"/>
        </w:trPr>
        <w:tc>
          <w:tcPr>
            <w:tcW w:w="1500" w:type="dxa"/>
            <w:vAlign w:val="bottom"/>
          </w:tcPr>
          <w:p>
            <w:pPr>
              <w:jc w:val="center"/>
              <w:ind w:right="192"/>
              <w:spacing w:after="0"/>
              <w:rPr>
                <w:sz w:val="20"/>
                <w:szCs w:val="20"/>
                <w:color w:val="auto"/>
              </w:rPr>
            </w:pPr>
            <w:r>
              <w:rPr>
                <w:rFonts w:ascii="Arial" w:cs="Arial" w:eastAsia="Arial" w:hAnsi="Arial"/>
                <w:sz w:val="18"/>
                <w:szCs w:val="18"/>
                <w:b w:val="1"/>
                <w:bCs w:val="1"/>
                <w:color w:val="auto"/>
                <w:w w:val="88"/>
              </w:rPr>
              <w:t>Total Number of</w:t>
            </w:r>
          </w:p>
        </w:tc>
        <w:tc>
          <w:tcPr>
            <w:tcW w:w="1780" w:type="dxa"/>
            <w:vAlign w:val="bottom"/>
          </w:tcPr>
          <w:p>
            <w:pPr>
              <w:jc w:val="center"/>
              <w:ind w:left="172"/>
              <w:spacing w:after="0"/>
              <w:rPr>
                <w:sz w:val="20"/>
                <w:szCs w:val="20"/>
                <w:color w:val="auto"/>
              </w:rPr>
            </w:pPr>
            <w:r>
              <w:rPr>
                <w:rFonts w:ascii="Arial" w:cs="Arial" w:eastAsia="Arial" w:hAnsi="Arial"/>
                <w:sz w:val="18"/>
                <w:szCs w:val="18"/>
                <w:b w:val="1"/>
                <w:bCs w:val="1"/>
                <w:color w:val="auto"/>
                <w:w w:val="87"/>
              </w:rPr>
              <w:t>Sold if</w:t>
            </w:r>
          </w:p>
        </w:tc>
      </w:tr>
      <w:tr>
        <w:trPr>
          <w:trHeight w:val="210"/>
        </w:trPr>
        <w:tc>
          <w:tcPr>
            <w:tcW w:w="1500" w:type="dxa"/>
            <w:vAlign w:val="bottom"/>
          </w:tcPr>
          <w:p>
            <w:pPr>
              <w:jc w:val="center"/>
              <w:ind w:right="192"/>
              <w:spacing w:after="0"/>
              <w:rPr>
                <w:sz w:val="20"/>
                <w:szCs w:val="20"/>
                <w:color w:val="auto"/>
              </w:rPr>
            </w:pPr>
            <w:r>
              <w:rPr>
                <w:rFonts w:ascii="Arial" w:cs="Arial" w:eastAsia="Arial" w:hAnsi="Arial"/>
                <w:sz w:val="18"/>
                <w:szCs w:val="18"/>
                <w:b w:val="1"/>
                <w:bCs w:val="1"/>
                <w:color w:val="auto"/>
                <w:w w:val="90"/>
              </w:rPr>
              <w:t>Firm Shares</w:t>
            </w:r>
          </w:p>
        </w:tc>
        <w:tc>
          <w:tcPr>
            <w:tcW w:w="1780" w:type="dxa"/>
            <w:vAlign w:val="bottom"/>
          </w:tcPr>
          <w:p>
            <w:pPr>
              <w:jc w:val="center"/>
              <w:ind w:left="172"/>
              <w:spacing w:after="0"/>
              <w:rPr>
                <w:sz w:val="20"/>
                <w:szCs w:val="20"/>
                <w:color w:val="auto"/>
              </w:rPr>
            </w:pPr>
            <w:r>
              <w:rPr>
                <w:rFonts w:ascii="Arial" w:cs="Arial" w:eastAsia="Arial" w:hAnsi="Arial"/>
                <w:sz w:val="18"/>
                <w:szCs w:val="18"/>
                <w:b w:val="1"/>
                <w:bCs w:val="1"/>
                <w:color w:val="auto"/>
                <w:w w:val="93"/>
              </w:rPr>
              <w:t>Maximum Option</w:t>
            </w:r>
          </w:p>
        </w:tc>
      </w:tr>
      <w:tr>
        <w:trPr>
          <w:trHeight w:val="228"/>
        </w:trPr>
        <w:tc>
          <w:tcPr>
            <w:tcW w:w="1500" w:type="dxa"/>
            <w:vAlign w:val="bottom"/>
          </w:tcPr>
          <w:p>
            <w:pPr>
              <w:jc w:val="center"/>
              <w:ind w:right="192"/>
              <w:spacing w:after="0"/>
              <w:rPr>
                <w:sz w:val="20"/>
                <w:szCs w:val="20"/>
                <w:color w:val="auto"/>
              </w:rPr>
            </w:pPr>
            <w:r>
              <w:rPr>
                <w:rFonts w:ascii="Arial" w:cs="Arial" w:eastAsia="Arial" w:hAnsi="Arial"/>
                <w:sz w:val="18"/>
                <w:szCs w:val="18"/>
                <w:b w:val="1"/>
                <w:bCs w:val="1"/>
                <w:color w:val="auto"/>
                <w:w w:val="84"/>
              </w:rPr>
              <w:t>to be Sold</w:t>
            </w:r>
          </w:p>
        </w:tc>
        <w:tc>
          <w:tcPr>
            <w:tcW w:w="1780" w:type="dxa"/>
            <w:vAlign w:val="bottom"/>
          </w:tcPr>
          <w:p>
            <w:pPr>
              <w:jc w:val="center"/>
              <w:ind w:left="172"/>
              <w:spacing w:after="0"/>
              <w:rPr>
                <w:sz w:val="20"/>
                <w:szCs w:val="20"/>
                <w:color w:val="auto"/>
              </w:rPr>
            </w:pPr>
            <w:r>
              <w:rPr>
                <w:rFonts w:ascii="Arial" w:cs="Arial" w:eastAsia="Arial" w:hAnsi="Arial"/>
                <w:sz w:val="18"/>
                <w:szCs w:val="18"/>
                <w:b w:val="1"/>
                <w:bCs w:val="1"/>
                <w:color w:val="auto"/>
                <w:w w:val="84"/>
              </w:rPr>
              <w:t>Exercised</w:t>
            </w:r>
          </w:p>
        </w:tc>
      </w:tr>
    </w:tbl>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36130" cy="141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b w:val="1"/>
          <w:bCs w:val="1"/>
          <w:color w:val="auto"/>
        </w:rPr>
        <w:t>Intel Overseas Funding Corporation(a)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36130" cy="133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4852670</wp:posOffset>
            </wp:positionH>
            <wp:positionV relativeFrom="paragraph">
              <wp:posOffset>-123190</wp:posOffset>
            </wp:positionV>
            <wp:extent cx="22866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2286635" cy="8255"/>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18415</wp:posOffset>
            </wp:positionV>
            <wp:extent cx="2286635"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228663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168275</wp:posOffset>
            </wp:positionV>
            <wp:extent cx="1786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178625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            The address for the Selling Stockholder is 2200 Mission College Blvd., Santa Clara, CA 95052, MA_LegalNotice@intel.com.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1361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160"/>
          </w:cols>
          <w:pgMar w:left="320" w:top="883" w:right="419" w:bottom="1440" w:gutter="0" w:footer="0" w:header="0"/>
        </w:sectPr>
      </w:pPr>
    </w:p>
    <w:bookmarkStart w:id="83" w:name="page84"/>
    <w:bookmarkEnd w:id="83"/>
    <w:p>
      <w:pPr>
        <w:ind w:left="5015"/>
        <w:spacing w:after="0"/>
        <w:rPr>
          <w:sz w:val="20"/>
          <w:szCs w:val="20"/>
          <w:color w:val="auto"/>
        </w:rPr>
      </w:pPr>
      <w:r>
        <w:rPr>
          <w:rFonts w:ascii="Arial" w:cs="Arial" w:eastAsia="Arial" w:hAnsi="Arial"/>
          <w:sz w:val="18"/>
          <w:szCs w:val="18"/>
          <w:b w:val="1"/>
          <w:bCs w:val="1"/>
          <w:color w:val="auto"/>
        </w:rPr>
        <w:t>SCHEDULE III</w:t>
      </w:r>
    </w:p>
    <w:p>
      <w:pPr>
        <w:spacing w:after="0" w:line="220" w:lineRule="exact"/>
        <w:rPr>
          <w:sz w:val="20"/>
          <w:szCs w:val="20"/>
          <w:color w:val="auto"/>
        </w:rPr>
      </w:pPr>
    </w:p>
    <w:p>
      <w:pPr>
        <w:ind w:left="955" w:right="3759" w:hanging="955"/>
        <w:spacing w:after="0" w:line="487" w:lineRule="auto"/>
        <w:tabs>
          <w:tab w:leader="none" w:pos="639" w:val="left"/>
        </w:tabs>
        <w:numPr>
          <w:ilvl w:val="0"/>
          <w:numId w:val="47"/>
        </w:numPr>
        <w:rPr>
          <w:rFonts w:ascii="Arial" w:cs="Arial" w:eastAsia="Arial" w:hAnsi="Arial"/>
          <w:sz w:val="18"/>
          <w:szCs w:val="18"/>
          <w:color w:val="010000"/>
        </w:rPr>
      </w:pPr>
      <w:r>
        <w:rPr>
          <w:rFonts w:ascii="Arial" w:cs="Arial" w:eastAsia="Arial" w:hAnsi="Arial"/>
          <w:sz w:val="18"/>
          <w:szCs w:val="18"/>
          <w:i w:val="1"/>
          <w:iCs w:val="1"/>
          <w:color w:val="auto"/>
        </w:rPr>
        <w:t xml:space="preserve">Issuer Free Writing Prospectuses not included in the Pricing Disclosure Package: </w:t>
      </w:r>
      <w:r>
        <w:rPr>
          <w:rFonts w:ascii="Arial" w:cs="Arial" w:eastAsia="Arial" w:hAnsi="Arial"/>
          <w:sz w:val="18"/>
          <w:szCs w:val="18"/>
          <w:color w:val="auto"/>
        </w:rPr>
        <w:t>Electronic roadshow made available on: [•]</w:t>
      </w:r>
    </w:p>
    <w:p>
      <w:pPr>
        <w:spacing w:after="0" w:line="1" w:lineRule="exact"/>
        <w:rPr>
          <w:rFonts w:ascii="Arial" w:cs="Arial" w:eastAsia="Arial" w:hAnsi="Arial"/>
          <w:sz w:val="18"/>
          <w:szCs w:val="18"/>
          <w:color w:val="010000"/>
        </w:rPr>
      </w:pPr>
    </w:p>
    <w:p>
      <w:pPr>
        <w:ind w:left="635" w:hanging="635"/>
        <w:spacing w:after="0"/>
        <w:tabs>
          <w:tab w:leader="none" w:pos="635" w:val="left"/>
        </w:tabs>
        <w:numPr>
          <w:ilvl w:val="0"/>
          <w:numId w:val="47"/>
        </w:numPr>
        <w:rPr>
          <w:rFonts w:ascii="Arial" w:cs="Arial" w:eastAsia="Arial" w:hAnsi="Arial"/>
          <w:sz w:val="18"/>
          <w:szCs w:val="18"/>
          <w:color w:val="010000"/>
        </w:rPr>
      </w:pPr>
      <w:r>
        <w:rPr>
          <w:rFonts w:ascii="Arial" w:cs="Arial" w:eastAsia="Arial" w:hAnsi="Arial"/>
          <w:sz w:val="18"/>
          <w:szCs w:val="18"/>
          <w:i w:val="1"/>
          <w:iCs w:val="1"/>
          <w:color w:val="auto"/>
        </w:rPr>
        <w:t>Additional Documents Incorporated by Reference:</w:t>
      </w:r>
    </w:p>
    <w:p>
      <w:pPr>
        <w:spacing w:after="0" w:line="214" w:lineRule="exact"/>
        <w:rPr>
          <w:sz w:val="20"/>
          <w:szCs w:val="20"/>
          <w:color w:val="auto"/>
        </w:rPr>
      </w:pPr>
    </w:p>
    <w:p>
      <w:pPr>
        <w:ind w:left="955"/>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ind w:left="955" w:right="2939" w:hanging="955"/>
        <w:spacing w:after="0" w:line="487" w:lineRule="auto"/>
        <w:tabs>
          <w:tab w:leader="none" w:pos="639" w:val="left"/>
        </w:tabs>
        <w:numPr>
          <w:ilvl w:val="0"/>
          <w:numId w:val="48"/>
        </w:numPr>
        <w:rPr>
          <w:rFonts w:ascii="Arial" w:cs="Arial" w:eastAsia="Arial" w:hAnsi="Arial"/>
          <w:sz w:val="18"/>
          <w:szCs w:val="18"/>
          <w:color w:val="010000"/>
        </w:rPr>
      </w:pPr>
      <w:r>
        <w:rPr>
          <w:rFonts w:ascii="Arial" w:cs="Arial" w:eastAsia="Arial" w:hAnsi="Arial"/>
          <w:sz w:val="18"/>
          <w:szCs w:val="18"/>
          <w:i w:val="1"/>
          <w:iCs w:val="1"/>
          <w:color w:val="auto"/>
        </w:rPr>
        <w:t>Information other than the Pricing Prospectus that comprise the Pricing Disclosure Package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offering price per share for the Shares is $[•].</w:t>
      </w:r>
    </w:p>
    <w:p>
      <w:pPr>
        <w:spacing w:after="0" w:line="1" w:lineRule="exact"/>
        <w:rPr>
          <w:rFonts w:ascii="Arial" w:cs="Arial" w:eastAsia="Arial" w:hAnsi="Arial"/>
          <w:sz w:val="18"/>
          <w:szCs w:val="18"/>
          <w:color w:val="010000"/>
        </w:rPr>
      </w:pPr>
    </w:p>
    <w:p>
      <w:pPr>
        <w:ind w:left="955"/>
        <w:spacing w:after="0"/>
        <w:rPr>
          <w:rFonts w:ascii="Arial" w:cs="Arial" w:eastAsia="Arial" w:hAnsi="Arial"/>
          <w:sz w:val="18"/>
          <w:szCs w:val="18"/>
          <w:color w:val="010000"/>
        </w:rPr>
      </w:pPr>
      <w:r>
        <w:rPr>
          <w:rFonts w:ascii="Arial" w:cs="Arial" w:eastAsia="Arial" w:hAnsi="Arial"/>
          <w:sz w:val="18"/>
          <w:szCs w:val="18"/>
          <w:color w:val="auto"/>
        </w:rPr>
        <w:t>The number of Shares purchased by the Underwriters is [•].</w:t>
      </w:r>
    </w:p>
    <w:p>
      <w:pPr>
        <w:spacing w:after="0" w:line="213" w:lineRule="exact"/>
        <w:rPr>
          <w:rFonts w:ascii="Arial" w:cs="Arial" w:eastAsia="Arial" w:hAnsi="Arial"/>
          <w:sz w:val="18"/>
          <w:szCs w:val="18"/>
          <w:color w:val="010000"/>
        </w:rPr>
      </w:pPr>
    </w:p>
    <w:p>
      <w:pPr>
        <w:ind w:left="635" w:hanging="635"/>
        <w:spacing w:after="0"/>
        <w:tabs>
          <w:tab w:leader="none" w:pos="635" w:val="left"/>
        </w:tabs>
        <w:numPr>
          <w:ilvl w:val="0"/>
          <w:numId w:val="48"/>
        </w:numPr>
        <w:rPr>
          <w:rFonts w:ascii="Arial" w:cs="Arial" w:eastAsia="Arial" w:hAnsi="Arial"/>
          <w:sz w:val="18"/>
          <w:szCs w:val="18"/>
          <w:color w:val="010000"/>
        </w:rPr>
      </w:pPr>
      <w:r>
        <w:rPr>
          <w:rFonts w:ascii="Arial" w:cs="Arial" w:eastAsia="Arial" w:hAnsi="Arial"/>
          <w:sz w:val="18"/>
          <w:szCs w:val="18"/>
          <w:i w:val="1"/>
          <w:iCs w:val="1"/>
          <w:color w:val="auto"/>
        </w:rPr>
        <w:t>Written Testing-the-Waters Communications</w:t>
      </w:r>
      <w:r>
        <w:rPr>
          <w:rFonts w:ascii="Arial" w:cs="Arial" w:eastAsia="Arial" w:hAnsi="Arial"/>
          <w:sz w:val="18"/>
          <w:szCs w:val="18"/>
          <w:color w:val="auto"/>
        </w:rPr>
        <w:t>:</w:t>
      </w:r>
    </w:p>
    <w:p>
      <w:pPr>
        <w:spacing w:after="0" w:line="214" w:lineRule="exact"/>
        <w:rPr>
          <w:sz w:val="20"/>
          <w:szCs w:val="20"/>
          <w:color w:val="auto"/>
        </w:rPr>
      </w:pPr>
    </w:p>
    <w:p>
      <w:pPr>
        <w:ind w:left="955"/>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1361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134"/>
          </w:cols>
          <w:pgMar w:left="325" w:top="883" w:right="1440" w:bottom="1440" w:gutter="0" w:footer="0" w:header="0"/>
        </w:sectPr>
      </w:pPr>
    </w:p>
    <w:bookmarkStart w:id="84" w:name="page85"/>
    <w:bookmarkEnd w:id="84"/>
    <w:p>
      <w:pPr>
        <w:spacing w:after="0" w:line="200" w:lineRule="exact"/>
        <w:rPr>
          <w:sz w:val="20"/>
          <w:szCs w:val="20"/>
          <w:color w:val="auto"/>
        </w:rPr>
      </w:pPr>
    </w:p>
    <w:p>
      <w:pPr>
        <w:spacing w:after="0" w:line="288"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 xml:space="preserve">Davis Polk &amp; Wardwell </w:t>
      </w:r>
      <w:r>
        <w:rPr>
          <w:rFonts w:ascii="Arial" w:cs="Arial" w:eastAsia="Arial" w:hAnsi="Arial"/>
          <w:sz w:val="10"/>
          <w:szCs w:val="10"/>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1085215" cy="2501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1085215" cy="250190"/>
                    </a:xfrm>
                    <a:prstGeom prst="rect">
                      <a:avLst/>
                    </a:prstGeom>
                    <a:noFill/>
                  </pic:spPr>
                </pic:pic>
              </a:graphicData>
            </a:graphic>
          </wp:anchor>
        </w:drawing>
      </w:r>
    </w:p>
    <w:p>
      <w:pPr>
        <w:spacing w:after="0" w:line="1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450 Lexington Avenue</w:t>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New York, NY 10017</w:t>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davispolk.com</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June 5,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Mobileye Global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Mobileye B.V.</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Har Hotzvim, 13 Hartom Street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P.O. Box 45157</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Jerusalem 9777513, Israel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9"/>
          <w:szCs w:val="19"/>
          <w:b w:val="1"/>
          <w:bCs w:val="1"/>
          <w:color w:val="auto"/>
        </w:rPr>
        <w:t>Exhibit 5.1</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FFFFFF"/>
        </w:rPr>
        <w:t>DRAFT</w:t>
      </w:r>
    </w:p>
    <w:p>
      <w:pPr>
        <w:spacing w:after="0" w:line="2877" w:lineRule="exact"/>
        <w:rPr>
          <w:sz w:val="20"/>
          <w:szCs w:val="20"/>
          <w:color w:val="auto"/>
        </w:rPr>
      </w:pPr>
    </w:p>
    <w:p>
      <w:pPr>
        <w:sectPr>
          <w:pgSz w:w="11900" w:h="16838" w:orient="portrait"/>
          <w:cols w:equalWidth="0" w:num="2">
            <w:col w:w="9540" w:space="720"/>
            <w:col w:w="980"/>
          </w:cols>
          <w:pgMar w:left="320" w:top="349" w:right="339" w:bottom="1440" w:gutter="0" w:footer="0" w:header="0"/>
        </w:sectPr>
      </w:pPr>
    </w:p>
    <w:p>
      <w:pPr>
        <w:spacing w:after="0" w:line="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Mobileye Global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has filed with the Securities and Exchange Commission a Registration Statement on Form S-1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related prospectus (the “</w:t>
      </w:r>
      <w:r>
        <w:rPr>
          <w:rFonts w:ascii="Arial" w:cs="Arial" w:eastAsia="Arial" w:hAnsi="Arial"/>
          <w:sz w:val="16"/>
          <w:szCs w:val="16"/>
          <w:b w:val="1"/>
          <w:bCs w:val="1"/>
          <w:color w:val="auto"/>
        </w:rPr>
        <w:t>Prospectus”</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40,250,000 shares of its Class A common stock, par value $0.01 per share (the “</w:t>
      </w:r>
      <w:r>
        <w:rPr>
          <w:rFonts w:ascii="Arial" w:cs="Arial" w:eastAsia="Arial" w:hAnsi="Arial"/>
          <w:sz w:val="16"/>
          <w:szCs w:val="16"/>
          <w:b w:val="1"/>
          <w:bCs w:val="1"/>
          <w:color w:val="auto"/>
        </w:rPr>
        <w:t>Class A Shares</w:t>
      </w:r>
      <w:r>
        <w:rPr>
          <w:rFonts w:ascii="Arial" w:cs="Arial" w:eastAsia="Arial" w:hAnsi="Arial"/>
          <w:sz w:val="16"/>
          <w:szCs w:val="16"/>
          <w:color w:val="auto"/>
        </w:rPr>
        <w:t>”), including 5,250,000 Class A Shares subject to the underwriters’ option to purchase additional shares, as described in the Registration Statement (which consists of up to 40,250,000 issued and outstanding shares of Class B common stock, par value $0.01 per share, to be exchanged for up to 40,250,000 Class A Shares stock in accordance with the Company’s amended and restated certificate of incorporation) (the “</w:t>
      </w:r>
      <w:r>
        <w:rPr>
          <w:rFonts w:ascii="Arial" w:cs="Arial" w:eastAsia="Arial" w:hAnsi="Arial"/>
          <w:sz w:val="16"/>
          <w:szCs w:val="16"/>
          <w:b w:val="1"/>
          <w:bCs w:val="1"/>
          <w:color w:val="auto"/>
        </w:rPr>
        <w:t>Exchange Shares</w:t>
      </w:r>
      <w:r>
        <w:rPr>
          <w:rFonts w:ascii="Arial" w:cs="Arial" w:eastAsia="Arial" w:hAnsi="Arial"/>
          <w:sz w:val="16"/>
          <w:szCs w:val="16"/>
          <w:color w:val="auto"/>
        </w:rPr>
        <w:t>”).</w:t>
      </w:r>
    </w:p>
    <w:p>
      <w:pPr>
        <w:spacing w:after="0" w:line="16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81"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92"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Based upon the foregoing, we advise you that, in our opinion, when the Class A Shares have been issued and delivered in exchange for the Exchange Shares in accordance with the terms of the Underwriting Agreement referred to in the prospectus which is a part of the Registration Statement and the Company’s amended and restated certificate of incorporation, the Class A Shares will be validly issued, fully paid and non-assessable.</w:t>
      </w:r>
    </w:p>
    <w:p>
      <w:pPr>
        <w:spacing w:after="0" w:line="15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General Corporation Law of the State of Delaware.</w:t>
      </w:r>
    </w:p>
    <w:p>
      <w:pPr>
        <w:spacing w:after="0" w:line="18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hereby consent to the filing of this opinion as an exhibit to the Registration Statement and further consent to the reference to our name under the caption “Legal Matters” in the Prospectus. In giving this consent, we do not admit that we are in the category of persons whose consent is required under Section 7 of the Securities 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427355</wp:posOffset>
            </wp:positionV>
            <wp:extent cx="71361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23.2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hereby consent to the incorporation by reference in this Registration Statement on Form S-1 of Mobileye Global Inc. of our report dated March 9, 2023 relating to the financial statements, which appears in Mobileye Global Inc.'s, Annual Report on Form 10-K for the year ended December 31, 2022. We also consent to the reference to us under the heading “Experts” in such Registration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Kesselman &amp; Kesselman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5718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357187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Certified Public Accountants (Isr.)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PricewaterhouseCoopers International Limited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1361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86" w:name="page87"/>
    <w:bookmarkEnd w:id="86"/>
    <w:p>
      <w:pPr>
        <w:ind w:left="10380"/>
        <w:spacing w:after="0"/>
        <w:rPr>
          <w:sz w:val="20"/>
          <w:szCs w:val="20"/>
          <w:color w:val="auto"/>
        </w:rPr>
      </w:pPr>
      <w:r>
        <w:rPr>
          <w:rFonts w:ascii="Arial" w:cs="Arial" w:eastAsia="Arial" w:hAnsi="Arial"/>
          <w:sz w:val="18"/>
          <w:szCs w:val="18"/>
          <w:b w:val="1"/>
          <w:bCs w:val="1"/>
          <w:color w:val="auto"/>
        </w:rPr>
        <w:t>Exhibit 107</w:t>
      </w: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Calculation of Filing Fee Tables</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32"/>
          <w:szCs w:val="32"/>
          <w:b w:val="1"/>
          <w:bCs w:val="1"/>
          <w:color w:val="auto"/>
        </w:rPr>
        <w:t>S-1</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(Form Type)</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32"/>
          <w:szCs w:val="32"/>
          <w:b w:val="1"/>
          <w:bCs w:val="1"/>
          <w:color w:val="auto"/>
        </w:rPr>
        <w:t>Mobileye Global Inc.</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Filing Fee</w:t>
            </w:r>
          </w:p>
        </w:tc>
        <w:tc>
          <w:tcPr>
            <w:tcW w:w="0" w:type="dxa"/>
            <w:vAlign w:val="bottom"/>
          </w:tcPr>
          <w:p>
            <w:pPr>
              <w:spacing w:after="0"/>
              <w:rPr>
                <w:sz w:val="1"/>
                <w:szCs w:val="1"/>
                <w:color w:val="auto"/>
              </w:rPr>
            </w:pPr>
          </w:p>
        </w:tc>
      </w:tr>
      <w:tr>
        <w:trPr>
          <w:trHeight w:val="145"/>
        </w:trPr>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Previously Paid</w:t>
            </w:r>
          </w:p>
        </w:tc>
        <w:tc>
          <w:tcPr>
            <w:tcW w:w="0" w:type="dxa"/>
            <w:vAlign w:val="bottom"/>
          </w:tcPr>
          <w:p>
            <w:pPr>
              <w:spacing w:after="0"/>
              <w:rPr>
                <w:sz w:val="1"/>
                <w:szCs w:val="1"/>
                <w:color w:val="auto"/>
              </w:rPr>
            </w:pPr>
          </w:p>
        </w:tc>
      </w:tr>
      <w:tr>
        <w:trPr>
          <w:trHeight w:val="145"/>
        </w:trPr>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2"/>
              </w:rPr>
              <w:t>Fee</w:t>
            </w:r>
          </w:p>
        </w:tc>
        <w:tc>
          <w:tcPr>
            <w:tcW w:w="94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Carry</w:t>
            </w: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In Connection</w:t>
            </w:r>
          </w:p>
        </w:tc>
        <w:tc>
          <w:tcPr>
            <w:tcW w:w="0" w:type="dxa"/>
            <w:vAlign w:val="bottom"/>
          </w:tcPr>
          <w:p>
            <w:pPr>
              <w:spacing w:after="0"/>
              <w:rPr>
                <w:sz w:val="1"/>
                <w:szCs w:val="1"/>
                <w:color w:val="auto"/>
              </w:rPr>
            </w:pPr>
          </w:p>
        </w:tc>
      </w:tr>
      <w:tr>
        <w:trPr>
          <w:trHeight w:val="145"/>
        </w:trPr>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9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7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Maximum</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Amount of</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Carry</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Carry</w:t>
            </w:r>
          </w:p>
        </w:tc>
        <w:tc>
          <w:tcPr>
            <w:tcW w:w="900" w:type="dxa"/>
            <w:vAlign w:val="bottom"/>
            <w:vMerge w:val="continue"/>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with Unsold</w:t>
            </w:r>
          </w:p>
        </w:tc>
        <w:tc>
          <w:tcPr>
            <w:tcW w:w="0" w:type="dxa"/>
            <w:vAlign w:val="bottom"/>
          </w:tcPr>
          <w:p>
            <w:pPr>
              <w:spacing w:after="0"/>
              <w:rPr>
                <w:sz w:val="1"/>
                <w:szCs w:val="1"/>
                <w:color w:val="auto"/>
              </w:rPr>
            </w:pPr>
          </w:p>
        </w:tc>
      </w:tr>
      <w:tr>
        <w:trPr>
          <w:trHeight w:val="145"/>
        </w:trPr>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Calculation</w:t>
            </w:r>
          </w:p>
        </w:tc>
        <w:tc>
          <w:tcPr>
            <w:tcW w:w="9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Maximum</w:t>
            </w:r>
          </w:p>
        </w:tc>
        <w:tc>
          <w:tcPr>
            <w:tcW w:w="17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Forward</w:t>
            </w: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145"/>
        </w:trPr>
        <w:tc>
          <w:tcPr>
            <w:tcW w:w="64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Security Type (1)</w:t>
            </w:r>
          </w:p>
        </w:tc>
        <w:tc>
          <w:tcPr>
            <w:tcW w:w="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5"/>
              </w:rPr>
              <w:t>Class</w:t>
            </w: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or Carry</w:t>
            </w:r>
          </w:p>
        </w:tc>
        <w:tc>
          <w:tcPr>
            <w:tcW w:w="940" w:type="dxa"/>
            <w:vAlign w:val="bottom"/>
            <w:vMerge w:val="continue"/>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Offering Price</w:t>
            </w:r>
          </w:p>
        </w:tc>
        <w:tc>
          <w:tcPr>
            <w:tcW w:w="1740" w:type="dxa"/>
            <w:vAlign w:val="bottom"/>
          </w:tcPr>
          <w:p>
            <w:pPr>
              <w:ind w:left="240"/>
              <w:spacing w:after="0" w:line="145" w:lineRule="exact"/>
              <w:rPr>
                <w:sz w:val="20"/>
                <w:szCs w:val="20"/>
                <w:color w:val="auto"/>
              </w:rPr>
            </w:pPr>
            <w:r>
              <w:rPr>
                <w:rFonts w:ascii="Arial" w:cs="Arial" w:eastAsia="Arial" w:hAnsi="Arial"/>
                <w:sz w:val="14"/>
                <w:szCs w:val="14"/>
                <w:b w:val="1"/>
                <w:bCs w:val="1"/>
                <w:color w:val="auto"/>
              </w:rPr>
              <w:t>Aggregate</w:t>
            </w: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Registration</w:t>
            </w: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Forward</w:t>
            </w:r>
          </w:p>
        </w:tc>
        <w:tc>
          <w:tcPr>
            <w:tcW w:w="8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Forward</w:t>
            </w: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Initial</w:t>
            </w: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to be Carried</w:t>
            </w: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Forward Rule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 (2)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Unit</w:t>
            </w:r>
          </w:p>
        </w:tc>
        <w:tc>
          <w:tcPr>
            <w:tcW w:w="1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Offering Price   Fee Rate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Fee (3)</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Form Type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File Number</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effective date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Forward</w:t>
            </w:r>
          </w:p>
        </w:tc>
        <w:tc>
          <w:tcPr>
            <w:tcW w:w="0" w:type="dxa"/>
            <w:vAlign w:val="bottom"/>
          </w:tcPr>
          <w:p>
            <w:pPr>
              <w:spacing w:after="0"/>
              <w:rPr>
                <w:sz w:val="1"/>
                <w:szCs w:val="1"/>
                <w:color w:val="auto"/>
              </w:rPr>
            </w:pPr>
          </w:p>
        </w:tc>
      </w:tr>
      <w:tr>
        <w:trPr>
          <w:trHeight w:val="309"/>
        </w:trPr>
        <w:tc>
          <w:tcPr>
            <w:tcW w:w="6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center"/>
              <w:ind w:left="90"/>
              <w:spacing w:after="0"/>
              <w:rPr>
                <w:sz w:val="20"/>
                <w:szCs w:val="20"/>
                <w:color w:val="auto"/>
              </w:rPr>
            </w:pPr>
            <w:r>
              <w:rPr>
                <w:rFonts w:ascii="Arial" w:cs="Arial" w:eastAsia="Arial" w:hAnsi="Arial"/>
                <w:sz w:val="14"/>
                <w:szCs w:val="14"/>
                <w:b w:val="1"/>
                <w:bCs w:val="1"/>
                <w:color w:val="auto"/>
                <w:w w:val="89"/>
              </w:rPr>
              <w:t>Newly Registered Securities</w:t>
            </w:r>
          </w:p>
        </w:tc>
        <w:tc>
          <w:tcPr>
            <w:tcW w:w="8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1"/>
              </w:rPr>
              <w:t>Class A</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7"/>
              </w:rPr>
              <w:t>Fees to Be</w:t>
            </w:r>
          </w:p>
        </w:tc>
        <w:tc>
          <w:tcPr>
            <w:tcW w:w="112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Arial" w:cs="Arial" w:eastAsia="Arial" w:hAnsi="Arial"/>
                <w:sz w:val="14"/>
                <w:szCs w:val="14"/>
                <w:color w:val="auto"/>
                <w:w w:val="89"/>
              </w:rPr>
              <w:t>common</w:t>
            </w: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0" w:type="dxa"/>
            <w:vAlign w:val="bottom"/>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2"/>
              </w:rPr>
              <w:t>Equity</w:t>
            </w: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w w:val="88"/>
              </w:rPr>
              <w:t>stock, par</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0"/>
              </w:rPr>
              <w:t>457(c)</w:t>
            </w:r>
          </w:p>
        </w:tc>
        <w:tc>
          <w:tcPr>
            <w:tcW w:w="940" w:type="dxa"/>
            <w:vAlign w:val="bottom"/>
            <w:vMerge w:val="restart"/>
          </w:tcPr>
          <w:p>
            <w:pPr>
              <w:jc w:val="right"/>
              <w:ind w:right="90"/>
              <w:spacing w:after="0"/>
              <w:rPr>
                <w:sz w:val="20"/>
                <w:szCs w:val="20"/>
                <w:color w:val="auto"/>
              </w:rPr>
            </w:pPr>
            <w:r>
              <w:rPr>
                <w:rFonts w:ascii="Arial" w:cs="Arial" w:eastAsia="Arial" w:hAnsi="Arial"/>
                <w:sz w:val="14"/>
                <w:szCs w:val="14"/>
                <w:color w:val="auto"/>
              </w:rPr>
              <w:t>40,250,000</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88"/>
              </w:rPr>
              <w:t>$44.47</w:t>
            </w:r>
          </w:p>
        </w:tc>
        <w:tc>
          <w:tcPr>
            <w:tcW w:w="1740" w:type="dxa"/>
            <w:vAlign w:val="bottom"/>
            <w:vMerge w:val="restart"/>
          </w:tcPr>
          <w:p>
            <w:pPr>
              <w:ind w:left="20"/>
              <w:spacing w:after="0"/>
              <w:rPr>
                <w:sz w:val="20"/>
                <w:szCs w:val="20"/>
                <w:color w:val="auto"/>
              </w:rPr>
            </w:pPr>
            <w:r>
              <w:rPr>
                <w:rFonts w:ascii="Arial" w:cs="Arial" w:eastAsia="Arial" w:hAnsi="Arial"/>
                <w:sz w:val="14"/>
                <w:szCs w:val="14"/>
                <w:color w:val="auto"/>
                <w:w w:val="90"/>
              </w:rPr>
              <w:t>$1,789,917,500.00 0.0001102</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89"/>
              </w:rPr>
              <w:t>$197,248.91</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64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Paid</w:t>
            </w:r>
          </w:p>
        </w:tc>
        <w:tc>
          <w:tcPr>
            <w:tcW w:w="1120" w:type="dxa"/>
            <w:vAlign w:val="bottom"/>
            <w:vMerge w:val="continue"/>
          </w:tcPr>
          <w:p>
            <w:pPr>
              <w:spacing w:after="0"/>
              <w:rPr>
                <w:sz w:val="9"/>
                <w:szCs w:val="9"/>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9"/>
              </w:rPr>
              <w:t>value</w:t>
            </w:r>
          </w:p>
        </w:tc>
        <w:tc>
          <w:tcPr>
            <w:tcW w:w="9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64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Arial" w:cs="Arial" w:eastAsia="Arial" w:hAnsi="Arial"/>
                <w:sz w:val="14"/>
                <w:szCs w:val="14"/>
                <w:color w:val="auto"/>
                <w:w w:val="87"/>
              </w:rPr>
              <w:t>$0.01 per</w:t>
            </w: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85"/>
              </w:rPr>
              <w:t>share</w:t>
            </w: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6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640" w:type="dxa"/>
            <w:vAlign w:val="bottom"/>
          </w:tcPr>
          <w:p>
            <w:pPr>
              <w:spacing w:after="0" w:line="141" w:lineRule="exact"/>
              <w:rPr>
                <w:sz w:val="20"/>
                <w:szCs w:val="20"/>
                <w:color w:val="auto"/>
              </w:rPr>
            </w:pPr>
            <w:r>
              <w:rPr>
                <w:rFonts w:ascii="Arial" w:cs="Arial" w:eastAsia="Arial" w:hAnsi="Arial"/>
                <w:sz w:val="14"/>
                <w:szCs w:val="14"/>
                <w:b w:val="1"/>
                <w:bCs w:val="1"/>
                <w:color w:val="auto"/>
              </w:rPr>
              <w:t>Fees</w:t>
            </w: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40" w:type="dxa"/>
            <w:vAlign w:val="bottom"/>
          </w:tcPr>
          <w:p>
            <w:pPr>
              <w:spacing w:after="0" w:line="145" w:lineRule="exact"/>
              <w:rPr>
                <w:sz w:val="20"/>
                <w:szCs w:val="20"/>
                <w:color w:val="auto"/>
              </w:rPr>
            </w:pPr>
            <w:r>
              <w:rPr>
                <w:rFonts w:ascii="Arial" w:cs="Arial" w:eastAsia="Arial" w:hAnsi="Arial"/>
                <w:sz w:val="14"/>
                <w:szCs w:val="14"/>
                <w:b w:val="1"/>
                <w:bCs w:val="1"/>
                <w:color w:val="auto"/>
                <w:w w:val="87"/>
              </w:rPr>
              <w:t>Previously</w:t>
            </w: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20"/>
                <w:szCs w:val="20"/>
                <w:color w:val="auto"/>
              </w:rPr>
            </w:pPr>
            <w:r>
              <w:rPr>
                <w:rFonts w:ascii="Arial" w:cs="Arial" w:eastAsia="Arial" w:hAnsi="Arial"/>
                <w:sz w:val="14"/>
                <w:szCs w:val="14"/>
                <w:b w:val="1"/>
                <w:bCs w:val="1"/>
                <w:color w:val="auto"/>
              </w:rPr>
              <w:t>Paid</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4"/>
                <w:szCs w:val="14"/>
                <w:b w:val="1"/>
                <w:bCs w:val="1"/>
                <w:color w:val="auto"/>
                <w:w w:val="92"/>
              </w:rPr>
              <w:t>Carry Forward Securities</w:t>
            </w:r>
          </w:p>
        </w:tc>
        <w:tc>
          <w:tcPr>
            <w:tcW w:w="8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40" w:type="dxa"/>
            <w:vAlign w:val="bottom"/>
          </w:tcPr>
          <w:p>
            <w:pPr>
              <w:spacing w:after="0" w:line="159" w:lineRule="exact"/>
              <w:rPr>
                <w:sz w:val="20"/>
                <w:szCs w:val="20"/>
                <w:color w:val="auto"/>
              </w:rPr>
            </w:pPr>
            <w:r>
              <w:rPr>
                <w:rFonts w:ascii="Arial" w:cs="Arial" w:eastAsia="Arial" w:hAnsi="Arial"/>
                <w:sz w:val="14"/>
                <w:szCs w:val="14"/>
                <w:color w:val="auto"/>
              </w:rPr>
              <w:t>Carry</w:t>
            </w: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40" w:type="dxa"/>
            <w:vAlign w:val="bottom"/>
          </w:tcPr>
          <w:p>
            <w:pPr>
              <w:spacing w:after="0" w:line="145" w:lineRule="exact"/>
              <w:rPr>
                <w:sz w:val="20"/>
                <w:szCs w:val="20"/>
                <w:color w:val="auto"/>
              </w:rPr>
            </w:pPr>
            <w:r>
              <w:rPr>
                <w:rFonts w:ascii="Arial" w:cs="Arial" w:eastAsia="Arial" w:hAnsi="Arial"/>
                <w:sz w:val="14"/>
                <w:szCs w:val="14"/>
                <w:color w:val="auto"/>
              </w:rPr>
              <w:t>Forward</w:t>
            </w: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40" w:type="dxa"/>
            <w:vAlign w:val="bottom"/>
          </w:tcPr>
          <w:p>
            <w:pPr>
              <w:spacing w:after="0"/>
              <w:rPr>
                <w:sz w:val="20"/>
                <w:szCs w:val="20"/>
                <w:color w:val="auto"/>
              </w:rPr>
            </w:pPr>
            <w:r>
              <w:rPr>
                <w:rFonts w:ascii="Arial" w:cs="Arial" w:eastAsia="Arial" w:hAnsi="Arial"/>
                <w:sz w:val="14"/>
                <w:szCs w:val="14"/>
                <w:color w:val="auto"/>
              </w:rPr>
              <w:t>Securities</w:t>
            </w:r>
          </w:p>
        </w:tc>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Offering Amounts</w:t>
            </w: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89"/>
              </w:rPr>
              <w:t>$197,248.91</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ind w:left="20"/>
              <w:spacing w:after="0"/>
              <w:rPr>
                <w:sz w:val="20"/>
                <w:szCs w:val="20"/>
                <w:color w:val="auto"/>
              </w:rPr>
            </w:pPr>
            <w:r>
              <w:rPr>
                <w:rFonts w:ascii="Arial" w:cs="Arial" w:eastAsia="Arial" w:hAnsi="Arial"/>
                <w:sz w:val="14"/>
                <w:szCs w:val="14"/>
                <w:color w:val="auto"/>
              </w:rPr>
              <w:t>$1,789,917,500.00</w:t>
            </w:r>
          </w:p>
        </w:tc>
        <w:tc>
          <w:tcPr>
            <w:tcW w:w="84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640" w:type="dxa"/>
            <w:vAlign w:val="bottom"/>
          </w:tcPr>
          <w:p>
            <w:pPr>
              <w:spacing w:after="0"/>
              <w:rPr>
                <w:sz w:val="10"/>
                <w:szCs w:val="10"/>
                <w:color w:val="auto"/>
              </w:rPr>
            </w:pPr>
          </w:p>
        </w:tc>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Total Fees Previously Paid</w:t>
            </w: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6"/>
              </w:rPr>
              <w:t>Total Fee Offsets</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Net Fee Due</w:t>
            </w: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$197,248.91</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640" w:right="120" w:hanging="319"/>
        <w:spacing w:after="0" w:line="261"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securities are being registered solely in connection with the resale of ordinary shares by the selling stockholder named in the registration statement to which this exhibit relates (the “Selling Stockholder”).</w:t>
      </w:r>
    </w:p>
    <w:p>
      <w:pPr>
        <w:spacing w:after="0" w:line="180" w:lineRule="exact"/>
        <w:rPr>
          <w:rFonts w:ascii="Arial" w:cs="Arial" w:eastAsia="Arial" w:hAnsi="Arial"/>
          <w:sz w:val="18"/>
          <w:szCs w:val="18"/>
          <w:color w:val="auto"/>
        </w:rPr>
      </w:pPr>
    </w:p>
    <w:p>
      <w:pPr>
        <w:ind w:left="640" w:right="280" w:hanging="319"/>
        <w:spacing w:after="0" w:line="261"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shares of Class A common stock, par value $0.01 per share (“Class A common stock”), of Mobileye Global Inc. (“Mobileye”) subject to the underwriters’ option to purchase additional shares from the Selling Stockholder.</w:t>
      </w:r>
    </w:p>
    <w:p>
      <w:pPr>
        <w:spacing w:after="0" w:line="180" w:lineRule="exact"/>
        <w:rPr>
          <w:rFonts w:ascii="Arial" w:cs="Arial" w:eastAsia="Arial" w:hAnsi="Arial"/>
          <w:sz w:val="18"/>
          <w:szCs w:val="18"/>
          <w:color w:val="auto"/>
        </w:rPr>
      </w:pPr>
    </w:p>
    <w:p>
      <w:pPr>
        <w:ind w:left="640" w:right="200" w:hanging="319"/>
        <w:spacing w:after="0" w:line="290" w:lineRule="auto"/>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an aggregate of up to 40,250,000 shares of Class A common stock issuable upon conversion of shares of Class B common stock, par value $0.01 per share, of Mobileye held by and registered for resale by the Selling Stockholder. Pursuant to Rule 457(c), the proposed maximum offering price per share of Class A common stock registered hereunder is based on the average of the high and low prices of the Class A common stock as reported on The Nasdaq Global Select Market on May 31, 2023, which was approximately $44.47 per share.</w:t>
      </w:r>
    </w:p>
    <w:p>
      <w:pPr>
        <w:spacing w:after="0" w:line="37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1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sectPr>
      <w:pgSz w:w="11900" w:h="16838" w:orient="portrait"/>
      <w:cols w:equalWidth="0" w:num="1">
        <w:col w:w="11340"/>
      </w:cols>
      <w:pgMar w:left="320" w:top="3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lvl w:ilvl="1">
      <w:lvlJc w:val="left"/>
      <w:lvlText w:val="(%2)"/>
      <w:numFmt w:val="lowerRoman"/>
      <w:start w:val="3"/>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5"/>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lowerRoman"/>
      <w:start w:val="1"/>
    </w:lvl>
  </w:abstractNum>
  <w:abstractNum w:abstractNumId="14">
    <w:nsid w:val="6CEAF087"/>
    <w:multiLevelType w:val="hybridMultilevel"/>
    <w:lvl w:ilvl="0">
      <w:lvlJc w:val="left"/>
      <w:lvlText w:val="(%1)"/>
      <w:numFmt w:val="lowerRoman"/>
      <w:start w:val="1"/>
    </w:lvl>
  </w:abstractNum>
  <w:abstractNum w:abstractNumId="15">
    <w:nsid w:val="22221A70"/>
    <w:multiLevelType w:val="hybridMultilevel"/>
    <w:lvl w:ilvl="0">
      <w:lvlJc w:val="left"/>
      <w:lvlText w:val="(%1)"/>
      <w:numFmt w:val="lowerRoman"/>
      <w:start w:val="2"/>
    </w:lvl>
    <w:lvl w:ilvl="1">
      <w:lvlJc w:val="left"/>
      <w:lvlText w:val="(%2)"/>
      <w:numFmt w:val="upperLetter"/>
      <w:start w:val="2"/>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Roman"/>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Roman"/>
      <w:start w:val="2"/>
    </w:lvl>
  </w:abstractNum>
  <w:abstractNum w:abstractNumId="21">
    <w:nsid w:val="440BADFC"/>
    <w:multiLevelType w:val="hybridMultilevel"/>
    <w:lvl w:ilvl="0">
      <w:lvlJc w:val="left"/>
      <w:lvlText w:val="(%1)"/>
      <w:numFmt w:val="decimal"/>
      <w:start w:val="3"/>
    </w:lvl>
  </w:abstractNum>
  <w:abstractNum w:abstractNumId="22">
    <w:nsid w:val="5072367"/>
    <w:multiLevelType w:val="hybridMultilevel"/>
    <w:lvl w:ilvl="0">
      <w:lvlJc w:val="left"/>
      <w:lvlText w:val="(%1)"/>
      <w:numFmt w:val="decimal"/>
      <w:start w:val="5"/>
    </w:lvl>
  </w:abstractNum>
  <w:abstractNum w:abstractNumId="23">
    <w:nsid w:val="3804823E"/>
    <w:multiLevelType w:val="hybridMultilevel"/>
    <w:lvl w:ilvl="0">
      <w:lvlJc w:val="left"/>
      <w:lvlText w:val="(%1)"/>
      <w:numFmt w:val="decimal"/>
      <w:start w:val="3"/>
    </w:lvl>
  </w:abstractNum>
  <w:abstractNum w:abstractNumId="24">
    <w:nsid w:val="77465F01"/>
    <w:multiLevelType w:val="hybridMultilevel"/>
    <w:lvl w:ilvl="0">
      <w:lvlJc w:val="left"/>
      <w:lvlText w:val="(%1)"/>
      <w:numFmt w:val="decimal"/>
      <w:start w:val="5"/>
    </w:lvl>
  </w:abstractNum>
  <w:abstractNum w:abstractNumId="25">
    <w:nsid w:val="7724C67E"/>
    <w:multiLevelType w:val="hybridMultilevel"/>
    <w:lvl w:ilvl="0">
      <w:lvlJc w:val="left"/>
      <w:lvlText w:val="&amp;"/>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2"/>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upperLetter"/>
      <w:start w:val="2"/>
    </w:lvl>
  </w:abstractNum>
  <w:abstractNum w:abstractNumId="37">
    <w:nsid w:val="1D4ED43B"/>
    <w:multiLevelType w:val="hybridMultilevel"/>
    <w:lvl w:ilvl="0">
      <w:lvlJc w:val="left"/>
      <w:lvlText w:val="(%1)"/>
      <w:numFmt w:val="upperLetter"/>
      <w:start w:val="5"/>
    </w:lvl>
  </w:abstractNum>
  <w:abstractNum w:abstractNumId="38">
    <w:nsid w:val="725A06FB"/>
    <w:multiLevelType w:val="hybridMultilevel"/>
    <w:lvl w:ilvl="0">
      <w:lvlJc w:val="left"/>
      <w:lvlText w:val="(%1)"/>
      <w:numFmt w:val="upperLetter"/>
      <w:start w:val="5"/>
    </w:lvl>
  </w:abstractNum>
  <w:abstractNum w:abstractNumId="39">
    <w:nsid w:val="2CD89A32"/>
    <w:multiLevelType w:val="hybridMultilevel"/>
    <w:lvl w:ilvl="0">
      <w:lvlJc w:val="left"/>
      <w:lvlText w:val="(%1)"/>
      <w:numFmt w:val="lowerRoman"/>
      <w:start w:val="2"/>
    </w:lvl>
  </w:abstractNum>
  <w:abstractNum w:abstractNumId="40">
    <w:nsid w:val="57E4CCAF"/>
    <w:multiLevelType w:val="hybridMultilevel"/>
    <w:lvl w:ilvl="0">
      <w:lvlJc w:val="left"/>
      <w:lvlText w:val="(%1)"/>
      <w:numFmt w:val="upperLetter"/>
      <w:start w:val="3"/>
    </w:lvl>
    <w:lvl w:ilvl="1">
      <w:lvlJc w:val="left"/>
      <w:lvlText w:val="%2"/>
      <w:numFmt w:val="decimal"/>
      <w:start w:val="1"/>
    </w:lvl>
  </w:abstractNum>
  <w:abstractNum w:abstractNumId="41">
    <w:nsid w:val="7A6D8D3C"/>
    <w:multiLevelType w:val="hybridMultilevel"/>
    <w:lvl w:ilvl="0">
      <w:lvlJc w:val="left"/>
      <w:lvlText w:val="(%1)"/>
      <w:numFmt w:val="upperLetter"/>
      <w:start w:val="3"/>
    </w:lvl>
    <w:lvl w:ilvl="1">
      <w:lvlJc w:val="left"/>
      <w:lvlText w:val="(%2)"/>
      <w:numFmt w:val="decimal"/>
      <w:start w:val="2"/>
    </w:lvl>
  </w:abstractNum>
  <w:abstractNum w:abstractNumId="42">
    <w:nsid w:val="4B588F54"/>
    <w:multiLevelType w:val="hybridMultilevel"/>
    <w:lvl w:ilvl="0">
      <w:lvlJc w:val="left"/>
      <w:lvlText w:val="(%1)"/>
      <w:numFmt w:val="lowerRoman"/>
      <w:start w:val="7"/>
    </w:lvl>
  </w:abstractNum>
  <w:abstractNum w:abstractNumId="43">
    <w:nsid w:val="542289EC"/>
    <w:multiLevelType w:val="hybridMultilevel"/>
    <w:lvl w:ilvl="0">
      <w:lvlJc w:val="left"/>
      <w:lvlText w:val="(%1)"/>
      <w:numFmt w:val="lowerRoman"/>
      <w:start w:val="2"/>
    </w:lvl>
  </w:abstractNum>
  <w:abstractNum w:abstractNumId="44">
    <w:nsid w:val="6DE91B18"/>
    <w:multiLevelType w:val="hybridMultilevel"/>
    <w:lvl w:ilvl="0">
      <w:lvlJc w:val="left"/>
      <w:lvlText w:val="(%1)"/>
      <w:numFmt w:val="lowerRoman"/>
      <w:start w:val="1"/>
    </w:lvl>
  </w:abstractNum>
  <w:abstractNum w:abstractNumId="45">
    <w:nsid w:val="38437FDB"/>
    <w:multiLevelType w:val="hybridMultilevel"/>
    <w:lvl w:ilvl="0">
      <w:lvlJc w:val="left"/>
      <w:lvlText w:val="(%1)"/>
      <w:numFmt w:val="lowerRoman"/>
      <w:start w:val="1"/>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lowerLetter"/>
      <w:start w:val="3"/>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jpe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8"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pn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94" Type="http://schemas.openxmlformats.org/officeDocument/2006/relationships/image" Target="media/image157.png"/><Relationship Id="rId195" Type="http://schemas.openxmlformats.org/officeDocument/2006/relationships/image" Target="media/image158.png"/><Relationship Id="rId196" Type="http://schemas.openxmlformats.org/officeDocument/2006/relationships/image" Target="media/image159.png"/><Relationship Id="rId197" Type="http://schemas.openxmlformats.org/officeDocument/2006/relationships/image" Target="media/image160.png"/><Relationship Id="rId198" Type="http://schemas.openxmlformats.org/officeDocument/2006/relationships/image" Target="media/image161.jpeg"/><Relationship Id="rId199"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80" Type="http://schemas.openxmlformats.org/officeDocument/2006/relationships/hyperlink" Target="http://www.sec.gov/ix?doc=/Archives/edgar/data/1910139/000110465923030588/mbly-20221231x10k.htm" TargetMode="External"/><Relationship Id="rId81" Type="http://schemas.openxmlformats.org/officeDocument/2006/relationships/hyperlink" Target="http://www.sec.gov/ix?doc=/Archives/edgar/data/1910139/000110465923058723/mbly-20230401x10q.htm" TargetMode="External"/><Relationship Id="rId82" Type="http://schemas.openxmlformats.org/officeDocument/2006/relationships/hyperlink" Target="http://www.sec.gov/ix?doc=/Archives/edgar/data/1910139/000110465923052939/tm2311724d2_def14a.htm" TargetMode="External"/><Relationship Id="rId83" Type="http://schemas.openxmlformats.org/officeDocument/2006/relationships/hyperlink" Target="https://www.sec.gov/Archives/edgar/data/1910139/000110465922111295/tm227410d22_8a12b.htm" TargetMode="External"/><Relationship Id="rId97" Type="http://schemas.openxmlformats.org/officeDocument/2006/relationships/hyperlink" Target="https://www.sec.gov/Archives/edgar/data/1910139/000110465922112427/tm227410d28_ex3-1.htm" TargetMode="External"/><Relationship Id="rId99" Type="http://schemas.openxmlformats.org/officeDocument/2006/relationships/hyperlink" Target="https://www.sec.gov/Archives/edgar/data/1910139/000110465922112427/tm227410d28_ex3-2.htm" TargetMode="External"/><Relationship Id="rId100" Type="http://schemas.openxmlformats.org/officeDocument/2006/relationships/hyperlink" Target="http://www.sec.gov/Archives/edgar/data/1910139/000110465922104640/tm227410d16_ex10-1.htm" TargetMode="External"/><Relationship Id="rId101" Type="http://schemas.openxmlformats.org/officeDocument/2006/relationships/hyperlink" Target="http://www.sec.gov/Archives/edgar/data/1910139/000110465923030588/mbly-20221231xex10d2.htm" TargetMode="External"/><Relationship Id="rId102" Type="http://schemas.openxmlformats.org/officeDocument/2006/relationships/hyperlink" Target="http://www.sec.gov/Archives/edgar/data/1910139/000110465923030588/mbly-20221231xex10d3.htm" TargetMode="External"/><Relationship Id="rId103" Type="http://schemas.openxmlformats.org/officeDocument/2006/relationships/hyperlink" Target="http://www.sec.gov/Archives/edgar/data/1910139/000110465923030588/mbly-20221231xex10d4.htm" TargetMode="External"/><Relationship Id="rId104" Type="http://schemas.openxmlformats.org/officeDocument/2006/relationships/hyperlink" Target="http://www.sec.gov/Archives/edgar/data/1910139/000110465923030588/mbly-20221231xex10d5.htm" TargetMode="External"/><Relationship Id="rId105" Type="http://schemas.openxmlformats.org/officeDocument/2006/relationships/hyperlink" Target="http://www.sec.gov/Archives/edgar/data/1910139/000110465923030588/mbly-20221231xex10d6.htm" TargetMode="External"/><Relationship Id="rId106" Type="http://schemas.openxmlformats.org/officeDocument/2006/relationships/hyperlink" Target="http://www.sec.gov/Archives/edgar/data/1910139/000110465923030588/mbly-20221231xex10d7.htm" TargetMode="External"/><Relationship Id="rId107" Type="http://schemas.openxmlformats.org/officeDocument/2006/relationships/hyperlink" Target="http://www.sec.gov/Archives/edgar/data/1910139/000110465923030588/mbly-20221231xex10d8.htm" TargetMode="External"/><Relationship Id="rId108" Type="http://schemas.openxmlformats.org/officeDocument/2006/relationships/hyperlink" Target="https://www.sec.gov/Archives/edgar/data/1910139/000110465922104640/tm227410d16_ex10-9.htm" TargetMode="External"/><Relationship Id="rId109" Type="http://schemas.openxmlformats.org/officeDocument/2006/relationships/hyperlink" Target="https://www.sec.gov/Archives/edgar/data/1910139/000110465922104640/tm227410d16_ex10-10.htm" TargetMode="External"/><Relationship Id="rId110" Type="http://schemas.openxmlformats.org/officeDocument/2006/relationships/hyperlink" Target="https://www.sec.gov/Archives/edgar/data/1910139/000110465922104640/tm227410d16_ex10-11.htm" TargetMode="External"/><Relationship Id="rId111" Type="http://schemas.openxmlformats.org/officeDocument/2006/relationships/hyperlink" Target="https://www.sec.gov/Archives/edgar/data/1910139/000110465922104640/tm227410d16_ex10-12.htm" TargetMode="External"/><Relationship Id="rId112" Type="http://schemas.openxmlformats.org/officeDocument/2006/relationships/hyperlink" Target="https://www.sec.gov/Archives/edgar/data/1910139/000110465922104640/tm227410d16_ex10-13.htm" TargetMode="External"/><Relationship Id="rId113" Type="http://schemas.openxmlformats.org/officeDocument/2006/relationships/hyperlink" Target="https://www.sec.gov/Archives/edgar/data/1910139/000110465922104640/tm227410d16_ex10-14.htm" TargetMode="External"/><Relationship Id="rId114" Type="http://schemas.openxmlformats.org/officeDocument/2006/relationships/hyperlink" Target="https://www.sec.gov/Archives/edgar/data/1910139/000110465922104640/tm227410d16_ex10-15.htm" TargetMode="External"/><Relationship Id="rId115" Type="http://schemas.openxmlformats.org/officeDocument/2006/relationships/hyperlink" Target="https://www.sec.gov/Archives/edgar/data/1910139/000110465922104640/tm227410d16_ex10-16.htm" TargetMode="External"/><Relationship Id="rId118" Type="http://schemas.openxmlformats.org/officeDocument/2006/relationships/hyperlink" Target="https://www.sec.gov/Archives/edgar/data/1910139/000110465922104640/tm227410d16_ex10-17.htm" TargetMode="External"/><Relationship Id="rId119" Type="http://schemas.openxmlformats.org/officeDocument/2006/relationships/hyperlink" Target="http://www.sec.gov/Archives/edgar/data/1910139/000110465923030588/mbly-20221231xex10d18.htm" TargetMode="External"/><Relationship Id="rId120" Type="http://schemas.openxmlformats.org/officeDocument/2006/relationships/hyperlink" Target="https://www.sec.gov/Archives/edgar/data/1910139/000110465922104640/tm227410d16_ex10-18.htm" TargetMode="External"/><Relationship Id="rId121" Type="http://schemas.openxmlformats.org/officeDocument/2006/relationships/hyperlink" Target="https://www.sec.gov/Archives/edgar/data/1910139/000110465922104640/tm227410d16_ex10-19.htm" TargetMode="External"/><Relationship Id="rId122" Type="http://schemas.openxmlformats.org/officeDocument/2006/relationships/hyperlink" Target="https://www.sec.gov/Archives/edgar/data/1910139/000110465922104640/tm227410d16_ex10-20.htm" TargetMode="External"/><Relationship Id="rId123" Type="http://schemas.openxmlformats.org/officeDocument/2006/relationships/hyperlink" Target="https://www.sec.gov/Archives/edgar/data/1910139/000110465922104640/tm227410d16_ex10-21.htm" TargetMode="External"/><Relationship Id="rId124" Type="http://schemas.openxmlformats.org/officeDocument/2006/relationships/hyperlink" Target="https://www.sec.gov/Archives/edgar/data/1910139/000110465922104640/tm227410d16_ex10-22.htm" TargetMode="External"/><Relationship Id="rId125" Type="http://schemas.openxmlformats.org/officeDocument/2006/relationships/hyperlink" Target="http://www.sec.gov/Archives/edgar/data/1910139/000110465923030588/mbly-20221231xex2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2023-06-05T15:15:00Z</dcterms:created>
  <dcterms:modified xsi:type="dcterms:W3CDTF">2023-06-05T15:15:00Z</dcterms:modified>
</cp:coreProperties>
</file>