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8"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As confidentially submitted with the Securities and Exchange Commission on March 9, 2023.</w:t>
      </w:r>
    </w:p>
    <w:p>
      <w:pPr>
        <w:jc w:val="right"/>
        <w:spacing w:after="0" w:line="236" w:lineRule="auto"/>
        <w:rPr>
          <w:sz w:val="20"/>
          <w:szCs w:val="20"/>
          <w:color w:val="auto"/>
        </w:rPr>
      </w:pPr>
      <w:r>
        <w:rPr>
          <w:rFonts w:ascii="Arial" w:cs="Arial" w:eastAsia="Arial" w:hAnsi="Arial"/>
          <w:sz w:val="16"/>
          <w:szCs w:val="16"/>
          <w:b w:val="1"/>
          <w:bCs w:val="1"/>
          <w:color w:val="auto"/>
        </w:rPr>
        <w:t>Registration No. 333-   ​</w:t>
      </w:r>
    </w:p>
    <w:p>
      <w:pPr>
        <w:ind w:left="500"/>
        <w:spacing w:after="0" w:line="222"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2"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UNITED STATES</w:t>
      </w:r>
    </w:p>
    <w:p>
      <w:pPr>
        <w:jc w:val="center"/>
        <w:ind w:right="-459"/>
        <w:spacing w:after="0" w:line="219" w:lineRule="auto"/>
        <w:rPr>
          <w:sz w:val="20"/>
          <w:szCs w:val="20"/>
          <w:color w:val="auto"/>
        </w:rPr>
      </w:pPr>
      <w:r>
        <w:rPr>
          <w:rFonts w:ascii="Arial" w:cs="Arial" w:eastAsia="Arial" w:hAnsi="Arial"/>
          <w:sz w:val="29"/>
          <w:szCs w:val="29"/>
          <w:b w:val="1"/>
          <w:bCs w:val="1"/>
          <w:color w:val="auto"/>
        </w:rPr>
        <w:t>SECURITIES AND EXCHANGE COMMISSION</w:t>
      </w: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58420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5"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S-1</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REGISTRATION STATEMENT</w:t>
      </w:r>
    </w:p>
    <w:p>
      <w:pPr>
        <w:ind w:left="5100"/>
        <w:spacing w:after="0" w:line="235" w:lineRule="auto"/>
        <w:rPr>
          <w:sz w:val="20"/>
          <w:szCs w:val="20"/>
          <w:color w:val="auto"/>
        </w:rPr>
      </w:pPr>
      <w:r>
        <w:rPr>
          <w:rFonts w:ascii="Arial" w:cs="Arial" w:eastAsia="Arial" w:hAnsi="Arial"/>
          <w:sz w:val="16"/>
          <w:szCs w:val="16"/>
          <w:b w:val="1"/>
          <w:bCs w:val="1"/>
          <w:i w:val="1"/>
          <w:iCs w:val="1"/>
          <w:color w:val="auto"/>
        </w:rPr>
        <w:t>UNDER</w:t>
      </w:r>
    </w:p>
    <w:p>
      <w:pPr>
        <w:jc w:val="center"/>
        <w:ind w:right="-4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58420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5"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Mobileye Global Inc.</w:t>
      </w:r>
    </w:p>
    <w:p>
      <w:pPr>
        <w:spacing w:after="0" w:line="16"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6"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8"/>
              </w:rPr>
              <w:t>Delaware</w:t>
            </w:r>
          </w:p>
        </w:tc>
        <w:tc>
          <w:tcPr>
            <w:tcW w:w="400" w:type="dxa"/>
            <w:vAlign w:val="bottom"/>
          </w:tcPr>
          <w:p>
            <w:pPr>
              <w:ind w:left="140"/>
              <w:spacing w:after="0"/>
              <w:rPr>
                <w:sz w:val="20"/>
                <w:szCs w:val="20"/>
                <w:color w:val="auto"/>
              </w:rPr>
            </w:pPr>
            <w:r>
              <w:rPr>
                <w:rFonts w:ascii="Arial" w:cs="Arial" w:eastAsia="Arial" w:hAnsi="Arial"/>
                <w:sz w:val="14"/>
                <w:szCs w:val="14"/>
                <w:color w:val="auto"/>
              </w:rPr>
              <w:t>​ ​</w:t>
            </w:r>
          </w:p>
        </w:tc>
        <w:tc>
          <w:tcPr>
            <w:tcW w:w="2420" w:type="dxa"/>
            <w:vAlign w:val="bottom"/>
            <w:gridSpan w:val="2"/>
          </w:tcPr>
          <w:p>
            <w:pPr>
              <w:jc w:val="center"/>
              <w:ind w:left="401"/>
              <w:spacing w:after="0"/>
              <w:rPr>
                <w:sz w:val="20"/>
                <w:szCs w:val="20"/>
                <w:color w:val="auto"/>
              </w:rPr>
            </w:pPr>
            <w:r>
              <w:rPr>
                <w:rFonts w:ascii="Arial" w:cs="Arial" w:eastAsia="Arial" w:hAnsi="Arial"/>
                <w:sz w:val="16"/>
                <w:szCs w:val="16"/>
                <w:b w:val="1"/>
                <w:bCs w:val="1"/>
                <w:color w:val="auto"/>
                <w:w w:val="84"/>
              </w:rPr>
              <w:t>7372</w:t>
            </w:r>
          </w:p>
        </w:tc>
        <w:tc>
          <w:tcPr>
            <w:tcW w:w="500" w:type="dxa"/>
            <w:vAlign w:val="bottom"/>
          </w:tcPr>
          <w:p>
            <w:pPr>
              <w:spacing w:after="0"/>
              <w:rPr>
                <w:sz w:val="16"/>
                <w:szCs w:val="16"/>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 ​</w:t>
            </w:r>
          </w:p>
        </w:tc>
        <w:tc>
          <w:tcPr>
            <w:tcW w:w="2440" w:type="dxa"/>
            <w:vAlign w:val="bottom"/>
          </w:tcPr>
          <w:p>
            <w:pPr>
              <w:jc w:val="right"/>
              <w:ind w:right="763"/>
              <w:spacing w:after="0"/>
              <w:rPr>
                <w:sz w:val="20"/>
                <w:szCs w:val="20"/>
                <w:color w:val="auto"/>
              </w:rPr>
            </w:pPr>
            <w:r>
              <w:rPr>
                <w:rFonts w:ascii="Arial" w:cs="Arial" w:eastAsia="Arial" w:hAnsi="Arial"/>
                <w:sz w:val="16"/>
                <w:szCs w:val="16"/>
                <w:b w:val="1"/>
                <w:bCs w:val="1"/>
                <w:color w:val="auto"/>
              </w:rPr>
              <w:t>88-0666433</w:t>
            </w:r>
          </w:p>
        </w:tc>
        <w:tc>
          <w:tcPr>
            <w:tcW w:w="380" w:type="dxa"/>
            <w:vAlign w:val="bottom"/>
          </w:tcPr>
          <w:p>
            <w:pPr>
              <w:ind w:left="340"/>
              <w:spacing w:after="0"/>
              <w:rPr>
                <w:sz w:val="20"/>
                <w:szCs w:val="20"/>
                <w:color w:val="auto"/>
              </w:rPr>
            </w:pPr>
            <w:r>
              <w:rPr>
                <w:rFonts w:ascii="Arial" w:cs="Arial" w:eastAsia="Arial" w:hAnsi="Arial"/>
                <w:sz w:val="14"/>
                <w:szCs w:val="14"/>
                <w:color w:val="auto"/>
              </w:rPr>
              <w:t>​</w:t>
            </w:r>
          </w:p>
        </w:tc>
      </w:tr>
      <w:tr>
        <w:trPr>
          <w:trHeight w:val="154"/>
        </w:trPr>
        <w:tc>
          <w:tcPr>
            <w:tcW w:w="120" w:type="dxa"/>
            <w:vAlign w:val="bottom"/>
          </w:tcPr>
          <w:p>
            <w:pPr>
              <w:spacing w:after="0"/>
              <w:rPr>
                <w:sz w:val="13"/>
                <w:szCs w:val="13"/>
                <w:color w:val="auto"/>
              </w:rPr>
            </w:pPr>
          </w:p>
        </w:tc>
        <w:tc>
          <w:tcPr>
            <w:tcW w:w="2900" w:type="dxa"/>
            <w:vAlign w:val="bottom"/>
          </w:tcPr>
          <w:p>
            <w:pPr>
              <w:jc w:val="center"/>
              <w:spacing w:after="0" w:line="154" w:lineRule="exact"/>
              <w:rPr>
                <w:sz w:val="20"/>
                <w:szCs w:val="20"/>
                <w:color w:val="auto"/>
              </w:rPr>
            </w:pPr>
            <w:r>
              <w:rPr>
                <w:rFonts w:ascii="Arial" w:cs="Arial" w:eastAsia="Arial" w:hAnsi="Arial"/>
                <w:sz w:val="14"/>
                <w:szCs w:val="14"/>
                <w:color w:val="auto"/>
                <w:w w:val="99"/>
              </w:rPr>
              <w:t>(State or Other Jurisdiction of Incorporation</w:t>
            </w: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4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8"/>
              </w:rPr>
              <w:t>(Primary Standard Industrial</w:t>
            </w:r>
          </w:p>
        </w:tc>
        <w:tc>
          <w:tcPr>
            <w:tcW w:w="620" w:type="dxa"/>
            <w:vAlign w:val="bottom"/>
          </w:tcPr>
          <w:p>
            <w:pPr>
              <w:spacing w:after="0"/>
              <w:rPr>
                <w:sz w:val="13"/>
                <w:szCs w:val="13"/>
                <w:color w:val="auto"/>
              </w:rPr>
            </w:pPr>
          </w:p>
        </w:tc>
        <w:tc>
          <w:tcPr>
            <w:tcW w:w="2440" w:type="dxa"/>
            <w:vAlign w:val="bottom"/>
          </w:tcPr>
          <w:p>
            <w:pPr>
              <w:jc w:val="center"/>
              <w:spacing w:after="0" w:line="154" w:lineRule="exact"/>
              <w:rPr>
                <w:sz w:val="20"/>
                <w:szCs w:val="20"/>
                <w:color w:val="auto"/>
              </w:rPr>
            </w:pPr>
            <w:r>
              <w:rPr>
                <w:rFonts w:ascii="Arial" w:cs="Arial" w:eastAsia="Arial" w:hAnsi="Arial"/>
                <w:sz w:val="14"/>
                <w:szCs w:val="14"/>
                <w:color w:val="auto"/>
              </w:rPr>
              <w:t>(I.R.S. Employer</w:t>
            </w:r>
          </w:p>
        </w:tc>
        <w:tc>
          <w:tcPr>
            <w:tcW w:w="380" w:type="dxa"/>
            <w:vAlign w:val="bottom"/>
          </w:tcPr>
          <w:p>
            <w:pPr>
              <w:spacing w:after="0"/>
              <w:rPr>
                <w:sz w:val="13"/>
                <w:szCs w:val="13"/>
                <w:color w:val="auto"/>
              </w:rPr>
            </w:pPr>
          </w:p>
        </w:tc>
      </w:tr>
      <w:tr>
        <w:trPr>
          <w:trHeight w:val="204"/>
        </w:trPr>
        <w:tc>
          <w:tcPr>
            <w:tcW w:w="12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or Organization)</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4"/>
                <w:szCs w:val="14"/>
                <w:color w:val="auto"/>
                <w:w w:val="98"/>
              </w:rPr>
              <w:t>Classification Code Number)</w:t>
            </w:r>
          </w:p>
        </w:tc>
        <w:tc>
          <w:tcPr>
            <w:tcW w:w="6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Identification Number)</w:t>
            </w:r>
          </w:p>
        </w:tc>
        <w:tc>
          <w:tcPr>
            <w:tcW w:w="380" w:type="dxa"/>
            <w:vAlign w:val="bottom"/>
          </w:tcPr>
          <w:p>
            <w:pPr>
              <w:spacing w:after="0"/>
              <w:rPr>
                <w:sz w:val="17"/>
                <w:szCs w:val="17"/>
                <w:color w:val="auto"/>
              </w:rPr>
            </w:pPr>
          </w:p>
        </w:tc>
      </w:tr>
      <w:tr>
        <w:trPr>
          <w:trHeight w:val="244"/>
        </w:trPr>
        <w:tc>
          <w:tcPr>
            <w:tcW w:w="1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76"/>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3"/>
          </w:tcPr>
          <w:p>
            <w:pPr>
              <w:jc w:val="center"/>
              <w:ind w:right="20"/>
              <w:spacing w:after="0" w:line="175" w:lineRule="exact"/>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500"/>
              <w:spacing w:after="0" w:line="162" w:lineRule="exact"/>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20"/>
              <w:spacing w:after="0" w:line="175" w:lineRule="exact"/>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5"/>
        </w:trPr>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5"/>
        </w:trPr>
        <w:tc>
          <w:tcPr>
            <w:tcW w:w="120" w:type="dxa"/>
            <w:vAlign w:val="bottom"/>
          </w:tcPr>
          <w:p>
            <w:pPr>
              <w:spacing w:after="0"/>
              <w:rPr>
                <w:sz w:val="16"/>
                <w:szCs w:val="16"/>
                <w:color w:val="auto"/>
              </w:rPr>
            </w:pPr>
          </w:p>
        </w:tc>
        <w:tc>
          <w:tcPr>
            <w:tcW w:w="9280" w:type="dxa"/>
            <w:vAlign w:val="bottom"/>
            <w:gridSpan w:val="7"/>
          </w:tcPr>
          <w:p>
            <w:pPr>
              <w:jc w:val="center"/>
              <w:ind w:left="124"/>
              <w:spacing w:after="0"/>
              <w:rPr>
                <w:sz w:val="20"/>
                <w:szCs w:val="20"/>
                <w:color w:val="auto"/>
              </w:rPr>
            </w:pPr>
            <w:r>
              <w:rPr>
                <w:rFonts w:ascii="Arial" w:cs="Arial" w:eastAsia="Arial" w:hAnsi="Arial"/>
                <w:sz w:val="14"/>
                <w:szCs w:val="14"/>
                <w:color w:val="auto"/>
                <w:w w:val="98"/>
              </w:rPr>
              <w:t>(Address, including zip code, and telephone number, including area code, of Registrant’s principal executive offices)</w:t>
            </w:r>
          </w:p>
        </w:tc>
        <w:tc>
          <w:tcPr>
            <w:tcW w:w="380" w:type="dxa"/>
            <w:vAlign w:val="bottom"/>
          </w:tcPr>
          <w:p>
            <w:pPr>
              <w:spacing w:after="0"/>
              <w:rPr>
                <w:sz w:val="16"/>
                <w:szCs w:val="16"/>
                <w:color w:val="auto"/>
              </w:rPr>
            </w:pPr>
          </w:p>
        </w:tc>
      </w:tr>
      <w:tr>
        <w:trPr>
          <w:trHeight w:val="93"/>
        </w:trPr>
        <w:tc>
          <w:tcPr>
            <w:tcW w:w="1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2"/>
        </w:trPr>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Anat Heller</w:t>
            </w: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76"/>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00"/>
              <w:spacing w:after="0" w:line="175" w:lineRule="exact"/>
              <w:rPr>
                <w:sz w:val="20"/>
                <w:szCs w:val="20"/>
                <w:color w:val="auto"/>
              </w:rPr>
            </w:pPr>
            <w:r>
              <w:rPr>
                <w:rFonts w:ascii="Arial" w:cs="Arial" w:eastAsia="Arial" w:hAnsi="Arial"/>
                <w:sz w:val="16"/>
                <w:szCs w:val="16"/>
                <w:b w:val="1"/>
                <w:bCs w:val="1"/>
                <w:color w:val="auto"/>
                <w:w w:val="88"/>
              </w:rPr>
              <w:t>Chief Financial Officer</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20"/>
              <w:spacing w:after="0" w:line="175" w:lineRule="exact"/>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gridSpan w:val="3"/>
          </w:tcPr>
          <w:p>
            <w:pPr>
              <w:jc w:val="center"/>
              <w:ind w:right="20"/>
              <w:spacing w:after="0" w:line="162" w:lineRule="exact"/>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00"/>
              <w:spacing w:after="0" w:line="175" w:lineRule="exact"/>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20"/>
              <w:spacing w:after="0" w:line="175" w:lineRule="exact"/>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5"/>
        </w:trPr>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5"/>
        </w:trPr>
        <w:tc>
          <w:tcPr>
            <w:tcW w:w="120" w:type="dxa"/>
            <w:vAlign w:val="bottom"/>
          </w:tcPr>
          <w:p>
            <w:pPr>
              <w:spacing w:after="0"/>
              <w:rPr>
                <w:sz w:val="16"/>
                <w:szCs w:val="16"/>
                <w:color w:val="auto"/>
              </w:rPr>
            </w:pPr>
          </w:p>
        </w:tc>
        <w:tc>
          <w:tcPr>
            <w:tcW w:w="9280" w:type="dxa"/>
            <w:vAlign w:val="bottom"/>
            <w:gridSpan w:val="7"/>
          </w:tcPr>
          <w:p>
            <w:pPr>
              <w:jc w:val="center"/>
              <w:ind w:left="124"/>
              <w:spacing w:after="0"/>
              <w:rPr>
                <w:sz w:val="20"/>
                <w:szCs w:val="20"/>
                <w:color w:val="auto"/>
              </w:rPr>
            </w:pPr>
            <w:r>
              <w:rPr>
                <w:rFonts w:ascii="Arial" w:cs="Arial" w:eastAsia="Arial" w:hAnsi="Arial"/>
                <w:sz w:val="14"/>
                <w:szCs w:val="14"/>
                <w:color w:val="auto"/>
                <w:w w:val="96"/>
              </w:rPr>
              <w:t>(Name, address, including zip code, and telephone number, including area code, of agent for service)</w:t>
            </w:r>
          </w:p>
        </w:tc>
        <w:tc>
          <w:tcPr>
            <w:tcW w:w="380" w:type="dxa"/>
            <w:vAlign w:val="bottom"/>
          </w:tcPr>
          <w:p>
            <w:pPr>
              <w:spacing w:after="0"/>
              <w:rPr>
                <w:sz w:val="16"/>
                <w:szCs w:val="16"/>
                <w:color w:val="auto"/>
              </w:rPr>
            </w:pPr>
          </w:p>
        </w:tc>
      </w:tr>
      <w:tr>
        <w:trPr>
          <w:trHeight w:val="80"/>
        </w:trPr>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55"/>
        </w:trPr>
        <w:tc>
          <w:tcPr>
            <w:tcW w:w="1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i w:val="1"/>
                <w:iCs w:val="1"/>
                <w:color w:val="auto"/>
                <w:w w:val="79"/>
              </w:rPr>
              <w:t>Copies to:</w:t>
            </w:r>
          </w:p>
        </w:tc>
        <w:tc>
          <w:tcPr>
            <w:tcW w:w="6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2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9"/>
              </w:rPr>
              <w:t>Michael Kaplan</w:t>
            </w:r>
          </w:p>
        </w:tc>
        <w:tc>
          <w:tcPr>
            <w:tcW w:w="400" w:type="dxa"/>
            <w:vAlign w:val="bottom"/>
          </w:tcPr>
          <w:p>
            <w:pPr>
              <w:ind w:left="140"/>
              <w:spacing w:after="0"/>
              <w:rPr>
                <w:sz w:val="20"/>
                <w:szCs w:val="20"/>
                <w:color w:val="auto"/>
              </w:rPr>
            </w:pPr>
            <w:r>
              <w:rPr>
                <w:rFonts w:ascii="Arial" w:cs="Arial" w:eastAsia="Arial" w:hAnsi="Arial"/>
                <w:sz w:val="16"/>
                <w:szCs w:val="16"/>
                <w:b w:val="1"/>
                <w:bCs w:val="1"/>
                <w:color w:val="auto"/>
              </w:rPr>
              <w:t>​ ​</w:t>
            </w:r>
          </w:p>
        </w:tc>
        <w:tc>
          <w:tcPr>
            <w:tcW w:w="480" w:type="dxa"/>
            <w:vAlign w:val="bottom"/>
          </w:tcPr>
          <w:p>
            <w:pPr>
              <w:spacing w:after="0"/>
              <w:rPr>
                <w:sz w:val="19"/>
                <w:szCs w:val="19"/>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Liz Cohen-Yerushalmi</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 ​</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5"/>
              </w:rPr>
              <w:t>John L. Savva</w:t>
            </w:r>
          </w:p>
        </w:tc>
        <w:tc>
          <w:tcPr>
            <w:tcW w:w="380" w:type="dxa"/>
            <w:vAlign w:val="bottom"/>
          </w:tcPr>
          <w:p>
            <w:pPr>
              <w:ind w:left="340"/>
              <w:spacing w:after="0"/>
              <w:rPr>
                <w:sz w:val="20"/>
                <w:szCs w:val="20"/>
                <w:color w:val="auto"/>
              </w:rPr>
            </w:pPr>
            <w:r>
              <w:rPr>
                <w:rFonts w:ascii="Arial" w:cs="Arial" w:eastAsia="Arial" w:hAnsi="Arial"/>
                <w:sz w:val="16"/>
                <w:szCs w:val="16"/>
                <w:b w:val="1"/>
                <w:bCs w:val="1"/>
                <w:color w:val="auto"/>
              </w:rPr>
              <w:t>​</w:t>
            </w:r>
          </w:p>
        </w:tc>
      </w:tr>
      <w:tr>
        <w:trPr>
          <w:trHeight w:val="203"/>
        </w:trPr>
        <w:tc>
          <w:tcPr>
            <w:tcW w:w="12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90"/>
              </w:rPr>
              <w:t>Davis Polk &amp; Wardwell LLP</w:t>
            </w:r>
          </w:p>
        </w:tc>
        <w:tc>
          <w:tcPr>
            <w:tcW w:w="400" w:type="dxa"/>
            <w:vAlign w:val="bottom"/>
          </w:tcPr>
          <w:p>
            <w:pPr>
              <w:spacing w:after="0"/>
              <w:rPr>
                <w:sz w:val="17"/>
                <w:szCs w:val="17"/>
                <w:color w:val="auto"/>
              </w:rPr>
            </w:pPr>
          </w:p>
        </w:tc>
        <w:tc>
          <w:tcPr>
            <w:tcW w:w="29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Chief Legal Officer and General Counsel</w:t>
            </w:r>
          </w:p>
        </w:tc>
        <w:tc>
          <w:tcPr>
            <w:tcW w:w="6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Sullivan &amp; Cromwell LLP</w:t>
            </w:r>
          </w:p>
        </w:tc>
        <w:tc>
          <w:tcPr>
            <w:tcW w:w="380" w:type="dxa"/>
            <w:vAlign w:val="bottom"/>
          </w:tcPr>
          <w:p>
            <w:pPr>
              <w:spacing w:after="0"/>
              <w:rPr>
                <w:sz w:val="17"/>
                <w:szCs w:val="17"/>
                <w:color w:val="auto"/>
              </w:rPr>
            </w:pPr>
          </w:p>
        </w:tc>
      </w:tr>
      <w:tr>
        <w:trPr>
          <w:trHeight w:val="189"/>
        </w:trPr>
        <w:tc>
          <w:tcPr>
            <w:tcW w:w="12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3"/>
              </w:rPr>
              <w:t>450 Lexington Avenue</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6"/>
              </w:rPr>
              <w:t>1870 Embarcadero Road</w:t>
            </w:r>
          </w:p>
        </w:tc>
        <w:tc>
          <w:tcPr>
            <w:tcW w:w="38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7"/>
              </w:rPr>
              <w:t>New York, New York 10017</w:t>
            </w:r>
          </w:p>
        </w:tc>
        <w:tc>
          <w:tcPr>
            <w:tcW w:w="400" w:type="dxa"/>
            <w:vAlign w:val="bottom"/>
          </w:tcPr>
          <w:p>
            <w:pPr>
              <w:spacing w:after="0"/>
              <w:rPr>
                <w:sz w:val="16"/>
                <w:szCs w:val="16"/>
                <w:color w:val="auto"/>
              </w:rPr>
            </w:pPr>
          </w:p>
        </w:tc>
        <w:tc>
          <w:tcPr>
            <w:tcW w:w="29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6"/>
              </w:rPr>
              <w:t>Palo Alto, California 94303</w:t>
            </w:r>
          </w:p>
        </w:tc>
        <w:tc>
          <w:tcPr>
            <w:tcW w:w="38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85"/>
              </w:rPr>
              <w:t>(212) 450-4000</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6"/>
                <w:szCs w:val="16"/>
                <w:color w:val="auto"/>
              </w:rPr>
            </w:pPr>
          </w:p>
        </w:tc>
        <w:tc>
          <w:tcPr>
            <w:tcW w:w="2440" w:type="dxa"/>
            <w:vAlign w:val="bottom"/>
          </w:tcPr>
          <w:p>
            <w:pPr>
              <w:jc w:val="right"/>
              <w:ind w:right="663"/>
              <w:spacing w:after="0"/>
              <w:rPr>
                <w:sz w:val="20"/>
                <w:szCs w:val="20"/>
                <w:color w:val="auto"/>
              </w:rPr>
            </w:pPr>
            <w:r>
              <w:rPr>
                <w:rFonts w:ascii="Arial" w:cs="Arial" w:eastAsia="Arial" w:hAnsi="Arial"/>
                <w:sz w:val="16"/>
                <w:szCs w:val="16"/>
                <w:b w:val="1"/>
                <w:bCs w:val="1"/>
                <w:color w:val="auto"/>
              </w:rPr>
              <w:t>(650) 461-5600</w:t>
            </w:r>
          </w:p>
        </w:tc>
        <w:tc>
          <w:tcPr>
            <w:tcW w:w="38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5"/>
        </w:trPr>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56515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6" w:lineRule="exact"/>
        <w:rPr>
          <w:sz w:val="24"/>
          <w:szCs w:val="24"/>
          <w:color w:val="auto"/>
        </w:rPr>
      </w:pPr>
    </w:p>
    <w:p>
      <w:pPr>
        <w:ind w:left="860"/>
        <w:spacing w:after="0"/>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spacing w:after="0" w:line="82" w:lineRule="exact"/>
        <w:rPr>
          <w:sz w:val="24"/>
          <w:szCs w:val="24"/>
          <w:color w:val="auto"/>
        </w:rPr>
      </w:pPr>
    </w:p>
    <w:p>
      <w:pPr>
        <w:ind w:left="500" w:right="520" w:firstLine="36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80" w:firstLine="360"/>
        <w:spacing w:after="0" w:line="196"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540" w:firstLine="360"/>
        <w:spacing w:after="0" w:line="196" w:lineRule="exact"/>
        <w:rPr>
          <w:sz w:val="20"/>
          <w:szCs w:val="20"/>
          <w:color w:val="auto"/>
        </w:rPr>
      </w:pPr>
      <w:r>
        <w:rPr>
          <w:rFonts w:ascii="Arial" w:cs="Arial" w:eastAsia="Arial" w:hAnsi="Arial"/>
          <w:sz w:val="16"/>
          <w:szCs w:val="16"/>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540" w:firstLine="360"/>
        <w:spacing w:after="0" w:line="189" w:lineRule="exact"/>
        <w:rPr>
          <w:sz w:val="20"/>
          <w:szCs w:val="20"/>
          <w:color w:val="auto"/>
        </w:rPr>
      </w:pPr>
      <w:r>
        <w:rPr>
          <w:rFonts w:ascii="Arial" w:cs="Arial" w:eastAsia="Arial" w:hAnsi="Arial"/>
          <w:sz w:val="16"/>
          <w:szCs w:val="16"/>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20" w:firstLine="360"/>
        <w:spacing w:after="0" w:line="23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0280"/>
          </w:cols>
          <w:pgMar w:left="580" w:top="196" w:right="1039" w:bottom="1440" w:gutter="0" w:footer="0" w:header="0"/>
        </w:sectPr>
      </w:pPr>
    </w:p>
    <w:tbl>
      <w:tblPr>
        <w:tblLayout w:type="fixed"/>
        <w:tblInd w:w="50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color w:val="auto"/>
                <w:w w:val="92"/>
              </w:rPr>
              <w:t>Large​</w:t>
            </w:r>
          </w:p>
        </w:tc>
        <w:tc>
          <w:tcPr>
            <w:tcW w:w="1480" w:type="dxa"/>
            <w:vAlign w:val="bottom"/>
          </w:tcPr>
          <w:p>
            <w:pPr>
              <w:ind w:left="20"/>
              <w:spacing w:after="0"/>
              <w:rPr>
                <w:sz w:val="20"/>
                <w:szCs w:val="20"/>
                <w:color w:val="auto"/>
              </w:rPr>
            </w:pPr>
            <w:r>
              <w:rPr>
                <w:rFonts w:ascii="Arial" w:cs="Arial" w:eastAsia="Arial" w:hAnsi="Arial"/>
                <w:sz w:val="16"/>
                <w:szCs w:val="16"/>
                <w:color w:val="auto"/>
              </w:rPr>
              <w:t>accelerated filer</w:t>
            </w:r>
          </w:p>
        </w:tc>
        <w:tc>
          <w:tcPr>
            <w:tcW w:w="1820" w:type="dxa"/>
            <w:vAlign w:val="bottom"/>
            <w:gridSpan w:val="2"/>
          </w:tcPr>
          <w:p>
            <w:pPr>
              <w:ind w:left="38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p>
        </w:tc>
        <w:tc>
          <w:tcPr>
            <w:tcW w:w="3080" w:type="dxa"/>
            <w:vAlign w:val="bottom"/>
            <w:gridSpan w:val="2"/>
          </w:tcPr>
          <w:p>
            <w:pPr>
              <w:ind w:left="1060"/>
              <w:spacing w:after="0"/>
              <w:rPr>
                <w:sz w:val="20"/>
                <w:szCs w:val="20"/>
                <w:color w:val="auto"/>
              </w:rPr>
            </w:pPr>
            <w:r>
              <w:rPr>
                <w:rFonts w:ascii="Arial" w:cs="Arial" w:eastAsia="Arial" w:hAnsi="Arial"/>
                <w:sz w:val="16"/>
                <w:szCs w:val="16"/>
                <w:color w:val="auto"/>
              </w:rPr>
              <w:t>​ ​ Accelerated filer</w:t>
            </w:r>
          </w:p>
        </w:tc>
        <w:tc>
          <w:tcPr>
            <w:tcW w:w="0" w:type="dxa"/>
            <w:vAlign w:val="bottom"/>
          </w:tcPr>
          <w:p>
            <w:pPr>
              <w:spacing w:after="0"/>
              <w:rPr>
                <w:sz w:val="1"/>
                <w:szCs w:val="1"/>
                <w:color w:val="auto"/>
              </w:rPr>
            </w:pPr>
          </w:p>
        </w:tc>
      </w:tr>
      <w:tr>
        <w:trPr>
          <w:trHeight w:val="162"/>
        </w:trPr>
        <w:tc>
          <w:tcPr>
            <w:tcW w:w="40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1480" w:type="dxa"/>
            <w:vAlign w:val="bottom"/>
          </w:tcPr>
          <w:p>
            <w:pPr>
              <w:spacing w:after="0"/>
              <w:rPr>
                <w:sz w:val="14"/>
                <w:szCs w:val="14"/>
                <w:color w:val="auto"/>
              </w:rPr>
            </w:pPr>
          </w:p>
        </w:tc>
        <w:tc>
          <w:tcPr>
            <w:tcW w:w="580" w:type="dxa"/>
            <w:vAlign w:val="bottom"/>
          </w:tcPr>
          <w:p>
            <w:pPr>
              <w:ind w:left="380"/>
              <w:spacing w:after="0" w:line="162" w:lineRule="exact"/>
              <w:rPr>
                <w:sz w:val="20"/>
                <w:szCs w:val="20"/>
                <w:color w:val="auto"/>
              </w:rPr>
            </w:pPr>
            <w:r>
              <w:rPr>
                <w:rFonts w:ascii="Arial" w:cs="Arial" w:eastAsia="Arial" w:hAnsi="Arial"/>
                <w:sz w:val="16"/>
                <w:szCs w:val="16"/>
                <w:color w:val="auto"/>
              </w:rPr>
              <w:t>​ ​</w:t>
            </w:r>
          </w:p>
        </w:tc>
        <w:tc>
          <w:tcPr>
            <w:tcW w:w="124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40" w:type="dxa"/>
            <w:vAlign w:val="bottom"/>
          </w:tcPr>
          <w:p>
            <w:pPr>
              <w:ind w:left="1060"/>
              <w:spacing w:after="0" w:line="162" w:lineRule="exact"/>
              <w:rPr>
                <w:sz w:val="20"/>
                <w:szCs w:val="20"/>
                <w:color w:val="auto"/>
              </w:rPr>
            </w:pPr>
            <w:r>
              <w:rPr>
                <w:rFonts w:ascii="Arial" w:cs="Arial" w:eastAsia="Arial" w:hAnsi="Arial"/>
                <w:sz w:val="16"/>
                <w:szCs w:val="16"/>
                <w:color w:val="auto"/>
              </w:rPr>
              <w:t>​ ​</w:t>
            </w:r>
          </w:p>
        </w:tc>
        <w:tc>
          <w:tcPr>
            <w:tcW w:w="1840" w:type="dxa"/>
            <w:vAlign w:val="bottom"/>
            <w:vMerge w:val="restart"/>
          </w:tcPr>
          <w:p>
            <w:pPr>
              <w:ind w:left="40"/>
              <w:spacing w:after="0"/>
              <w:rPr>
                <w:sz w:val="20"/>
                <w:szCs w:val="20"/>
                <w:color w:val="auto"/>
              </w:rPr>
            </w:pPr>
            <w:r>
              <w:rPr>
                <w:rFonts w:ascii="Arial" w:cs="Arial" w:eastAsia="Arial" w:hAnsi="Arial"/>
                <w:sz w:val="16"/>
                <w:szCs w:val="16"/>
                <w:color w:val="auto"/>
                <w:w w:val="93"/>
              </w:rPr>
              <w:t>Smaller reporting company</w:t>
            </w:r>
          </w:p>
        </w:tc>
        <w:tc>
          <w:tcPr>
            <w:tcW w:w="0" w:type="dxa"/>
            <w:vAlign w:val="bottom"/>
          </w:tcPr>
          <w:p>
            <w:pPr>
              <w:spacing w:after="0"/>
              <w:rPr>
                <w:sz w:val="1"/>
                <w:szCs w:val="1"/>
                <w:color w:val="auto"/>
              </w:rPr>
            </w:pPr>
          </w:p>
        </w:tc>
      </w:tr>
      <w:tr>
        <w:trPr>
          <w:trHeight w:val="47"/>
        </w:trPr>
        <w:tc>
          <w:tcPr>
            <w:tcW w:w="1880" w:type="dxa"/>
            <w:vAlign w:val="bottom"/>
            <w:gridSpan w:val="2"/>
          </w:tcPr>
          <w:p>
            <w:pPr>
              <w:spacing w:after="0" w:line="48" w:lineRule="exact"/>
              <w:rPr>
                <w:sz w:val="20"/>
                <w:szCs w:val="20"/>
                <w:color w:val="auto"/>
              </w:rPr>
            </w:pPr>
            <w:r>
              <w:rPr>
                <w:rFonts w:ascii="Arial" w:cs="Arial" w:eastAsia="Arial" w:hAnsi="Arial"/>
                <w:sz w:val="5"/>
                <w:szCs w:val="5"/>
                <w:color w:val="auto"/>
              </w:rPr>
              <w:t>Non-accelerated filer</w:t>
            </w:r>
          </w:p>
        </w:tc>
        <w:tc>
          <w:tcPr>
            <w:tcW w:w="5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9"/>
                <w:szCs w:val="19"/>
                <w:color w:val="auto"/>
              </w:rPr>
            </w:pPr>
          </w:p>
        </w:tc>
        <w:tc>
          <w:tcPr>
            <w:tcW w:w="1820" w:type="dxa"/>
            <w:vAlign w:val="bottom"/>
            <w:gridSpan w:val="2"/>
          </w:tcPr>
          <w:p>
            <w:pPr>
              <w:ind w:left="380"/>
              <w:spacing w:after="0"/>
              <w:rPr>
                <w:sz w:val="20"/>
                <w:szCs w:val="20"/>
                <w:color w:val="auto"/>
              </w:rPr>
            </w:pPr>
            <w:r>
              <w:rPr>
                <w:rFonts w:ascii="Arial" w:cs="Arial" w:eastAsia="Arial" w:hAnsi="Arial"/>
                <w:sz w:val="16"/>
                <w:szCs w:val="16"/>
                <w:color w:val="auto"/>
              </w:rPr>
              <w:t>​ ​ ​</w:t>
            </w:r>
          </w:p>
        </w:tc>
        <w:tc>
          <w:tcPr>
            <w:tcW w:w="3080" w:type="dxa"/>
            <w:vAlign w:val="bottom"/>
            <w:gridSpan w:val="2"/>
          </w:tcPr>
          <w:p>
            <w:pPr>
              <w:ind w:left="1060"/>
              <w:spacing w:after="0"/>
              <w:rPr>
                <w:sz w:val="20"/>
                <w:szCs w:val="20"/>
                <w:color w:val="auto"/>
              </w:rPr>
            </w:pPr>
            <w:r>
              <w:rPr>
                <w:rFonts w:ascii="Arial" w:cs="Arial" w:eastAsia="Arial" w:hAnsi="Arial"/>
                <w:sz w:val="16"/>
                <w:szCs w:val="16"/>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65" w:lineRule="exact"/>
        <w:tabs>
          <w:tab w:leader="none" w:pos="248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p>
    <w:p>
      <w:pPr>
        <w:spacing w:after="0" w:line="184" w:lineRule="exact"/>
        <w:tabs>
          <w:tab w:leader="none" w:pos="248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19" w:lineRule="exact"/>
        <w:rPr>
          <w:sz w:val="24"/>
          <w:szCs w:val="24"/>
          <w:color w:val="auto"/>
        </w:rPr>
      </w:pPr>
    </w:p>
    <w:p>
      <w:pPr>
        <w:spacing w:after="0" w:line="184" w:lineRule="exact"/>
        <w:tabs>
          <w:tab w:leader="none" w:pos="248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112" w:lineRule="exact"/>
        <w:rPr>
          <w:sz w:val="24"/>
          <w:szCs w:val="24"/>
          <w:color w:val="auto"/>
        </w:rPr>
      </w:pPr>
    </w:p>
    <w:p>
      <w:pPr>
        <w:sectPr>
          <w:pgSz w:w="11900" w:h="16838" w:orient="portrait"/>
          <w:cols w:equalWidth="0" w:num="2">
            <w:col w:w="7280" w:space="460"/>
            <w:col w:w="2540"/>
          </w:cols>
          <w:pgMar w:left="580" w:top="196" w:right="1039" w:bottom="1440" w:gutter="0" w:footer="0" w:header="0"/>
          <w:type w:val="continuous"/>
        </w:sectPr>
      </w:pPr>
    </w:p>
    <w:p>
      <w:pPr>
        <w:ind w:left="500" w:right="160" w:firstLine="3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40" w:firstLine="360"/>
        <w:spacing w:after="0" w:line="236"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w:t>
      </w:r>
    </w:p>
    <w:p>
      <w:pPr>
        <w:ind w:left="500"/>
        <w:spacing w:after="0" w:line="230" w:lineRule="auto"/>
        <w:rPr>
          <w:sz w:val="20"/>
          <w:szCs w:val="20"/>
          <w:color w:val="auto"/>
        </w:rPr>
      </w:pPr>
      <w:r>
        <w:rPr>
          <w:rFonts w:ascii="Arial" w:cs="Arial" w:eastAsia="Arial" w:hAnsi="Arial"/>
          <w:sz w:val="16"/>
          <w:szCs w:val="16"/>
          <w:b w:val="1"/>
          <w:bCs w:val="1"/>
          <w:color w:val="auto"/>
        </w:rPr>
        <w:t>THAT THIS REGISTRATION STATEMENT SHALL THEREAFTER BECOME EFFECTIVE IN ACCORDANCE WITH SECTION 8(A) OF</w:t>
      </w:r>
    </w:p>
    <w:p>
      <w:pPr>
        <w:ind w:left="500" w:right="160"/>
        <w:spacing w:after="0" w:line="245" w:lineRule="auto"/>
        <w:rPr>
          <w:sz w:val="20"/>
          <w:szCs w:val="20"/>
          <w:color w:val="auto"/>
        </w:rPr>
      </w:pPr>
      <w:r>
        <w:rPr>
          <w:rFonts w:ascii="Arial" w:cs="Arial" w:eastAsia="Arial" w:hAnsi="Arial"/>
          <w:sz w:val="15"/>
          <w:szCs w:val="15"/>
          <w:b w:val="1"/>
          <w:bCs w:val="1"/>
          <w:color w:val="auto"/>
        </w:rPr>
        <w:t>THE SECURITIES ACT OF 1933, AS AMENDED, OR UNTIL THIS REGISTRATION STATEMENT SHALL BECOME EFFECTIVE ON SUCH DATE AS THE SECURITIES AND EXCHANGE COMMISSION, ACTING PURSUANT TO SAID SECTION 8(A), MAY DETERMINE</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45720</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196" w:right="10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426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 statement filed with the</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C0014"/>
              </w:rPr>
              <w:t>not soliciting an offer to buy these securities in any jurisdiction</w:t>
            </w:r>
          </w:p>
        </w:tc>
      </w:tr>
      <w:tr>
        <w:trPr>
          <w:trHeight w:val="28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4"/>
              </w:rPr>
              <w:t>sell</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C0014"/>
              </w:rPr>
              <w:t>it is</w:t>
            </w:r>
          </w:p>
        </w:tc>
      </w:tr>
      <w:tr>
        <w:trPr>
          <w:trHeight w:val="142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stockholder may not</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C0014"/>
              </w:rPr>
              <w:t>these securities and</w:t>
            </w:r>
          </w:p>
        </w:tc>
      </w:tr>
      <w:tr>
        <w:trPr>
          <w:trHeight w:val="81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selling</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C0014"/>
              </w:rPr>
              <w:t>offer to sell</w:t>
            </w:r>
          </w:p>
        </w:tc>
      </w:tr>
      <w:tr>
        <w:trPr>
          <w:trHeight w:val="22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C0014"/>
              </w:rPr>
              <w:t>preliminary prospectus is not an</w:t>
            </w:r>
          </w:p>
        </w:tc>
      </w:tr>
      <w:tr>
        <w:trPr>
          <w:trHeight w:val="370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82"/>
              <w:spacing w:after="0"/>
              <w:rPr>
                <w:sz w:val="20"/>
                <w:szCs w:val="20"/>
                <w:color w:val="auto"/>
              </w:rPr>
            </w:pPr>
            <w:r>
              <w:rPr>
                <w:rFonts w:ascii="Arial" w:cs="Arial" w:eastAsia="Arial" w:hAnsi="Arial"/>
                <w:sz w:val="12"/>
                <w:szCs w:val="12"/>
                <w:b w:val="1"/>
                <w:bCs w:val="1"/>
                <w:color w:val="FC0014"/>
                <w:w w:val="71"/>
              </w:rPr>
              <w:t>Securities and Exchange Commission is effective. Thiswheretheofferorsaleisnotpermitted.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C0014"/>
        </w:rPr>
        <w:t>Subject to Completion, dated           , 2023.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63500</wp:posOffset>
            </wp:positionV>
            <wp:extent cx="1603375" cy="1062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337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Mobileye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r>
        <w:rPr>
          <w:rFonts w:ascii="Arial" w:cs="Arial" w:eastAsia="Arial" w:hAnsi="Arial"/>
          <w:sz w:val="28"/>
          <w:szCs w:val="28"/>
          <w:color w:val="auto"/>
        </w:rPr>
        <w:t>​</w:t>
      </w:r>
    </w:p>
    <w:p>
      <w:pPr>
        <w:spacing w:after="0" w:line="25" w:lineRule="exact"/>
        <w:rPr>
          <w:sz w:val="20"/>
          <w:szCs w:val="20"/>
          <w:color w:val="auto"/>
        </w:rPr>
      </w:pPr>
    </w:p>
    <w:p>
      <w:pPr>
        <w:ind w:right="299" w:firstLine="360"/>
        <w:spacing w:after="0" w:line="237" w:lineRule="auto"/>
        <w:rPr>
          <w:sz w:val="20"/>
          <w:szCs w:val="20"/>
          <w:color w:val="auto"/>
        </w:rPr>
      </w:pPr>
      <w:r>
        <w:rPr>
          <w:rFonts w:ascii="Arial" w:cs="Arial" w:eastAsia="Arial" w:hAnsi="Arial"/>
          <w:sz w:val="17"/>
          <w:szCs w:val="17"/>
          <w:color w:val="auto"/>
        </w:rPr>
        <w:t>The selling stockholder identified in this prospectus, Intel Overseas Funding Corporation, a wholly owned subsidiary of Intel Corporation (“Intel”), is offering        shares of our Class A common stock. The shares of Class A common stock being offered by the selling stockholder represent shares of Class A common stock issuable to the selling stockholder upon conversion of shares of our Class B common stock held by the selling stockholder immediately prior to closing of this offering. See “Principal and Selling Stockholders.” We will not receive any proceeds from this offering.</w:t>
      </w:r>
    </w:p>
    <w:p>
      <w:pPr>
        <w:spacing w:after="0" w:line="30" w:lineRule="exact"/>
        <w:rPr>
          <w:sz w:val="20"/>
          <w:szCs w:val="20"/>
          <w:color w:val="auto"/>
        </w:rPr>
      </w:pPr>
    </w:p>
    <w:p>
      <w:pPr>
        <w:ind w:right="179" w:firstLine="360"/>
        <w:spacing w:after="0" w:line="244" w:lineRule="auto"/>
        <w:rPr>
          <w:sz w:val="20"/>
          <w:szCs w:val="20"/>
          <w:color w:val="auto"/>
        </w:rPr>
      </w:pPr>
      <w:r>
        <w:rPr>
          <w:rFonts w:ascii="Arial" w:cs="Arial" w:eastAsia="Arial" w:hAnsi="Arial"/>
          <w:sz w:val="17"/>
          <w:szCs w:val="17"/>
          <w:color w:val="auto"/>
        </w:rPr>
        <w:t>Our Class A common stock is listed on The Nasdaq Global Select Market (“Nasdaq”) under the symbol “MBLY.” The last reported sale price of our Class A common stock on the Nasdaq on March   , 2023 was $     per share.</w:t>
      </w:r>
    </w:p>
    <w:p>
      <w:pPr>
        <w:spacing w:after="0" w:line="25" w:lineRule="exact"/>
        <w:rPr>
          <w:sz w:val="20"/>
          <w:szCs w:val="20"/>
          <w:color w:val="auto"/>
        </w:rPr>
      </w:pPr>
    </w:p>
    <w:p>
      <w:pPr>
        <w:ind w:right="119" w:firstLine="360"/>
        <w:spacing w:after="0" w:line="260"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beneficially owns all of the outstanding shares of our Class B common stock representing approximately 99.3% of the voting power of our common stock. Immediately following the completion of this offering, Intel will continue to beneficially own all of the outstanding shares of our Class B common stock, which will represent approximately       % of our outstanding common stock (or approximately       % if the underwriters exercise their option to purchase additional shares of our Class A common stock in full) and approximately       % of the voting power of our common stock (or approximately</w:t>
      </w:r>
    </w:p>
    <w:p>
      <w:pPr>
        <w:spacing w:after="0" w:line="5" w:lineRule="exact"/>
        <w:rPr>
          <w:sz w:val="20"/>
          <w:szCs w:val="20"/>
          <w:color w:val="auto"/>
        </w:rPr>
      </w:pPr>
    </w:p>
    <w:p>
      <w:pPr>
        <w:ind w:right="259"/>
        <w:spacing w:after="0" w:line="244" w:lineRule="auto"/>
        <w:rPr>
          <w:sz w:val="20"/>
          <w:szCs w:val="20"/>
          <w:color w:val="auto"/>
        </w:rPr>
      </w:pPr>
      <w:r>
        <w:rPr>
          <w:rFonts w:ascii="Arial" w:cs="Arial" w:eastAsia="Arial" w:hAnsi="Arial"/>
          <w:sz w:val="17"/>
          <w:szCs w:val="17"/>
          <w:color w:val="auto"/>
        </w:rPr>
        <w:t>      % if the underwriters exercise their option to purchase additional shares of our Class A common stock in full). As a result, we are and will continue to be a “controlled company” within the meaning of the corporate governance standards of Nasdaq. See “Management — Controlled Company Exemption.”</w:t>
      </w:r>
    </w:p>
    <w:p>
      <w:pPr>
        <w:spacing w:after="0" w:line="34" w:lineRule="exact"/>
        <w:rPr>
          <w:sz w:val="20"/>
          <w:szCs w:val="20"/>
          <w:color w:val="auto"/>
        </w:rPr>
      </w:pPr>
    </w:p>
    <w:p>
      <w:pPr>
        <w:ind w:right="319" w:firstLine="360"/>
        <w:spacing w:after="0" w:line="253" w:lineRule="auto"/>
        <w:rPr>
          <w:sz w:val="20"/>
          <w:szCs w:val="20"/>
          <w:color w:val="auto"/>
        </w:rPr>
      </w:pPr>
      <w:r>
        <w:rPr>
          <w:rFonts w:ascii="Arial" w:cs="Arial" w:eastAsia="Arial" w:hAnsi="Arial"/>
          <w:sz w:val="17"/>
          <w:szCs w:val="17"/>
          <w:b w:val="1"/>
          <w:bCs w:val="1"/>
          <w:color w:val="auto"/>
        </w:rPr>
        <w:t xml:space="preserve">Investing in our common stock involves risks. See “Risk Factors” beginning on page </w:t>
      </w:r>
      <w:r>
        <w:rPr>
          <w:rFonts w:ascii="Arial" w:cs="Arial" w:eastAsia="Arial" w:hAnsi="Arial"/>
          <w:sz w:val="17"/>
          <w:szCs w:val="17"/>
          <w:b w:val="1"/>
          <w:bCs w:val="1"/>
          <w:u w:val="single" w:color="auto"/>
          <w:color w:val="0000EE"/>
        </w:rPr>
        <w:t>9</w:t>
      </w:r>
      <w:r>
        <w:rPr>
          <w:rFonts w:ascii="Arial" w:cs="Arial" w:eastAsia="Arial" w:hAnsi="Arial"/>
          <w:sz w:val="17"/>
          <w:szCs w:val="17"/>
          <w:b w:val="1"/>
          <w:bCs w:val="1"/>
          <w:color w:val="auto"/>
        </w:rPr>
        <w:t>, and the information in the section entitled “Item 1.A. Risk Factors” in our Annual Report on Form 10-K for the year ended December 31, 2022 (the “2022 Form 10-K”) incorporated by reference herein, to read about certain factors you should consider before buying our common stock.</w:t>
      </w:r>
    </w:p>
    <w:p>
      <w:pPr>
        <w:spacing w:after="0" w:line="26" w:lineRule="exact"/>
        <w:rPr>
          <w:sz w:val="20"/>
          <w:szCs w:val="20"/>
          <w:color w:val="auto"/>
        </w:rPr>
      </w:pPr>
    </w:p>
    <w:p>
      <w:pPr>
        <w:ind w:right="139" w:firstLine="360"/>
        <w:spacing w:after="0" w:line="250"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261"/>
        </w:trPr>
        <w:tc>
          <w:tcPr>
            <w:tcW w:w="5340" w:type="dxa"/>
            <w:vAlign w:val="bottom"/>
          </w:tcPr>
          <w:p>
            <w:pPr>
              <w:spacing w:after="0"/>
              <w:rPr>
                <w:sz w:val="20"/>
                <w:szCs w:val="20"/>
                <w:color w:val="auto"/>
              </w:rPr>
            </w:pPr>
            <w:r>
              <w:rPr>
                <w:rFonts w:ascii="Arial" w:cs="Arial" w:eastAsia="Arial" w:hAnsi="Arial"/>
                <w:sz w:val="14"/>
                <w:szCs w:val="14"/>
                <w:b w:val="1"/>
                <w:bCs w:val="1"/>
                <w:color w:val="auto"/>
              </w:rPr>
              <w:t>​</w:t>
            </w:r>
          </w:p>
        </w:tc>
        <w:tc>
          <w:tcPr>
            <w:tcW w:w="2440" w:type="dxa"/>
            <w:vAlign w:val="bottom"/>
            <w:gridSpan w:val="4"/>
          </w:tcPr>
          <w:p>
            <w:pPr>
              <w:ind w:left="1560"/>
              <w:spacing w:after="0" w:line="261"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Per Share </w:t>
            </w:r>
            <w:r>
              <w:rPr>
                <w:rFonts w:ascii="Arial" w:cs="Arial" w:eastAsia="Arial" w:hAnsi="Arial"/>
                <w:sz w:val="28"/>
                <w:szCs w:val="28"/>
                <w:b w:val="1"/>
                <w:bCs w:val="1"/>
                <w:color w:val="auto"/>
                <w:vertAlign w:val="subscript"/>
              </w:rPr>
              <w:t>​</w:t>
            </w:r>
          </w:p>
        </w:tc>
        <w:tc>
          <w:tcPr>
            <w:tcW w:w="480" w:type="dxa"/>
            <w:vAlign w:val="bottom"/>
            <w:gridSpan w:val="3"/>
          </w:tcPr>
          <w:p>
            <w:pPr>
              <w:jc w:val="right"/>
              <w:spacing w:after="0" w:line="261"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Total </w:t>
            </w:r>
            <w:r>
              <w:rPr>
                <w:rFonts w:ascii="Arial" w:cs="Arial" w:eastAsia="Arial" w:hAnsi="Arial"/>
                <w:sz w:val="28"/>
                <w:szCs w:val="28"/>
                <w:b w:val="1"/>
                <w:bCs w:val="1"/>
                <w:color w:val="auto"/>
                <w:vertAlign w:val="subscript"/>
              </w:rPr>
              <w:t>​</w:t>
            </w:r>
          </w:p>
        </w:tc>
      </w:tr>
      <w:tr>
        <w:trPr>
          <w:trHeight w:val="20"/>
        </w:trPr>
        <w:tc>
          <w:tcPr>
            <w:tcW w:w="53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4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 ​$      ​​</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xml:space="preserve">​​$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6"/>
        </w:trPr>
        <w:tc>
          <w:tcPr>
            <w:tcW w:w="534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1"/>
                <w:szCs w:val="21"/>
                <w:color w:val="auto"/>
                <w:vertAlign w:val="superscript"/>
              </w:rPr>
              <w:t>(1)</w:t>
            </w:r>
          </w:p>
        </w:tc>
        <w:tc>
          <w:tcPr>
            <w:tcW w:w="2080" w:type="dxa"/>
            <w:vAlign w:val="bottom"/>
            <w:gridSpan w:val="2"/>
          </w:tcPr>
          <w:p>
            <w:pPr>
              <w:ind w:left="1560"/>
              <w:spacing w:after="0"/>
              <w:rPr>
                <w:sz w:val="20"/>
                <w:szCs w:val="20"/>
                <w:color w:val="auto"/>
              </w:rPr>
            </w:pPr>
            <w:r>
              <w:rPr>
                <w:rFonts w:ascii="Arial" w:cs="Arial" w:eastAsia="Arial" w:hAnsi="Arial"/>
                <w:sz w:val="17"/>
                <w:szCs w:val="17"/>
                <w:color w:val="auto"/>
              </w:rPr>
              <w:t>​ ​ ​$</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the selling stockholder</w:t>
            </w:r>
          </w:p>
        </w:tc>
        <w:tc>
          <w:tcPr>
            <w:tcW w:w="208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 ​ $​</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-453390</wp:posOffset>
            </wp:positionV>
            <wp:extent cx="4997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See “Underwriting” for a description of the compensation payable to the underwriters.</w:t>
      </w:r>
    </w:p>
    <w:p>
      <w:pPr>
        <w:spacing w:after="0" w:line="75" w:lineRule="exact"/>
        <w:rPr>
          <w:sz w:val="20"/>
          <w:szCs w:val="20"/>
          <w:color w:val="auto"/>
        </w:rPr>
      </w:pPr>
    </w:p>
    <w:p>
      <w:pPr>
        <w:ind w:right="179" w:firstLine="360"/>
        <w:spacing w:after="0" w:line="257" w:lineRule="auto"/>
        <w:rPr>
          <w:sz w:val="20"/>
          <w:szCs w:val="20"/>
          <w:color w:val="auto"/>
        </w:rPr>
      </w:pPr>
      <w:r>
        <w:rPr>
          <w:rFonts w:ascii="Arial" w:cs="Arial" w:eastAsia="Arial" w:hAnsi="Arial"/>
          <w:sz w:val="17"/>
          <w:szCs w:val="17"/>
          <w:color w:val="auto"/>
        </w:rPr>
        <w:t>The selling stockholder has granted the underwriters a 30-day option to purchase up to an additional        shares of our Class A common stock at the public offering price less the underwriting discount.</w:t>
      </w:r>
    </w:p>
    <w:p>
      <w:pPr>
        <w:spacing w:after="0" w:line="27" w:lineRule="exact"/>
        <w:rPr>
          <w:sz w:val="20"/>
          <w:szCs w:val="20"/>
          <w:color w:val="auto"/>
        </w:rPr>
      </w:pPr>
    </w:p>
    <w:p>
      <w:pPr>
        <w:ind w:right="759" w:firstLine="360"/>
        <w:spacing w:after="0" w:line="257" w:lineRule="auto"/>
        <w:rPr>
          <w:sz w:val="20"/>
          <w:szCs w:val="20"/>
          <w:color w:val="auto"/>
        </w:rPr>
      </w:pPr>
      <w:r>
        <w:rPr>
          <w:rFonts w:ascii="Arial" w:cs="Arial" w:eastAsia="Arial" w:hAnsi="Arial"/>
          <w:sz w:val="17"/>
          <w:szCs w:val="17"/>
          <w:color w:val="auto"/>
        </w:rPr>
        <w:t>The underwriters expect to deliver the shares of Class A common stock against payment on or about          , 2023.</w:t>
      </w:r>
    </w:p>
    <w:p>
      <w:pPr>
        <w:spacing w:after="0" w:line="53" w:lineRule="exact"/>
        <w:rPr>
          <w:sz w:val="20"/>
          <w:szCs w:val="20"/>
          <w:color w:val="auto"/>
        </w:rPr>
      </w:pPr>
    </w:p>
    <w:p>
      <w:pPr>
        <w:spacing w:after="0"/>
        <w:tabs>
          <w:tab w:leader="none" w:pos="630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p>
    <w:p>
      <w:pPr>
        <w:spacing w:after="0" w:line="220" w:lineRule="exact"/>
        <w:rPr>
          <w:sz w:val="20"/>
          <w:szCs w:val="20"/>
          <w:color w:val="auto"/>
        </w:rPr>
      </w:pPr>
    </w:p>
    <w:p>
      <w:pPr>
        <w:sectPr>
          <w:pgSz w:w="11900" w:h="16838" w:orient="portrait"/>
          <w:cols w:equalWidth="0" w:num="2">
            <w:col w:w="1360" w:space="220"/>
            <w:col w:w="8299"/>
          </w:cols>
          <w:pgMar w:left="580" w:top="90" w:right="1440" w:bottom="1440" w:gutter="0" w:footer="0" w:header="0"/>
          <w:type w:val="continuous"/>
        </w:sectPr>
      </w:pPr>
    </w:p>
    <w:p>
      <w:pPr>
        <w:ind w:left="4380"/>
        <w:spacing w:after="0"/>
        <w:rPr>
          <w:sz w:val="20"/>
          <w:szCs w:val="20"/>
          <w:color w:val="auto"/>
        </w:rPr>
      </w:pPr>
      <w:r>
        <w:rPr>
          <w:rFonts w:ascii="Arial" w:cs="Arial" w:eastAsia="Arial" w:hAnsi="Arial"/>
          <w:sz w:val="15"/>
          <w:szCs w:val="15"/>
          <w:b w:val="1"/>
          <w:bCs w:val="1"/>
          <w:color w:val="auto"/>
        </w:rPr>
        <w:t>Prospectus dated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8065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left="2040"/>
        <w:spacing w:after="0"/>
        <w:rPr>
          <w:sz w:val="20"/>
          <w:szCs w:val="20"/>
          <w:color w:val="auto"/>
        </w:rPr>
      </w:pPr>
      <w:r>
        <w:rPr>
          <w:rFonts w:ascii="Arial" w:cs="Arial" w:eastAsia="Arial" w:hAnsi="Arial"/>
          <w:sz w:val="15"/>
          <w:szCs w:val="15"/>
          <w:b w:val="1"/>
          <w:bCs w:val="1"/>
          <w:color w:val="auto"/>
        </w:rPr>
        <w:t>Confidential Treatment Requested by Mobileye Global Inc. Pursuant to 17 C.F.R. § 200.83.</w:t>
      </w:r>
    </w:p>
    <w:p>
      <w:pPr>
        <w:spacing w:after="0" w:line="75" w:lineRule="exact"/>
        <w:rPr>
          <w:sz w:val="20"/>
          <w:szCs w:val="20"/>
          <w:color w:val="auto"/>
        </w:rPr>
      </w:pPr>
    </w:p>
    <w:p>
      <w:pPr>
        <w:jc w:val="center"/>
        <w:ind w:left="20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Prospectus 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Dilution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Management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Certain Relationships and Related Party Transactions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 Federal Income Tax Considerations for Non-U.S. 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Incorporation by Reference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Additional Information</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34925</wp:posOffset>
            </wp:positionV>
            <wp:extent cx="197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12</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20</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33</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43</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46</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49</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56</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56</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57</w:t>
      </w:r>
      <w:r>
        <w:rPr>
          <w:rFonts w:ascii="Arial" w:cs="Arial" w:eastAsia="Arial" w:hAnsi="Arial"/>
          <w:sz w:val="18"/>
          <w:szCs w:val="18"/>
          <w:color w:val="auto"/>
        </w:rPr>
        <w:t xml:space="preserve"> ​</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58</w:t>
      </w:r>
      <w:r>
        <w:rPr>
          <w:rFonts w:ascii="Arial" w:cs="Arial" w:eastAsia="Arial" w:hAnsi="Arial"/>
          <w:sz w:val="18"/>
          <w:szCs w:val="18"/>
          <w:color w:val="auto"/>
        </w:rPr>
        <w:t xml:space="preserve"> ​</w:t>
      </w:r>
    </w:p>
    <w:p>
      <w:pPr>
        <w:spacing w:after="0" w:line="589" w:lineRule="exact"/>
        <w:rPr>
          <w:sz w:val="20"/>
          <w:szCs w:val="20"/>
          <w:color w:val="auto"/>
        </w:rPr>
      </w:pPr>
    </w:p>
    <w:p>
      <w:pPr>
        <w:sectPr>
          <w:pgSz w:w="11900" w:h="16838" w:orient="portrait"/>
          <w:cols w:equalWidth="0" w:num="2">
            <w:col w:w="8700" w:space="240"/>
            <w:col w:w="939"/>
          </w:cols>
          <w:pgMar w:left="580" w:top="90" w:right="1440" w:bottom="1440" w:gutter="0" w:footer="0" w:header="0"/>
        </w:sectPr>
      </w:pPr>
    </w:p>
    <w:p>
      <w:pPr>
        <w:ind w:left="1260" w:right="439" w:firstLine="360"/>
        <w:spacing w:after="0" w:line="245" w:lineRule="auto"/>
        <w:rPr>
          <w:sz w:val="20"/>
          <w:szCs w:val="20"/>
          <w:color w:val="auto"/>
        </w:rPr>
      </w:pPr>
      <w:r>
        <w:rPr>
          <w:rFonts w:ascii="Arial" w:cs="Arial" w:eastAsia="Arial" w:hAnsi="Arial"/>
          <w:sz w:val="18"/>
          <w:szCs w:val="18"/>
          <w:color w:val="auto"/>
        </w:rPr>
        <w:t>In this prospectus, all references to “we,” “us,” “our,” our “company,” “Mobileye,” the “Company,” and similar terms refer to Mobileye Global Inc. and its consolidated subsidiaries, except as the context requires with respect to our historical results of operations as described in our historical financial statements incorporated by reference herein. References to “Moovit” refer to GG Acquisition Ltd., Moovit App Global Ltd., and their consolidated subsidiaries.</w:t>
      </w:r>
    </w:p>
    <w:p>
      <w:pPr>
        <w:spacing w:after="0" w:line="118"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We have a 52- or 53-week fiscal year that ends on the last Saturday in December. Fiscal years 2021 and 2020 were 52-week fiscal years; fiscal year 2022 was a 53-week fiscal year. Fiscal year 2023 will be a 52-week fiscal year. The additional week in fiscal year 2022 was added to the first quarter, which consisted of 14 weeks. Any references to our performance for the years 2022, 2021 and 2020, are references to our fiscal years ended December 31, 2022, December 25, 2021 and December 26, 2020, respectively, and all references to our financial condition as of the end of 2022 and 2021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pacing w:after="0" w:line="106"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the selling stockholder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the selling stockholder and the underwriters take no responsibility for, and can provide no assurance as to the reliability of, any other information that others may give you or any representation that others may make to you. We, the selling stockholder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1"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Financial statements included in the documents incorporated by reference in this prospectus have been prepared in accordance with United States Generally Accepted Accounting Principles (“GAAP”). We have</w:t>
      </w:r>
    </w:p>
    <w:p>
      <w:pPr>
        <w:spacing w:after="0" w:line="31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included or incorporated by reference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39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48" w:lineRule="exact"/>
        <w:rPr>
          <w:sz w:val="20"/>
          <w:szCs w:val="20"/>
          <w:color w:val="auto"/>
        </w:rPr>
      </w:pPr>
    </w:p>
    <w:p>
      <w:pPr>
        <w:ind w:left="1280" w:right="459" w:firstLine="360"/>
        <w:spacing w:after="0" w:line="261"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and “Cautionary Note Regarding Forward-Looking Statements,” and the sections entitled “Item 1A. Risk Factors” and “Item 7. Management’s Discussion and Analysis of Financial Condition and Results of Operations” in our 2022 Form 10-K incorporated by reference herein, and our historical financial statements and the accompanying notes incorporated by reference in this prospectus, before making an investment decision.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sz w:val="20"/>
          <w:szCs w:val="20"/>
          <w:color w:val="auto"/>
        </w:rPr>
      </w:pPr>
    </w:p>
    <w:p>
      <w:pPr>
        <w:ind w:left="1280" w:right="459" w:firstLine="360"/>
        <w:spacing w:after="0" w:line="249"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3" w:lineRule="exact"/>
        <w:rPr>
          <w:sz w:val="20"/>
          <w:szCs w:val="20"/>
          <w:color w:val="auto"/>
        </w:rPr>
      </w:pPr>
    </w:p>
    <w:p>
      <w:pPr>
        <w:ind w:left="1280" w:right="459" w:firstLine="360"/>
        <w:spacing w:after="0" w:line="249"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While today ADAS is central to the advancement of automotive safety, we believe that the future</w:t>
      </w:r>
    </w:p>
    <w:p>
      <w:pPr>
        <w:spacing w:after="0" w:line="12" w:lineRule="exact"/>
        <w:rPr>
          <w:sz w:val="20"/>
          <w:szCs w:val="20"/>
          <w:color w:val="auto"/>
        </w:rPr>
      </w:pPr>
    </w:p>
    <w:p>
      <w:pPr>
        <w:ind w:left="1280" w:right="399"/>
        <w:spacing w:after="0"/>
        <w:rPr>
          <w:sz w:val="20"/>
          <w:szCs w:val="20"/>
          <w:color w:val="auto"/>
        </w:rPr>
      </w:pPr>
      <w:r>
        <w:rPr>
          <w:rFonts w:ascii="Arial" w:cs="Arial" w:eastAsia="Arial" w:hAnsi="Arial"/>
          <w:sz w:val="18"/>
          <w:szCs w:val="18"/>
          <w:color w:val="auto"/>
        </w:rPr>
        <w:t>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 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8" w:lineRule="exact"/>
        <w:rPr>
          <w:sz w:val="20"/>
          <w:szCs w:val="20"/>
          <w:color w:val="auto"/>
        </w:rPr>
      </w:pPr>
    </w:p>
    <w:p>
      <w:pPr>
        <w:ind w:left="1280" w:right="499" w:firstLine="360"/>
        <w:spacing w:after="0" w:line="243" w:lineRule="auto"/>
        <w:rPr>
          <w:sz w:val="20"/>
          <w:szCs w:val="20"/>
          <w:color w:val="auto"/>
        </w:rPr>
      </w:pPr>
      <w:r>
        <w:rPr>
          <w:rFonts w:ascii="Arial" w:cs="Arial" w:eastAsia="Arial" w:hAnsi="Arial"/>
          <w:sz w:val="18"/>
          <w:szCs w:val="18"/>
          <w:color w:val="auto"/>
        </w:rPr>
        <w:t>We believe that our industry -leading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118" w:lineRule="exact"/>
        <w:rPr>
          <w:sz w:val="20"/>
          <w:szCs w:val="20"/>
          <w:color w:val="auto"/>
        </w:rPr>
      </w:pPr>
    </w:p>
    <w:p>
      <w:pPr>
        <w:ind w:left="1280" w:right="419" w:firstLine="360"/>
        <w:spacing w:after="0" w:line="242" w:lineRule="auto"/>
        <w:rPr>
          <w:sz w:val="20"/>
          <w:szCs w:val="20"/>
          <w:color w:val="auto"/>
        </w:rPr>
      </w:pPr>
      <w:r>
        <w:rPr>
          <w:rFonts w:ascii="Arial" w:cs="Arial" w:eastAsia="Arial" w:hAnsi="Arial"/>
          <w:sz w:val="18"/>
          <w:szCs w:val="18"/>
          <w:color w:val="auto"/>
        </w:rPr>
        <w:t>We have experienced significant growth since our founding. For 2022, 2021 and 2020, our revenue was $1.9 billion, $1.4 billion and $967 million, respectively, representing year-over-year growth of 35% in 2022. We currently derive substantially all of our revenue from our commercially deployed ADAS solutions. We recorded net losses of $82 million, $75 million and $196 million in 2022, 2021 and 2020, respectively. Our Adjusted Net Income for 2022, 2021 and 2020 was $605 million, $474 million and $ 289 million, respectively. Adjusted Net Income is a non-GAAP financial measure; see “Summary Consolidated Financial Information — Non-GAAP Financial Measures” below for a reconciliation of Adjusted Net Income to Net income (loss). The adjustments to reconcile net income (loss) with Adjusted Net Income are related to amortization of intangible assets, stock-based compensation expenses and expenses related to the initial public offering of Mobileye (the “Mobileye IPO”) as well as the related income tax effects where applicable. The amortization of intangible assets consisting of developed technology, customer relationships and brands, is primarily a result of Intel’s acquisition of Mobileye in 2017 and, to a lesser extent, the acquisition</w:t>
      </w:r>
    </w:p>
    <w:p>
      <w:pPr>
        <w:sectPr>
          <w:pgSz w:w="11900" w:h="16838" w:orient="portrait"/>
          <w:cols w:equalWidth="0" w:num="1">
            <w:col w:w="9879"/>
          </w:cols>
          <w:pgMar w:left="580" w:top="90" w:right="1440" w:bottom="1440" w:gutter="0" w:footer="0" w:header="0"/>
        </w:sectPr>
      </w:pPr>
    </w:p>
    <w:p>
      <w:pPr>
        <w:spacing w:after="0" w:line="392"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394" w:lineRule="exact"/>
        <w:rPr>
          <w:sz w:val="20"/>
          <w:szCs w:val="20"/>
          <w:color w:val="auto"/>
        </w:rPr>
      </w:pPr>
    </w:p>
    <w:p>
      <w:pPr>
        <w:ind w:left="1280" w:right="679"/>
        <w:spacing w:after="0" w:line="258" w:lineRule="auto"/>
        <w:rPr>
          <w:sz w:val="20"/>
          <w:szCs w:val="20"/>
          <w:color w:val="auto"/>
        </w:rPr>
      </w:pPr>
      <w:r>
        <w:rPr>
          <w:rFonts w:ascii="Arial" w:cs="Arial" w:eastAsia="Arial" w:hAnsi="Arial"/>
          <w:sz w:val="17"/>
          <w:szCs w:val="17"/>
          <w:color w:val="auto"/>
        </w:rPr>
        <w:t>of Moovit in 2020. As noted elsewhere in this prospectus, the year ended December 31, 2022 contains an additional week as a result of 2022 being a 53-week fiscal year while 2021 and 2020 are 52-week</w:t>
      </w:r>
    </w:p>
    <w:p>
      <w:pPr>
        <w:spacing w:after="0" w:line="1" w:lineRule="exact"/>
        <w:rPr>
          <w:sz w:val="20"/>
          <w:szCs w:val="20"/>
          <w:color w:val="auto"/>
        </w:rPr>
      </w:pPr>
    </w:p>
    <w:p>
      <w:pPr>
        <w:ind w:left="1280" w:right="559"/>
        <w:spacing w:after="0" w:line="242" w:lineRule="auto"/>
        <w:rPr>
          <w:sz w:val="20"/>
          <w:szCs w:val="20"/>
          <w:color w:val="auto"/>
        </w:rPr>
      </w:pPr>
      <w:r>
        <w:rPr>
          <w:rFonts w:ascii="Arial" w:cs="Arial" w:eastAsia="Arial" w:hAnsi="Arial"/>
          <w:sz w:val="18"/>
          <w:szCs w:val="18"/>
          <w:color w:val="auto"/>
        </w:rPr>
        <w:t>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121" w:lineRule="exact"/>
        <w:rPr>
          <w:sz w:val="20"/>
          <w:szCs w:val="20"/>
          <w:color w:val="auto"/>
        </w:rPr>
      </w:pPr>
    </w:p>
    <w:p>
      <w:pPr>
        <w:ind w:left="1280" w:right="399" w:firstLine="360"/>
        <w:spacing w:after="0" w:line="223" w:lineRule="auto"/>
        <w:rPr>
          <w:sz w:val="20"/>
          <w:szCs w:val="20"/>
          <w:color w:val="auto"/>
        </w:rPr>
      </w:pPr>
      <w:r>
        <w:rPr>
          <w:rFonts w:ascii="Arial" w:cs="Arial" w:eastAsia="Arial" w:hAnsi="Arial"/>
          <w:sz w:val="18"/>
          <w:szCs w:val="18"/>
          <w:color w:val="auto"/>
        </w:rPr>
        <w:t>As of December 31, 2022, our solutions had been installed in approximately 800 vehicle models (including local country, year, and other vehicle model variations), and our System-on -Chips (“SoCs”) had been deployed in over 135 million vehicles. We are actively working with more than 50 Original Equipment Manufacturers (“OEMs”) worldwide on the implementation of our ADAS solutions. For the year ended December 31, 2022, we shipped approximately 33.7 million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and SuperVision™ systems, of which the substantial majority were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This represents an increase from approximately 28.1 million systems that we shipped in 2021 and approximately 19.7 million systems that we shipped in 2020.</w:t>
      </w:r>
    </w:p>
    <w:p>
      <w:pPr>
        <w:spacing w:after="0" w:line="19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158"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7"/>
          <w:szCs w:val="17"/>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(“Nasdaq”) under the ticker symbol “MBLY” on October 26, 2022. Prior to the completion of the Mobileye IPO, we were a wholly-owned business of Intel. On November 1, 2022, we closed the sale of additional shares pursuant to the exercise of the underwriters’ option to purchase additional shares in full. As of March 1, 2023, Intel directly or indirectly held all of the Class B common stock of Mobileye, which represented approximately 93.5% of our outstanding common stock and 99.3% of the voting power of our outstanding common stock. Upon completion of this offering, Intel will own all of our outstanding Class B common stock, which will represent approximately       % of our outstanding common stock (or       % if the underwriters exercise their option to purchase additional shares in full), and       % of the voting power of our outstanding common stock (or approximately       % if the underwriters exercise their option to purchase additional shares in full).</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519" w:firstLine="360"/>
        <w:spacing w:after="0" w:line="245" w:lineRule="auto"/>
        <w:rPr>
          <w:sz w:val="20"/>
          <w:szCs w:val="20"/>
          <w:color w:val="auto"/>
        </w:rPr>
      </w:pPr>
      <w:r>
        <w:rPr>
          <w:rFonts w:ascii="Arial" w:cs="Arial" w:eastAsia="Arial" w:hAnsi="Arial"/>
          <w:sz w:val="18"/>
          <w:szCs w:val="18"/>
          <w:color w:val="auto"/>
        </w:rPr>
        <w:t>Mobileye was founded in Israel in 1999. Our co- 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Trademarks and Trade Names</w:t>
      </w:r>
    </w:p>
    <w:p>
      <w:pPr>
        <w:spacing w:after="0" w:line="162" w:lineRule="exact"/>
        <w:rPr>
          <w:sz w:val="20"/>
          <w:szCs w:val="20"/>
          <w:color w:val="auto"/>
        </w:rPr>
      </w:pPr>
    </w:p>
    <w:p>
      <w:pPr>
        <w:jc w:val="both"/>
        <w:ind w:left="1280" w:right="699" w:firstLine="360"/>
        <w:spacing w:after="0" w:line="217" w:lineRule="auto"/>
        <w:rPr>
          <w:sz w:val="20"/>
          <w:szCs w:val="20"/>
          <w:color w:val="auto"/>
        </w:rPr>
      </w:pPr>
      <w:r>
        <w:rPr>
          <w:rFonts w:ascii="Arial" w:cs="Arial" w:eastAsia="Arial" w:hAnsi="Arial"/>
          <w:sz w:val="16"/>
          <w:szCs w:val="16"/>
          <w:color w:val="auto"/>
        </w:rPr>
        <w:t>The Mobileye name, our logo, and other trademarks mentioned in this prospectus, including, among others, EyeQ</w:t>
      </w:r>
      <w:r>
        <w:rPr>
          <w:rFonts w:ascii="Arial" w:cs="Arial" w:eastAsia="Arial" w:hAnsi="Arial"/>
          <w:sz w:val="23"/>
          <w:szCs w:val="23"/>
          <w:color w:val="auto"/>
          <w:vertAlign w:val="superscript"/>
        </w:rPr>
        <w:t>®</w:t>
      </w:r>
      <w:r>
        <w:rPr>
          <w:rFonts w:ascii="Arial" w:cs="Arial" w:eastAsia="Arial" w:hAnsi="Arial"/>
          <w:sz w:val="16"/>
          <w:szCs w:val="16"/>
          <w:color w:val="auto"/>
        </w:rPr>
        <w:t>, EyeQ Ultra</w:t>
      </w:r>
      <w:r>
        <w:rPr>
          <w:rFonts w:ascii="Arial" w:cs="Arial" w:eastAsia="Arial" w:hAnsi="Arial"/>
          <w:sz w:val="23"/>
          <w:szCs w:val="23"/>
          <w:color w:val="auto"/>
          <w:vertAlign w:val="superscript"/>
        </w:rPr>
        <w:t>™</w:t>
      </w:r>
      <w:r>
        <w:rPr>
          <w:rFonts w:ascii="Arial" w:cs="Arial" w:eastAsia="Arial" w:hAnsi="Arial"/>
          <w:sz w:val="16"/>
          <w:szCs w:val="16"/>
          <w:color w:val="auto"/>
        </w:rPr>
        <w:t>, EyeQ Kit</w:t>
      </w:r>
      <w:r>
        <w:rPr>
          <w:rFonts w:ascii="Arial" w:cs="Arial" w:eastAsia="Arial" w:hAnsi="Arial"/>
          <w:sz w:val="23"/>
          <w:szCs w:val="23"/>
          <w:color w:val="auto"/>
          <w:vertAlign w:val="superscript"/>
        </w:rPr>
        <w:t>™</w:t>
      </w:r>
      <w:r>
        <w:rPr>
          <w:rFonts w:ascii="Arial" w:cs="Arial" w:eastAsia="Arial" w:hAnsi="Arial"/>
          <w:sz w:val="16"/>
          <w:szCs w:val="16"/>
          <w:color w:val="auto"/>
        </w:rPr>
        <w:t>, Road Experience Management</w:t>
      </w:r>
      <w:r>
        <w:rPr>
          <w:rFonts w:ascii="Arial" w:cs="Arial" w:eastAsia="Arial" w:hAnsi="Arial"/>
          <w:sz w:val="23"/>
          <w:szCs w:val="23"/>
          <w:color w:val="auto"/>
          <w:vertAlign w:val="superscript"/>
        </w:rPr>
        <w:t>™</w:t>
      </w:r>
      <w:r>
        <w:rPr>
          <w:rFonts w:ascii="Arial" w:cs="Arial" w:eastAsia="Arial" w:hAnsi="Arial"/>
          <w:sz w:val="16"/>
          <w:szCs w:val="16"/>
          <w:color w:val="auto"/>
        </w:rPr>
        <w:t>, REM</w:t>
      </w:r>
      <w:r>
        <w:rPr>
          <w:rFonts w:ascii="Arial" w:cs="Arial" w:eastAsia="Arial" w:hAnsi="Arial"/>
          <w:sz w:val="23"/>
          <w:szCs w:val="23"/>
          <w:color w:val="auto"/>
          <w:vertAlign w:val="superscript"/>
        </w:rPr>
        <w:t>™</w:t>
      </w:r>
      <w:r>
        <w:rPr>
          <w:rFonts w:ascii="Arial" w:cs="Arial" w:eastAsia="Arial" w:hAnsi="Arial"/>
          <w:sz w:val="16"/>
          <w:szCs w:val="16"/>
          <w:color w:val="auto"/>
        </w:rPr>
        <w:t>, True Redundancy</w:t>
      </w:r>
      <w:r>
        <w:rPr>
          <w:rFonts w:ascii="Arial" w:cs="Arial" w:eastAsia="Arial" w:hAnsi="Arial"/>
          <w:sz w:val="23"/>
          <w:szCs w:val="23"/>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ind w:left="1280" w:right="719"/>
        <w:spacing w:after="0" w:line="226" w:lineRule="auto"/>
        <w:rPr>
          <w:sz w:val="20"/>
          <w:szCs w:val="20"/>
          <w:color w:val="auto"/>
        </w:rPr>
      </w:pPr>
      <w:r>
        <w:rPr>
          <w:rFonts w:ascii="Arial" w:cs="Arial" w:eastAsia="Arial" w:hAnsi="Arial"/>
          <w:sz w:val="18"/>
          <w:szCs w:val="18"/>
          <w:color w:val="auto"/>
        </w:rPr>
        <w:t>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Mobileye Drive</w:t>
      </w:r>
      <w:r>
        <w:rPr>
          <w:rFonts w:ascii="Arial" w:cs="Arial" w:eastAsia="Arial" w:hAnsi="Arial"/>
          <w:sz w:val="26"/>
          <w:szCs w:val="26"/>
          <w:color w:val="auto"/>
          <w:vertAlign w:val="superscript"/>
        </w:rPr>
        <w:t>™</w:t>
      </w:r>
      <w:r>
        <w:rPr>
          <w:rFonts w:ascii="Arial" w:cs="Arial" w:eastAsia="Arial" w:hAnsi="Arial"/>
          <w:sz w:val="18"/>
          <w:szCs w:val="18"/>
          <w:color w:val="auto"/>
        </w:rPr>
        <w:t>,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and Moovit, are the property of Mobileye. Trade names, trademarks, and service marks of other companies appearing or incorporated by reference in this prospectus are the property of their respective holders.</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 Summary</w:t>
      </w:r>
    </w:p>
    <w:p>
      <w:pPr>
        <w:spacing w:after="0" w:line="148" w:lineRule="exact"/>
        <w:rPr>
          <w:sz w:val="20"/>
          <w:szCs w:val="20"/>
          <w:color w:val="auto"/>
        </w:rPr>
      </w:pPr>
    </w:p>
    <w:p>
      <w:pPr>
        <w:ind w:left="1280" w:right="599" w:firstLine="360"/>
        <w:spacing w:after="0" w:line="249"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in this prospectus and the section entitled “Item 1.A. Risk Factors” in our 2022 Form 10-K, which is incorporated by reference in this prospectus, and include:</w:t>
      </w:r>
    </w:p>
    <w:p>
      <w:pPr>
        <w:spacing w:after="0" w:line="73" w:lineRule="exact"/>
        <w:rPr>
          <w:sz w:val="20"/>
          <w:szCs w:val="20"/>
          <w:color w:val="auto"/>
        </w:rPr>
      </w:pPr>
    </w:p>
    <w:p>
      <w:pPr>
        <w:jc w:val="both"/>
        <w:ind w:left="1820" w:right="719" w:hanging="186"/>
        <w:spacing w:after="0" w:line="263" w:lineRule="auto"/>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are unable to develop and introduce new solutions and improve existing solutions in a cost-effective and timely manner, our business, results of operations, and financial condition would be adversely affected.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8130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7355" cy="8130540"/>
                    </a:xfrm>
                    <a:prstGeom prst="rect">
                      <a:avLst/>
                    </a:prstGeom>
                    <a:noFill/>
                  </pic:spPr>
                </pic:pic>
              </a:graphicData>
            </a:graphic>
          </wp:anchor>
        </w:drawing>
      </w:r>
    </w:p>
    <w:p>
      <w:pPr>
        <w:spacing w:after="0" w:line="394" w:lineRule="exact"/>
        <w:rPr>
          <w:sz w:val="20"/>
          <w:szCs w:val="20"/>
          <w:color w:val="auto"/>
        </w:rPr>
      </w:pPr>
    </w:p>
    <w:p>
      <w:pPr>
        <w:ind w:left="1820" w:right="45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62" w:lineRule="exact"/>
        <w:rPr>
          <w:rFonts w:ascii="Arial" w:cs="Arial" w:eastAsia="Arial" w:hAnsi="Arial"/>
          <w:sz w:val="18"/>
          <w:szCs w:val="18"/>
          <w:color w:val="auto"/>
        </w:rPr>
      </w:pPr>
    </w:p>
    <w:p>
      <w:pPr>
        <w:ind w:left="1820" w:hanging="186"/>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80" w:lineRule="exact"/>
        <w:rPr>
          <w:rFonts w:ascii="Arial" w:cs="Arial" w:eastAsia="Arial" w:hAnsi="Arial"/>
          <w:sz w:val="18"/>
          <w:szCs w:val="18"/>
          <w:color w:val="auto"/>
        </w:rPr>
      </w:pPr>
    </w:p>
    <w:p>
      <w:pPr>
        <w:jc w:val="both"/>
        <w:ind w:left="1820" w:right="539" w:hanging="186"/>
        <w:spacing w:after="0" w:line="22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experienced and are continuing to experience constraints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as the result of the global semiconductor shortage, and future shortages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or other critical parts would adversely affect our business, results of operations, and financial condition.</w:t>
      </w:r>
    </w:p>
    <w:p>
      <w:pPr>
        <w:spacing w:after="0" w:line="95" w:lineRule="exact"/>
        <w:rPr>
          <w:rFonts w:ascii="Arial" w:cs="Arial" w:eastAsia="Arial" w:hAnsi="Arial"/>
          <w:sz w:val="18"/>
          <w:szCs w:val="18"/>
          <w:color w:val="auto"/>
        </w:rPr>
      </w:pPr>
    </w:p>
    <w:p>
      <w:pPr>
        <w:jc w:val="both"/>
        <w:ind w:left="1820" w:right="59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62" w:lineRule="exact"/>
        <w:rPr>
          <w:rFonts w:ascii="Arial" w:cs="Arial" w:eastAsia="Arial" w:hAnsi="Arial"/>
          <w:sz w:val="18"/>
          <w:szCs w:val="18"/>
          <w:color w:val="auto"/>
        </w:rPr>
      </w:pPr>
    </w:p>
    <w:p>
      <w:pPr>
        <w:ind w:left="1820" w:right="117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costs of the materials and other components that we use in our solutions would adversely affect our business, results of operations, and financial condition.</w:t>
      </w:r>
    </w:p>
    <w:p>
      <w:pPr>
        <w:spacing w:after="0" w:line="62" w:lineRule="exact"/>
        <w:rPr>
          <w:rFonts w:ascii="Arial" w:cs="Arial" w:eastAsia="Arial" w:hAnsi="Arial"/>
          <w:sz w:val="18"/>
          <w:szCs w:val="18"/>
          <w:color w:val="auto"/>
        </w:rPr>
      </w:pPr>
    </w:p>
    <w:p>
      <w:pPr>
        <w:jc w:val="both"/>
        <w:ind w:left="1820" w:right="419" w:hanging="186"/>
        <w:spacing w:after="0" w:line="259"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65" w:lineRule="exact"/>
        <w:rPr>
          <w:rFonts w:ascii="Arial" w:cs="Arial" w:eastAsia="Arial" w:hAnsi="Arial"/>
          <w:sz w:val="18"/>
          <w:szCs w:val="18"/>
          <w:color w:val="auto"/>
        </w:rPr>
      </w:pPr>
    </w:p>
    <w:p>
      <w:pPr>
        <w:jc w:val="both"/>
        <w:ind w:left="1820" w:right="519" w:hanging="186"/>
        <w:spacing w:after="0" w:line="279"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63" w:lineRule="exact"/>
        <w:rPr>
          <w:rFonts w:ascii="Arial" w:cs="Arial" w:eastAsia="Arial" w:hAnsi="Arial"/>
          <w:sz w:val="17"/>
          <w:szCs w:val="17"/>
          <w:color w:val="auto"/>
        </w:rPr>
      </w:pPr>
    </w:p>
    <w:p>
      <w:pPr>
        <w:ind w:left="1820" w:right="45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75" w:lineRule="exact"/>
        <w:rPr>
          <w:rFonts w:ascii="Arial" w:cs="Arial" w:eastAsia="Arial" w:hAnsi="Arial"/>
          <w:sz w:val="18"/>
          <w:szCs w:val="18"/>
          <w:color w:val="auto"/>
        </w:rPr>
      </w:pPr>
    </w:p>
    <w:p>
      <w:pPr>
        <w:ind w:left="1820" w:right="779" w:hanging="186"/>
        <w:spacing w:after="0" w:line="25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66" w:lineRule="exact"/>
        <w:rPr>
          <w:rFonts w:ascii="Arial" w:cs="Arial" w:eastAsia="Arial" w:hAnsi="Arial"/>
          <w:sz w:val="18"/>
          <w:szCs w:val="18"/>
          <w:color w:val="auto"/>
        </w:rPr>
      </w:pPr>
    </w:p>
    <w:p>
      <w:pPr>
        <w:ind w:left="1820" w:right="89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highly dependent on the services of Professor Amnon Shashua, our President and Chief Executive Officer.</w:t>
      </w:r>
    </w:p>
    <w:p>
      <w:pPr>
        <w:spacing w:after="0" w:line="62" w:lineRule="exact"/>
        <w:rPr>
          <w:rFonts w:ascii="Arial" w:cs="Arial" w:eastAsia="Arial" w:hAnsi="Arial"/>
          <w:sz w:val="18"/>
          <w:szCs w:val="18"/>
          <w:color w:val="auto"/>
        </w:rPr>
      </w:pPr>
    </w:p>
    <w:p>
      <w:pPr>
        <w:ind w:left="1820" w:right="115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attract, retain, and motivate key employees, then our business, results of operations, and financial condition would be adversely affected.</w:t>
      </w:r>
    </w:p>
    <w:p>
      <w:pPr>
        <w:spacing w:after="0" w:line="48" w:lineRule="exact"/>
        <w:rPr>
          <w:rFonts w:ascii="Arial" w:cs="Arial" w:eastAsia="Arial" w:hAnsi="Arial"/>
          <w:sz w:val="18"/>
          <w:szCs w:val="18"/>
          <w:color w:val="auto"/>
        </w:rPr>
      </w:pPr>
    </w:p>
    <w:p>
      <w:pPr>
        <w:ind w:left="1820" w:right="839" w:hanging="186"/>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face integration risks and costs associated with companies, assets, employees, products, and technologies that we have or that we may acquire, including with our acquisition of Moovit.</w:t>
      </w:r>
    </w:p>
    <w:p>
      <w:pPr>
        <w:spacing w:after="0" w:line="38" w:lineRule="exact"/>
        <w:rPr>
          <w:rFonts w:ascii="Arial" w:cs="Arial" w:eastAsia="Arial" w:hAnsi="Arial"/>
          <w:sz w:val="17"/>
          <w:szCs w:val="17"/>
          <w:color w:val="auto"/>
        </w:rPr>
      </w:pPr>
    </w:p>
    <w:p>
      <w:pPr>
        <w:ind w:left="1820" w:right="49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to our information technology systems and networks and cybersecurity incidents could adversely affect our business, results of operations, and financial condition.</w:t>
      </w:r>
    </w:p>
    <w:p>
      <w:pPr>
        <w:spacing w:after="0" w:line="62" w:lineRule="exact"/>
        <w:rPr>
          <w:rFonts w:ascii="Arial" w:cs="Arial" w:eastAsia="Arial" w:hAnsi="Arial"/>
          <w:sz w:val="18"/>
          <w:szCs w:val="18"/>
          <w:color w:val="auto"/>
        </w:rPr>
      </w:pPr>
    </w:p>
    <w:p>
      <w:pPr>
        <w:ind w:left="1820" w:right="57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Security breaches and other disruptions of our in-vehicle systems and related data could impact the safety of our end users and reduce confidence in us and our solutions.</w:t>
      </w:r>
    </w:p>
    <w:p>
      <w:pPr>
        <w:spacing w:after="0" w:line="48" w:lineRule="exact"/>
        <w:rPr>
          <w:rFonts w:ascii="Arial" w:cs="Arial" w:eastAsia="Arial" w:hAnsi="Arial"/>
          <w:sz w:val="18"/>
          <w:szCs w:val="18"/>
          <w:color w:val="auto"/>
        </w:rPr>
      </w:pPr>
    </w:p>
    <w:p>
      <w:pPr>
        <w:ind w:left="1820" w:right="459" w:hanging="186"/>
        <w:spacing w:after="0" w:line="277"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uncertain economic environment and inflationary conditions may adversely affect global vehicle production and demand for our solutions.</w:t>
      </w:r>
    </w:p>
    <w:p>
      <w:pPr>
        <w:spacing w:after="0" w:line="62" w:lineRule="exact"/>
        <w:rPr>
          <w:rFonts w:ascii="Arial" w:cs="Arial" w:eastAsia="Arial" w:hAnsi="Arial"/>
          <w:sz w:val="18"/>
          <w:szCs w:val="18"/>
          <w:color w:val="auto"/>
        </w:rPr>
      </w:pPr>
    </w:p>
    <w:p>
      <w:pPr>
        <w:ind w:left="1820" w:right="419" w:hanging="186"/>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OEMs are unable to maintain and increase consumer acceptance of ADAS and autonomous driving technology, our business, results of operations, and financial condition would be adversely affected.</w:t>
      </w:r>
    </w:p>
    <w:p>
      <w:pPr>
        <w:spacing w:after="0" w:line="38" w:lineRule="exact"/>
        <w:rPr>
          <w:rFonts w:ascii="Arial" w:cs="Arial" w:eastAsia="Arial" w:hAnsi="Arial"/>
          <w:sz w:val="17"/>
          <w:szCs w:val="17"/>
          <w:color w:val="auto"/>
        </w:rPr>
      </w:pPr>
    </w:p>
    <w:p>
      <w:pPr>
        <w:ind w:left="1820" w:right="519" w:hanging="186"/>
        <w:spacing w:after="0" w:line="263" w:lineRule="auto"/>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2" w:lineRule="exact"/>
        <w:rPr>
          <w:rFonts w:ascii="Arial" w:cs="Arial" w:eastAsia="Arial" w:hAnsi="Arial"/>
          <w:sz w:val="18"/>
          <w:szCs w:val="18"/>
          <w:color w:val="auto"/>
        </w:rPr>
      </w:pPr>
    </w:p>
    <w:p>
      <w:pPr>
        <w:ind w:left="1820" w:right="419" w:hanging="186"/>
        <w:spacing w:after="0" w:line="308" w:lineRule="auto"/>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Intel, and Intel will beneficially own all shares of our Class B common stock, representing a majority</w:t>
      </w:r>
    </w:p>
    <w:p>
      <w:pPr>
        <w:sectPr>
          <w:pgSz w:w="11900" w:h="16838" w:orient="portrait"/>
          <w:cols w:equalWidth="0" w:num="1">
            <w:col w:w="9879"/>
          </w:cols>
          <w:pgMar w:left="580" w:top="90" w:right="1440" w:bottom="1440" w:gutter="0" w:footer="0" w:header="0"/>
        </w:sectPr>
      </w:pPr>
    </w:p>
    <w:p>
      <w:pPr>
        <w:spacing w:after="0" w:line="34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394" w:lineRule="exact"/>
        <w:rPr>
          <w:sz w:val="20"/>
          <w:szCs w:val="20"/>
          <w:color w:val="auto"/>
        </w:rPr>
      </w:pPr>
    </w:p>
    <w:p>
      <w:pPr>
        <w:ind w:left="1820" w:right="1079"/>
        <w:spacing w:after="0" w:line="263" w:lineRule="auto"/>
        <w:rPr>
          <w:sz w:val="20"/>
          <w:szCs w:val="20"/>
          <w:color w:val="auto"/>
        </w:rPr>
      </w:pPr>
      <w:r>
        <w:rPr>
          <w:rFonts w:ascii="Arial" w:cs="Arial" w:eastAsia="Arial" w:hAnsi="Arial"/>
          <w:sz w:val="18"/>
          <w:szCs w:val="18"/>
          <w:color w:val="auto"/>
        </w:rPr>
        <w:t>of the shares of our common stock and approximately       % of the voting power of our outstanding common stock following this offering. This will limit or preclude your ability to influence corporate matters.</w:t>
      </w:r>
    </w:p>
    <w:p>
      <w:pPr>
        <w:spacing w:after="0" w:line="76" w:lineRule="exact"/>
        <w:rPr>
          <w:sz w:val="20"/>
          <w:szCs w:val="20"/>
          <w:color w:val="auto"/>
        </w:rPr>
      </w:pPr>
    </w:p>
    <w:p>
      <w:pPr>
        <w:ind w:left="1820" w:right="699" w:hanging="186"/>
        <w:spacing w:after="0" w:line="271"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ind w:left="1820" w:right="579" w:hanging="6"/>
        <w:spacing w:after="0" w:line="260" w:lineRule="auto"/>
        <w:tabs>
          <w:tab w:leader="none" w:pos="215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Intel’s controlling beneficial ownership interest in our company, we may not be able to resolve such conflicts on terms favorable to us.</w:t>
      </w:r>
    </w:p>
    <w:p>
      <w:pPr>
        <w:spacing w:after="0" w:line="77" w:lineRule="exact"/>
        <w:rPr>
          <w:rFonts w:ascii="Arial" w:cs="Arial" w:eastAsia="Arial" w:hAnsi="Arial"/>
          <w:sz w:val="18"/>
          <w:szCs w:val="18"/>
          <w:color w:val="auto"/>
        </w:rPr>
      </w:pPr>
    </w:p>
    <w:p>
      <w:pPr>
        <w:ind w:left="1820" w:right="739" w:hanging="186"/>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5"/>
          <w:szCs w:val="15"/>
          <w:b w:val="1"/>
          <w:bCs w:val="1"/>
          <w:color w:val="auto"/>
        </w:rPr>
        <w:t>Confidential Treatment Requested by Mobileye Global Inc. Pursuant to 17 C.F.R. § 200.83.</w:t>
      </w:r>
    </w:p>
    <w:p>
      <w:pPr>
        <w:spacing w:after="0" w:line="7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460" w:right="360" w:hanging="179"/>
        <w:spacing w:after="0" w:line="277" w:lineRule="auto"/>
        <w:rPr>
          <w:sz w:val="20"/>
          <w:szCs w:val="20"/>
          <w:color w:val="auto"/>
        </w:rPr>
      </w:pPr>
      <w:r>
        <w:rPr>
          <w:rFonts w:ascii="Arial" w:cs="Arial" w:eastAsia="Arial" w:hAnsi="Arial"/>
          <w:sz w:val="18"/>
          <w:szCs w:val="18"/>
          <w:color w:val="auto"/>
        </w:rPr>
        <w:t>Class A common stock offered by the selling stockholder</w:t>
      </w:r>
    </w:p>
    <w:p>
      <w:pPr>
        <w:spacing w:after="0" w:line="62" w:lineRule="exact"/>
        <w:rPr>
          <w:sz w:val="20"/>
          <w:szCs w:val="20"/>
          <w:color w:val="auto"/>
        </w:rPr>
      </w:pPr>
    </w:p>
    <w:p>
      <w:pPr>
        <w:ind w:left="1460" w:right="2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00" w:lineRule="exact"/>
        <w:rPr>
          <w:sz w:val="20"/>
          <w:szCs w:val="20"/>
          <w:color w:val="auto"/>
        </w:rPr>
      </w:pPr>
    </w:p>
    <w:p>
      <w:pPr>
        <w:spacing w:after="0" w:line="294" w:lineRule="exact"/>
        <w:rPr>
          <w:sz w:val="20"/>
          <w:szCs w:val="20"/>
          <w:color w:val="auto"/>
        </w:rPr>
      </w:pPr>
    </w:p>
    <w:p>
      <w:pPr>
        <w:ind w:left="1460" w:right="520" w:hanging="179"/>
        <w:spacing w:after="0" w:line="308" w:lineRule="auto"/>
        <w:rPr>
          <w:sz w:val="20"/>
          <w:szCs w:val="20"/>
          <w:color w:val="auto"/>
        </w:rPr>
      </w:pPr>
      <w:r>
        <w:rPr>
          <w:rFonts w:ascii="Arial" w:cs="Arial" w:eastAsia="Arial" w:hAnsi="Arial"/>
          <w:sz w:val="17"/>
          <w:szCs w:val="17"/>
          <w:color w:val="auto"/>
        </w:rPr>
        <w:t>Total shares of common stock to be outstanding after this offering</w:t>
      </w:r>
    </w:p>
    <w:p>
      <w:pPr>
        <w:spacing w:after="0" w:line="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Voting power held by holders of Class A common stock after giving effect to this offering</w:t>
      </w:r>
    </w:p>
    <w:p>
      <w:pPr>
        <w:spacing w:after="0" w:line="200" w:lineRule="exact"/>
        <w:rPr>
          <w:sz w:val="20"/>
          <w:szCs w:val="20"/>
          <w:color w:val="auto"/>
        </w:rPr>
      </w:pPr>
    </w:p>
    <w:p>
      <w:pPr>
        <w:spacing w:after="0" w:line="308" w:lineRule="exact"/>
        <w:rPr>
          <w:sz w:val="20"/>
          <w:szCs w:val="20"/>
          <w:color w:val="auto"/>
        </w:rPr>
      </w:pPr>
    </w:p>
    <w:p>
      <w:pPr>
        <w:ind w:left="1460" w:hanging="179"/>
        <w:spacing w:after="0" w:line="263" w:lineRule="auto"/>
        <w:rPr>
          <w:sz w:val="20"/>
          <w:szCs w:val="20"/>
          <w:color w:val="auto"/>
        </w:rPr>
      </w:pPr>
      <w:r>
        <w:rPr>
          <w:rFonts w:ascii="Arial" w:cs="Arial" w:eastAsia="Arial" w:hAnsi="Arial"/>
          <w:sz w:val="18"/>
          <w:szCs w:val="18"/>
          <w:color w:val="auto"/>
        </w:rPr>
        <w:t>Voting power held by holders of Class B common stock after giving effect to this offering</w:t>
      </w:r>
    </w:p>
    <w:p>
      <w:pPr>
        <w:spacing w:after="0" w:line="200" w:lineRule="exact"/>
        <w:rPr>
          <w:sz w:val="20"/>
          <w:szCs w:val="20"/>
          <w:color w:val="auto"/>
        </w:rPr>
      </w:pPr>
    </w:p>
    <w:p>
      <w:pPr>
        <w:spacing w:after="0" w:line="3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Conversion of Class B common stock</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Mobileye Global Inc.</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shares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selling stockholder has granted the underwriters an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option to purchase up to        additional shares 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Class A common stock. The underwriters may exercise this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option at any time within 30 days from the date of this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prospectus. See “Underwriting.”</w:t>
      </w:r>
    </w:p>
    <w:p>
      <w:pPr>
        <w:spacing w:after="0" w:line="319" w:lineRule="exact"/>
        <w:rPr>
          <w:sz w:val="20"/>
          <w:szCs w:val="20"/>
          <w:color w:val="auto"/>
        </w:rPr>
      </w:pPr>
    </w:p>
    <w:p>
      <w:pPr>
        <w:jc w:val="both"/>
        <w:ind w:left="220" w:right="959"/>
        <w:spacing w:after="0" w:line="286" w:lineRule="auto"/>
        <w:rPr>
          <w:sz w:val="20"/>
          <w:szCs w:val="20"/>
          <w:color w:val="auto"/>
        </w:rPr>
      </w:pPr>
      <w:r>
        <w:rPr>
          <w:rFonts w:ascii="Arial" w:cs="Arial" w:eastAsia="Arial" w:hAnsi="Arial"/>
          <w:sz w:val="17"/>
          <w:szCs w:val="17"/>
          <w:color w:val="auto"/>
        </w:rPr>
        <w:t>       shares (or        shares if the underwriters exercise their option to purchase additional shares of Class A common stock in full).</w:t>
      </w:r>
    </w:p>
    <w:p>
      <w:pPr>
        <w:spacing w:after="0" w:line="273" w:lineRule="exact"/>
        <w:rPr>
          <w:sz w:val="20"/>
          <w:szCs w:val="20"/>
          <w:color w:val="auto"/>
        </w:rPr>
      </w:pPr>
    </w:p>
    <w:p>
      <w:pPr>
        <w:jc w:val="both"/>
        <w:ind w:left="220" w:right="959"/>
        <w:spacing w:after="0" w:line="286" w:lineRule="auto"/>
        <w:rPr>
          <w:sz w:val="20"/>
          <w:szCs w:val="20"/>
          <w:color w:val="auto"/>
        </w:rPr>
      </w:pPr>
      <w:r>
        <w:rPr>
          <w:rFonts w:ascii="Arial" w:cs="Arial" w:eastAsia="Arial" w:hAnsi="Arial"/>
          <w:sz w:val="17"/>
          <w:szCs w:val="17"/>
          <w:color w:val="auto"/>
        </w:rPr>
        <w:t>       shares (or        shares if the underwriters exercise their option to purchase additional shares of Class A common stock in full).</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shares</w:t>
      </w:r>
    </w:p>
    <w:p>
      <w:pPr>
        <w:spacing w:after="0" w:line="117" w:lineRule="exact"/>
        <w:rPr>
          <w:sz w:val="20"/>
          <w:szCs w:val="20"/>
          <w:color w:val="auto"/>
        </w:rPr>
      </w:pPr>
    </w:p>
    <w:p>
      <w:pPr>
        <w:ind w:left="220" w:right="479"/>
        <w:spacing w:after="0" w:line="279" w:lineRule="auto"/>
        <w:rPr>
          <w:sz w:val="20"/>
          <w:szCs w:val="20"/>
          <w:color w:val="auto"/>
        </w:rPr>
      </w:pPr>
      <w:r>
        <w:rPr>
          <w:rFonts w:ascii="Arial" w:cs="Arial" w:eastAsia="Arial" w:hAnsi="Arial"/>
          <w:sz w:val="17"/>
          <w:szCs w:val="17"/>
          <w:color w:val="auto"/>
        </w:rPr>
        <w:t>We will not receive any proceeds from the sale of the shares of our Class A common stock in this offering (including any sales pursuant to the underwriters’ option to purchase additional shares from the selling stockholder).</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“Use of Proceeds.”</w:t>
      </w:r>
    </w:p>
    <w:p>
      <w:pPr>
        <w:spacing w:after="0" w:line="200" w:lineRule="exact"/>
        <w:rPr>
          <w:sz w:val="20"/>
          <w:szCs w:val="20"/>
          <w:color w:val="auto"/>
        </w:rPr>
      </w:pPr>
    </w:p>
    <w:p>
      <w:pPr>
        <w:spacing w:after="0" w:line="349" w:lineRule="exact"/>
        <w:rPr>
          <w:sz w:val="20"/>
          <w:szCs w:val="20"/>
          <w:color w:val="auto"/>
        </w:rPr>
      </w:pPr>
    </w:p>
    <w:p>
      <w:pPr>
        <w:ind w:left="220" w:right="679"/>
        <w:spacing w:after="0" w:line="263" w:lineRule="auto"/>
        <w:rPr>
          <w:sz w:val="20"/>
          <w:szCs w:val="20"/>
          <w:color w:val="auto"/>
        </w:rPr>
      </w:pPr>
      <w:r>
        <w:rPr>
          <w:rFonts w:ascii="Arial" w:cs="Arial" w:eastAsia="Arial" w:hAnsi="Arial"/>
          <w:sz w:val="18"/>
          <w:szCs w:val="18"/>
          <w:color w:val="auto"/>
        </w:rPr>
        <w:t>      % (or       % if the underwriters exercise their right to purchase additional shares of Class A common stock in full).</w:t>
      </w:r>
    </w:p>
    <w:p>
      <w:pPr>
        <w:spacing w:after="0" w:line="200" w:lineRule="exact"/>
        <w:rPr>
          <w:sz w:val="20"/>
          <w:szCs w:val="20"/>
          <w:color w:val="auto"/>
        </w:rPr>
      </w:pPr>
    </w:p>
    <w:p>
      <w:pPr>
        <w:spacing w:after="0" w:line="308" w:lineRule="exact"/>
        <w:rPr>
          <w:sz w:val="20"/>
          <w:szCs w:val="20"/>
          <w:color w:val="auto"/>
        </w:rPr>
      </w:pPr>
    </w:p>
    <w:p>
      <w:pPr>
        <w:ind w:left="220" w:right="679"/>
        <w:spacing w:after="0" w:line="263" w:lineRule="auto"/>
        <w:rPr>
          <w:sz w:val="20"/>
          <w:szCs w:val="20"/>
          <w:color w:val="auto"/>
        </w:rPr>
      </w:pPr>
      <w:r>
        <w:rPr>
          <w:rFonts w:ascii="Arial" w:cs="Arial" w:eastAsia="Arial" w:hAnsi="Arial"/>
          <w:sz w:val="18"/>
          <w:szCs w:val="18"/>
          <w:color w:val="auto"/>
        </w:rPr>
        <w:t>      % (or       % if the underwriters exercise their right to purchase additional shares of Class A common stock in full).</w:t>
      </w:r>
    </w:p>
    <w:p>
      <w:pPr>
        <w:spacing w:after="0" w:line="76" w:lineRule="exact"/>
        <w:rPr>
          <w:sz w:val="20"/>
          <w:szCs w:val="20"/>
          <w:color w:val="auto"/>
        </w:rPr>
      </w:pPr>
    </w:p>
    <w:p>
      <w:pPr>
        <w:ind w:left="220" w:right="419"/>
        <w:spacing w:after="0" w:line="263" w:lineRule="auto"/>
        <w:rPr>
          <w:sz w:val="20"/>
          <w:szCs w:val="20"/>
          <w:color w:val="auto"/>
        </w:rPr>
      </w:pPr>
      <w:r>
        <w:rPr>
          <w:rFonts w:ascii="Arial" w:cs="Arial" w:eastAsia="Arial" w:hAnsi="Arial"/>
          <w:sz w:val="18"/>
          <w:szCs w:val="18"/>
          <w:color w:val="auto"/>
        </w:rPr>
        <w:t>Each share of our Class A common stock is entitled to one vote. Each share of our Class B common stock is entitled to ten votes.</w:t>
      </w:r>
    </w:p>
    <w:p>
      <w:pPr>
        <w:spacing w:after="0" w:line="116" w:lineRule="exact"/>
        <w:rPr>
          <w:sz w:val="20"/>
          <w:szCs w:val="20"/>
          <w:color w:val="auto"/>
        </w:rPr>
      </w:pPr>
    </w:p>
    <w:p>
      <w:pPr>
        <w:ind w:left="220" w:right="559"/>
        <w:spacing w:after="0" w:line="275" w:lineRule="auto"/>
        <w:rPr>
          <w:sz w:val="20"/>
          <w:szCs w:val="20"/>
          <w:color w:val="auto"/>
        </w:rPr>
      </w:pPr>
      <w:r>
        <w:rPr>
          <w:rFonts w:ascii="Arial" w:cs="Arial" w:eastAsia="Arial" w:hAnsi="Arial"/>
          <w:sz w:val="17"/>
          <w:szCs w:val="17"/>
          <w:color w:val="auto"/>
        </w:rPr>
        <w:t>The holders of our Class A common stock and Class B common stock generally vote together as a single class on all matters submitted to a vote of our stockholders unless otherwise required by Delaware law or our amended and restated certificate of incorporation.</w:t>
      </w:r>
    </w:p>
    <w:p>
      <w:pPr>
        <w:spacing w:after="0" w:line="68" w:lineRule="exact"/>
        <w:rPr>
          <w:sz w:val="20"/>
          <w:szCs w:val="20"/>
          <w:color w:val="auto"/>
        </w:rPr>
      </w:pPr>
    </w:p>
    <w:p>
      <w:pPr>
        <w:ind w:left="220" w:right="499"/>
        <w:spacing w:after="0" w:line="275" w:lineRule="auto"/>
        <w:rPr>
          <w:sz w:val="20"/>
          <w:szCs w:val="20"/>
          <w:color w:val="auto"/>
        </w:rPr>
      </w:pPr>
      <w:r>
        <w:rPr>
          <w:rFonts w:ascii="Arial" w:cs="Arial" w:eastAsia="Arial" w:hAnsi="Arial"/>
          <w:sz w:val="17"/>
          <w:szCs w:val="17"/>
          <w:color w:val="auto"/>
        </w:rPr>
        <w:t>The shares of Class A common stock being sold hereunder by the selling stockholder (including any shares the underwriters may purchase pursuant to their option to purchase additional shares) will be issued upon the automatic conversion of an equivalent number of shares of</w:t>
      </w:r>
    </w:p>
    <w:p>
      <w:pPr>
        <w:spacing w:after="0" w:line="200" w:lineRule="exact"/>
        <w:rPr>
          <w:sz w:val="20"/>
          <w:szCs w:val="20"/>
          <w:color w:val="auto"/>
        </w:rPr>
      </w:pPr>
    </w:p>
    <w:p>
      <w:pPr>
        <w:sectPr>
          <w:pgSz w:w="11900" w:h="16838" w:orient="portrait"/>
          <w:cols w:equalWidth="0" w:num="2">
            <w:col w:w="4460" w:space="260"/>
            <w:col w:w="5159"/>
          </w:cols>
          <w:pgMar w:left="580" w:top="90" w:right="1440" w:bottom="1440" w:gutter="0" w:footer="0" w:header="0"/>
          <w:type w:val="continuous"/>
        </w:sectPr>
      </w:pPr>
    </w:p>
    <w:p>
      <w:pPr>
        <w:spacing w:after="0" w:line="192"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560" w:type="dxa"/>
            <w:vAlign w:val="bottom"/>
          </w:tcPr>
          <w:p>
            <w:pPr>
              <w:ind w:left="1160"/>
              <w:spacing w:after="0"/>
              <w:rPr>
                <w:sz w:val="20"/>
                <w:szCs w:val="20"/>
                <w:color w:val="auto"/>
              </w:rPr>
            </w:pPr>
            <w:r>
              <w:rPr>
                <w:rFonts w:ascii="Arial" w:cs="Arial" w:eastAsia="Arial" w:hAnsi="Arial"/>
                <w:sz w:val="18"/>
                <w:szCs w:val="18"/>
                <w:color w:val="auto"/>
              </w:rPr>
              <w:t> </w:t>
            </w:r>
          </w:p>
        </w:tc>
      </w:tr>
      <w:tr>
        <w:trPr>
          <w:trHeight w:val="64"/>
        </w:trPr>
        <w:tc>
          <w:tcPr>
            <w:tcW w:w="3120" w:type="dxa"/>
            <w:vAlign w:val="bottom"/>
            <w:tcBorders>
              <w:bottom w:val="single" w:sz="8" w:color="auto"/>
            </w:tcBorders>
          </w:tcPr>
          <w:p>
            <w:pPr>
              <w:spacing w:after="0"/>
              <w:rPr>
                <w:sz w:val="5"/>
                <w:szCs w:val="5"/>
                <w:color w:val="auto"/>
              </w:rPr>
            </w:pPr>
          </w:p>
        </w:tc>
        <w:tc>
          <w:tcPr>
            <w:tcW w:w="5560" w:type="dxa"/>
            <w:vAlign w:val="bottom"/>
            <w:tcBorders>
              <w:bottom w:val="single" w:sz="8" w:color="auto"/>
            </w:tcBorders>
          </w:tcPr>
          <w:p>
            <w:pPr>
              <w:spacing w:after="0"/>
              <w:rPr>
                <w:sz w:val="5"/>
                <w:szCs w:val="5"/>
                <w:color w:val="auto"/>
              </w:rPr>
            </w:pPr>
          </w:p>
        </w:tc>
      </w:tr>
      <w:tr>
        <w:trPr>
          <w:trHeight w:val="522"/>
        </w:trPr>
        <w:tc>
          <w:tcPr>
            <w:tcW w:w="312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Class B common stock upon the transfer of such shares</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and, accordingly, purchasers will receive shares of Class A</w:t>
            </w:r>
          </w:p>
        </w:tc>
      </w:tr>
      <w:tr>
        <w:trPr>
          <w:trHeight w:val="230"/>
        </w:trPr>
        <w:tc>
          <w:tcPr>
            <w:tcW w:w="312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common stock.</w:t>
            </w:r>
          </w:p>
        </w:tc>
      </w:tr>
      <w:tr>
        <w:trPr>
          <w:trHeight w:val="310"/>
        </w:trPr>
        <w:tc>
          <w:tcPr>
            <w:tcW w:w="3120" w:type="dxa"/>
            <w:vAlign w:val="bottom"/>
          </w:tcPr>
          <w:p>
            <w:pPr>
              <w:ind w:left="240"/>
              <w:spacing w:after="0"/>
              <w:rPr>
                <w:sz w:val="20"/>
                <w:szCs w:val="20"/>
                <w:color w:val="auto"/>
              </w:rPr>
            </w:pPr>
            <w:r>
              <w:rPr>
                <w:rFonts w:ascii="Arial" w:cs="Arial" w:eastAsia="Arial" w:hAnsi="Arial"/>
                <w:sz w:val="18"/>
                <w:szCs w:val="18"/>
                <w:color w:val="auto"/>
              </w:rPr>
              <w:t>Concentration of ownership</w:t>
            </w:r>
          </w:p>
        </w:tc>
        <w:tc>
          <w:tcPr>
            <w:tcW w:w="5560" w:type="dxa"/>
            <w:vAlign w:val="bottom"/>
          </w:tcPr>
          <w:p>
            <w:pPr>
              <w:ind w:left="780"/>
              <w:spacing w:after="0"/>
              <w:rPr>
                <w:sz w:val="20"/>
                <w:szCs w:val="20"/>
                <w:color w:val="auto"/>
              </w:rPr>
            </w:pPr>
            <w:r>
              <w:rPr>
                <w:rFonts w:ascii="Arial" w:cs="Arial" w:eastAsia="Arial" w:hAnsi="Arial"/>
                <w:sz w:val="18"/>
                <w:szCs w:val="18"/>
                <w:color w:val="auto"/>
              </w:rPr>
              <w:t>Intel, which beneficially owns all of the outstanding shares</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of our Class B common stock prior to this offering, will</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beneficially own approximately       % of the voting</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power of our common stock (or approximately       % if</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the underwriters exercise their option to purchase</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additional shares of Class A common stock in full) after the</w:t>
            </w:r>
          </w:p>
        </w:tc>
      </w:tr>
      <w:tr>
        <w:trPr>
          <w:trHeight w:val="230"/>
        </w:trPr>
        <w:tc>
          <w:tcPr>
            <w:tcW w:w="312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completion of this offering.</w:t>
            </w:r>
          </w:p>
        </w:tc>
      </w:tr>
      <w:tr>
        <w:trPr>
          <w:trHeight w:val="337"/>
        </w:trPr>
        <w:tc>
          <w:tcPr>
            <w:tcW w:w="3120" w:type="dxa"/>
            <w:vAlign w:val="bottom"/>
          </w:tcPr>
          <w:p>
            <w:pPr>
              <w:spacing w:after="0"/>
              <w:rPr>
                <w:sz w:val="24"/>
                <w:szCs w:val="24"/>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We are, and will continue to be immediately following this</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offering, a “controlled company” within the meaning of the</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corporate governance standards of Nasdaq. See</w:t>
            </w:r>
          </w:p>
        </w:tc>
      </w:tr>
      <w:tr>
        <w:trPr>
          <w:trHeight w:val="230"/>
        </w:trPr>
        <w:tc>
          <w:tcPr>
            <w:tcW w:w="312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“Management — Controlled Company Exemption.”</w:t>
            </w:r>
          </w:p>
        </w:tc>
      </w:tr>
      <w:tr>
        <w:trPr>
          <w:trHeight w:val="324"/>
        </w:trPr>
        <w:tc>
          <w:tcPr>
            <w:tcW w:w="3120" w:type="dxa"/>
            <w:vAlign w:val="bottom"/>
          </w:tcPr>
          <w:p>
            <w:pPr>
              <w:ind w:left="240"/>
              <w:spacing w:after="0"/>
              <w:rPr>
                <w:sz w:val="20"/>
                <w:szCs w:val="20"/>
                <w:color w:val="auto"/>
              </w:rPr>
            </w:pPr>
            <w:r>
              <w:rPr>
                <w:rFonts w:ascii="Arial" w:cs="Arial" w:eastAsia="Arial" w:hAnsi="Arial"/>
                <w:sz w:val="18"/>
                <w:szCs w:val="18"/>
                <w:color w:val="auto"/>
              </w:rPr>
              <w:t>Nasdaq symbol</w:t>
            </w:r>
          </w:p>
        </w:tc>
        <w:tc>
          <w:tcPr>
            <w:tcW w:w="5560" w:type="dxa"/>
            <w:vAlign w:val="bottom"/>
          </w:tcPr>
          <w:p>
            <w:pPr>
              <w:ind w:left="780"/>
              <w:spacing w:after="0"/>
              <w:rPr>
                <w:sz w:val="20"/>
                <w:szCs w:val="20"/>
                <w:color w:val="auto"/>
              </w:rPr>
            </w:pPr>
            <w:r>
              <w:rPr>
                <w:rFonts w:ascii="Arial" w:cs="Arial" w:eastAsia="Arial" w:hAnsi="Arial"/>
                <w:sz w:val="18"/>
                <w:szCs w:val="18"/>
                <w:color w:val="auto"/>
              </w:rPr>
              <w:t>“MBLY”</w:t>
            </w:r>
          </w:p>
        </w:tc>
      </w:tr>
      <w:tr>
        <w:trPr>
          <w:trHeight w:val="310"/>
        </w:trPr>
        <w:tc>
          <w:tcPr>
            <w:tcW w:w="312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5560" w:type="dxa"/>
            <w:vAlign w:val="bottom"/>
          </w:tcPr>
          <w:p>
            <w:pPr>
              <w:ind w:left="780"/>
              <w:spacing w:after="0"/>
              <w:rPr>
                <w:sz w:val="20"/>
                <w:szCs w:val="20"/>
                <w:color w:val="auto"/>
              </w:rPr>
            </w:pPr>
            <w:r>
              <w:rPr>
                <w:rFonts w:ascii="Arial" w:cs="Arial" w:eastAsia="Arial" w:hAnsi="Arial"/>
                <w:sz w:val="18"/>
                <w:szCs w:val="18"/>
                <w:color w:val="auto"/>
              </w:rPr>
              <w:t>See “Risk Factors” and the other information included in</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and incorporated by reference into this prospectus for a</w:t>
            </w:r>
          </w:p>
        </w:tc>
      </w:tr>
      <w:tr>
        <w:trPr>
          <w:trHeight w:val="216"/>
        </w:trPr>
        <w:tc>
          <w:tcPr>
            <w:tcW w:w="3120" w:type="dxa"/>
            <w:vAlign w:val="bottom"/>
          </w:tcPr>
          <w:p>
            <w:pPr>
              <w:spacing w:after="0"/>
              <w:rPr>
                <w:sz w:val="18"/>
                <w:szCs w:val="18"/>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discussion of factors you should carefully consider before</w:t>
            </w:r>
          </w:p>
        </w:tc>
      </w:tr>
      <w:tr>
        <w:trPr>
          <w:trHeight w:val="230"/>
        </w:trPr>
        <w:tc>
          <w:tcPr>
            <w:tcW w:w="3120" w:type="dxa"/>
            <w:vAlign w:val="bottom"/>
          </w:tcPr>
          <w:p>
            <w:pPr>
              <w:spacing w:after="0"/>
              <w:rPr>
                <w:sz w:val="20"/>
                <w:szCs w:val="20"/>
                <w:color w:val="auto"/>
              </w:rPr>
            </w:pPr>
          </w:p>
        </w:tc>
        <w:tc>
          <w:tcPr>
            <w:tcW w:w="5560" w:type="dxa"/>
            <w:vAlign w:val="bottom"/>
          </w:tcPr>
          <w:p>
            <w:pPr>
              <w:ind w:left="780"/>
              <w:spacing w:after="0"/>
              <w:rPr>
                <w:sz w:val="20"/>
                <w:szCs w:val="20"/>
                <w:color w:val="auto"/>
              </w:rPr>
            </w:pPr>
            <w:r>
              <w:rPr>
                <w:rFonts w:ascii="Arial" w:cs="Arial" w:eastAsia="Arial" w:hAnsi="Arial"/>
                <w:sz w:val="18"/>
                <w:szCs w:val="18"/>
                <w:color w:val="auto"/>
              </w:rPr>
              <w:t>deciding to invest in our Class A 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-3113405</wp:posOffset>
            </wp:positionV>
            <wp:extent cx="550735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1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6"/>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based on 51,911,905 shares of our Class A common stock and 750,000,000 shares of our Class B common stock outstanding as of March 1, 2023;</w:t>
      </w:r>
    </w:p>
    <w:p>
      <w:pPr>
        <w:spacing w:after="0" w:line="62" w:lineRule="exact"/>
        <w:rPr>
          <w:rFonts w:ascii="Arial" w:cs="Arial" w:eastAsia="Arial" w:hAnsi="Arial"/>
          <w:sz w:val="18"/>
          <w:szCs w:val="18"/>
          <w:color w:val="auto"/>
        </w:rPr>
      </w:pPr>
    </w:p>
    <w:p>
      <w:pPr>
        <w:ind w:left="1820" w:right="799" w:hanging="186"/>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27,316,964 shares of our Class A common stock reserved for future issuance under our equity incentive plan as of March 1, 2023; and</w:t>
      </w:r>
    </w:p>
    <w:p>
      <w:pPr>
        <w:spacing w:after="0" w:line="62" w:lineRule="exact"/>
        <w:rPr>
          <w:rFonts w:ascii="Arial" w:cs="Arial" w:eastAsia="Arial" w:hAnsi="Arial"/>
          <w:sz w:val="18"/>
          <w:szCs w:val="18"/>
          <w:color w:val="auto"/>
        </w:rPr>
      </w:pPr>
    </w:p>
    <w:p>
      <w:pPr>
        <w:ind w:left="1820" w:right="699" w:hanging="186"/>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12,778,631 shares of our Class A common stock issuable upon vesting and settlement of RSU awards outstanding under our equity incentive plan as of March 1, 2023.</w:t>
      </w:r>
    </w:p>
    <w:p>
      <w:pPr>
        <w:spacing w:after="0" w:line="103" w:lineRule="exact"/>
        <w:rPr>
          <w:sz w:val="20"/>
          <w:szCs w:val="20"/>
          <w:color w:val="auto"/>
        </w:rPr>
      </w:pPr>
    </w:p>
    <w:p>
      <w:pPr>
        <w:ind w:left="1280" w:right="459" w:firstLine="360"/>
        <w:spacing w:after="0" w:line="277" w:lineRule="auto"/>
        <w:rPr>
          <w:sz w:val="20"/>
          <w:szCs w:val="20"/>
          <w:color w:val="auto"/>
        </w:rPr>
      </w:pPr>
      <w:r>
        <w:rPr>
          <w:rFonts w:ascii="Arial" w:cs="Arial" w:eastAsia="Arial" w:hAnsi="Arial"/>
          <w:sz w:val="18"/>
          <w:szCs w:val="18"/>
          <w:color w:val="auto"/>
        </w:rPr>
        <w:t>Unless otherwise indicated, the information in this prospectus assumes no exercise of the underwriters’ option to purchase additional shares of our Class A common stock.</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8156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7355" cy="8156575"/>
                    </a:xfrm>
                    <a:prstGeom prst="rect">
                      <a:avLst/>
                    </a:prstGeom>
                    <a:noFill/>
                  </pic:spPr>
                </pic:pic>
              </a:graphicData>
            </a:graphic>
          </wp:anchor>
        </w:drawing>
      </w:r>
    </w:p>
    <w:p>
      <w:pPr>
        <w:spacing w:after="0" w:line="39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48"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color w:val="auto"/>
        </w:rPr>
        <w:t>Set forth below is summary consolidated financial information. The summary consolidated balance sheet information as of December 31, 2022 and December 25, 2021, and the summary consolidated statements of operations information for the years ended December 31, 2022, December 25, 2021 and December 26, 2020 have been derived from our consolidated financial statements incorporated by reference in this prospectus.</w:t>
      </w:r>
    </w:p>
    <w:p>
      <w:pPr>
        <w:spacing w:after="0" w:line="120" w:lineRule="exact"/>
        <w:rPr>
          <w:sz w:val="20"/>
          <w:szCs w:val="20"/>
          <w:color w:val="auto"/>
        </w:rPr>
      </w:pPr>
    </w:p>
    <w:p>
      <w:pPr>
        <w:ind w:left="1280" w:right="499" w:firstLine="360"/>
        <w:spacing w:after="0" w:line="257" w:lineRule="auto"/>
        <w:rPr>
          <w:sz w:val="20"/>
          <w:szCs w:val="20"/>
          <w:color w:val="auto"/>
        </w:rPr>
      </w:pPr>
      <w:r>
        <w:rPr>
          <w:rFonts w:ascii="Arial" w:cs="Arial" w:eastAsia="Arial" w:hAnsi="Arial"/>
          <w:sz w:val="18"/>
          <w:szCs w:val="18"/>
          <w:color w:val="auto"/>
        </w:rPr>
        <w:t>The summary consolidated financial information may not be indicative of our future performance. You should read the summary financial information presented below in conjunction with the information included under the headings “Item 7. Management’s Discussion and Analysis of Financial Condition and Results of Operations” and our consolidated financial statements and the accompanying notes included in our 2022 Form 10-K incorporated by reference in this prospectus.</w:t>
      </w:r>
    </w:p>
    <w:p>
      <w:pPr>
        <w:spacing w:after="0" w:line="125" w:lineRule="exact"/>
        <w:rPr>
          <w:sz w:val="20"/>
          <w:szCs w:val="20"/>
          <w:color w:val="auto"/>
        </w:rPr>
      </w:pPr>
    </w:p>
    <w:tbl>
      <w:tblPr>
        <w:tblLayout w:type="fixed"/>
        <w:tblInd w:w="1280" w:type="dxa"/>
        <w:tblCellMar>
          <w:top w:w="0" w:type="dxa"/>
          <w:left w:w="0" w:type="dxa"/>
          <w:bottom w:w="0" w:type="dxa"/>
          <w:right w:w="0" w:type="dxa"/>
        </w:tblCellMar>
      </w:tblPr>
      <w:tr>
        <w:trPr>
          <w:trHeight w:val="225"/>
        </w:trPr>
        <w:tc>
          <w:tcPr>
            <w:tcW w:w="4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9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7"/>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7"/>
              </w:rPr>
              <w:t>December 26,</w:t>
            </w:r>
          </w:p>
        </w:tc>
        <w:tc>
          <w:tcPr>
            <w:tcW w:w="40" w:type="dxa"/>
            <w:vAlign w:val="bottom"/>
          </w:tcPr>
          <w:p>
            <w:pPr>
              <w:spacing w:after="0"/>
              <w:rPr>
                <w:sz w:val="16"/>
                <w:szCs w:val="16"/>
                <w:color w:val="auto"/>
              </w:rPr>
            </w:pPr>
          </w:p>
        </w:tc>
      </w:tr>
      <w:tr>
        <w:trPr>
          <w:trHeight w:val="225"/>
        </w:trPr>
        <w:tc>
          <w:tcPr>
            <w:tcW w:w="4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9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4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9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2540" w:type="dxa"/>
            <w:vAlign w:val="bottom"/>
            <w:gridSpan w:val="6"/>
          </w:tcPr>
          <w:p>
            <w:pPr>
              <w:jc w:val="center"/>
              <w:ind w:right="275"/>
              <w:spacing w:after="0"/>
              <w:rPr>
                <w:sz w:val="20"/>
                <w:szCs w:val="20"/>
                <w:color w:val="auto"/>
              </w:rPr>
            </w:pPr>
            <w:r>
              <w:rPr>
                <w:rFonts w:ascii="Arial" w:cs="Arial" w:eastAsia="Arial" w:hAnsi="Arial"/>
                <w:sz w:val="14"/>
                <w:szCs w:val="14"/>
                <w:b w:val="1"/>
                <w:bCs w:val="1"/>
                <w:color w:val="auto"/>
                <w:w w:val="87"/>
              </w:rPr>
              <w:t>(in millions, except per share data)</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​$ 967</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 ​</w:t>
            </w:r>
          </w:p>
        </w:tc>
        <w:tc>
          <w:tcPr>
            <w:tcW w:w="340" w:type="dxa"/>
            <w:vAlign w:val="bottom"/>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74"/>
              <w:spacing w:after="0"/>
              <w:rPr>
                <w:sz w:val="20"/>
                <w:szCs w:val="20"/>
                <w:color w:val="auto"/>
              </w:rPr>
            </w:pPr>
            <w:r>
              <w:rPr>
                <w:rFonts w:ascii="Arial" w:cs="Arial" w:eastAsia="Arial" w:hAnsi="Arial"/>
                <w:sz w:val="18"/>
                <w:szCs w:val="18"/>
                <w:color w:val="auto"/>
                <w:w w:val="93"/>
              </w:rPr>
              <w:t>922</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655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ind w:left="180"/>
              <w:spacing w:after="0"/>
              <w:rPr>
                <w:sz w:val="20"/>
                <w:szCs w:val="20"/>
                <w:color w:val="auto"/>
              </w:rPr>
            </w:pPr>
            <w:r>
              <w:rPr>
                <w:rFonts w:ascii="Arial" w:cs="Arial" w:eastAsia="Arial" w:hAnsi="Arial"/>
                <w:sz w:val="18"/>
                <w:szCs w:val="18"/>
                <w:color w:val="auto"/>
              </w:rPr>
              <w:t>​ ​ 376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​(213)</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 ​</w:t>
            </w:r>
          </w:p>
        </w:tc>
        <w:tc>
          <w:tcPr>
            <w:tcW w:w="340" w:type="dxa"/>
            <w:vAlign w:val="bottom"/>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ind w:left="180"/>
              <w:spacing w:after="0"/>
              <w:rPr>
                <w:sz w:val="20"/>
                <w:szCs w:val="20"/>
                <w:color w:val="auto"/>
              </w:rPr>
            </w:pPr>
            <w:r>
              <w:rPr>
                <w:rFonts w:ascii="Arial" w:cs="Arial" w:eastAsia="Arial" w:hAnsi="Arial"/>
                <w:sz w:val="18"/>
                <w:szCs w:val="18"/>
                <w:color w:val="auto"/>
              </w:rPr>
              <w:t>​ ​(196)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(1)</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3"/>
              </w:rPr>
              <w:t>605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 289</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Earnings (loss) per share, basic and diluted</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4"/>
              <w:spacing w:after="0"/>
              <w:rPr>
                <w:sz w:val="20"/>
                <w:szCs w:val="20"/>
                <w:color w:val="auto"/>
              </w:rPr>
            </w:pPr>
            <w:r>
              <w:rPr>
                <w:rFonts w:ascii="Arial" w:cs="Arial" w:eastAsia="Arial" w:hAnsi="Arial"/>
                <w:sz w:val="18"/>
                <w:szCs w:val="18"/>
                <w:color w:val="auto"/>
              </w:rPr>
              <w:t>​ ​(0.11)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 ​(0.10)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ind w:left="180"/>
              <w:spacing w:after="0"/>
              <w:rPr>
                <w:sz w:val="20"/>
                <w:szCs w:val="20"/>
                <w:color w:val="auto"/>
              </w:rPr>
            </w:pPr>
            <w:r>
              <w:rPr>
                <w:rFonts w:ascii="Arial" w:cs="Arial" w:eastAsia="Arial" w:hAnsi="Arial"/>
                <w:sz w:val="18"/>
                <w:szCs w:val="18"/>
                <w:color w:val="auto"/>
              </w:rPr>
              <w:t>​ ​(0.26)</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77" w:lineRule="exact"/>
        <w:rPr>
          <w:sz w:val="20"/>
          <w:szCs w:val="20"/>
          <w:color w:val="auto"/>
        </w:rPr>
      </w:pPr>
    </w:p>
    <w:p>
      <w:pPr>
        <w:ind w:left="1640" w:right="839" w:hanging="366"/>
        <w:spacing w:after="0" w:line="277"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is a non-GAAP financial measure. See “— Non-GAAP Financial Measures” below for a reconciliation of Adjusted Net Income to net income (loss).</w:t>
      </w:r>
    </w:p>
    <w:p>
      <w:pPr>
        <w:spacing w:after="0" w:line="108" w:lineRule="exact"/>
        <w:rPr>
          <w:sz w:val="20"/>
          <w:szCs w:val="20"/>
          <w:color w:val="auto"/>
        </w:rPr>
      </w:pPr>
    </w:p>
    <w:tbl>
      <w:tblPr>
        <w:tblLayout w:type="fixed"/>
        <w:tblInd w:w="1640" w:type="dxa"/>
        <w:tblCellMar>
          <w:top w:w="0" w:type="dxa"/>
          <w:left w:w="0" w:type="dxa"/>
          <w:bottom w:w="0" w:type="dxa"/>
          <w:right w:w="0" w:type="dxa"/>
        </w:tblCellMar>
      </w:tblPr>
      <w:tr>
        <w:trPr>
          <w:trHeight w:val="225"/>
        </w:trPr>
        <w:tc>
          <w:tcPr>
            <w:tcW w:w="3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ind w:left="17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657"/>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0"/>
                <w:szCs w:val="20"/>
                <w:color w:val="auto"/>
              </w:rPr>
            </w:pPr>
            <w:r>
              <w:rPr>
                <w:rFonts w:ascii="Arial" w:cs="Arial" w:eastAsia="Arial" w:hAnsi="Arial"/>
                <w:sz w:val="14"/>
                <w:szCs w:val="14"/>
                <w:b w:val="1"/>
                <w:bCs w:val="1"/>
                <w:color w:val="auto"/>
                <w:w w:val="87"/>
              </w:rPr>
              <w:t>December 25,</w:t>
            </w:r>
          </w:p>
        </w:tc>
        <w:tc>
          <w:tcPr>
            <w:tcW w:w="40" w:type="dxa"/>
            <w:vAlign w:val="bottom"/>
          </w:tcPr>
          <w:p>
            <w:pPr>
              <w:spacing w:after="0"/>
              <w:rPr>
                <w:sz w:val="15"/>
                <w:szCs w:val="15"/>
                <w:color w:val="auto"/>
              </w:rPr>
            </w:pPr>
          </w:p>
        </w:tc>
      </w:tr>
      <w:tr>
        <w:trPr>
          <w:trHeight w:val="225"/>
        </w:trPr>
        <w:tc>
          <w:tcPr>
            <w:tcW w:w="3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ind w:left="17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3700" w:type="dxa"/>
            <w:vAlign w:val="bottom"/>
          </w:tcPr>
          <w:p>
            <w:pPr>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ind w:left="17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​$ 1,024</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616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37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(1)</w:t>
            </w:r>
          </w:p>
        </w:tc>
        <w:tc>
          <w:tcPr>
            <w:tcW w:w="1820" w:type="dxa"/>
            <w:vAlign w:val="bottom"/>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6"/>
              </w:rPr>
              <w:t>​ ​15,441</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 ​16,655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​14,794</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​15,889</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1640" w:right="519" w:hanging="366"/>
        <w:spacing w:after="0" w:line="27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goodwill and intangible assets, net, in the amounts of $13,422 million and $13,966 million as of December 31, 2022 and December 25, 2021, respectively.</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left="1280" w:right="419" w:firstLine="360"/>
        <w:spacing w:after="0" w:line="279" w:lineRule="auto"/>
        <w:rPr>
          <w:sz w:val="20"/>
          <w:szCs w:val="20"/>
          <w:color w:val="auto"/>
        </w:rPr>
      </w:pPr>
      <w:r>
        <w:rPr>
          <w:rFonts w:ascii="Arial" w:cs="Arial" w:eastAsia="Arial" w:hAnsi="Arial"/>
          <w:sz w:val="17"/>
          <w:szCs w:val="17"/>
          <w:color w:val="auto"/>
        </w:rPr>
        <w:t>In addition to our financial results determined in accordance with GAAP, our management uses Adjusted Net Income, a non-GAAP measure, as a key measure in operating our business. We use Adjusted Net Income to make strategic decisions, establish business plans and forecasts, identify trends affecting our business, and evaluate performance. For example, we use Adjusted Net Income to assess our pricing and sourcing strategy, in the preparation of our annual operating budget, and as a measure of our operating performance. Adjusted Net Income is presented for supplemental informational purposes only, should not be considered a substitute for financial information presented in accordance with GAAP, and may be different from similarly titled non-GAAP measures used by other companies. A reconciliation is provided below for Adjusted Net Income to the most directly comparable financial measure presented in accordance with GAAP. Investors are encouraged to review the related GAAP financial measure and the reconciliation of Adjusted Net Income to its most directly comparable GAAP financial measure, as well as our consolidated financial statements and related notes in our 2022 Form 10-K incorporated by reference herein.</w:t>
      </w:r>
    </w:p>
    <w:p>
      <w:pPr>
        <w:sectPr>
          <w:pgSz w:w="11900" w:h="16838" w:orient="portrait"/>
          <w:cols w:equalWidth="0" w:num="1">
            <w:col w:w="9879"/>
          </w:cols>
          <w:pgMar w:left="580" w:top="90" w:right="1440" w:bottom="1440" w:gutter="0" w:footer="0" w:header="0"/>
        </w:sectPr>
      </w:pPr>
    </w:p>
    <w:p>
      <w:pPr>
        <w:spacing w:after="0" w:line="37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3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55880</wp:posOffset>
            </wp:positionV>
            <wp:extent cx="550735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39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4"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We define Adjusted Net Income as net income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We exclude amortization charges for our acquisition-related intangible assets for purposes of calculating Adjusted Net Income,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114" w:lineRule="exact"/>
        <w:rPr>
          <w:sz w:val="20"/>
          <w:szCs w:val="20"/>
          <w:color w:val="auto"/>
        </w:rPr>
      </w:pPr>
    </w:p>
    <w:p>
      <w:pPr>
        <w:ind w:left="1280" w:right="399" w:firstLine="360"/>
        <w:spacing w:after="0" w:line="254" w:lineRule="auto"/>
        <w:rPr>
          <w:sz w:val="20"/>
          <w:szCs w:val="20"/>
          <w:color w:val="auto"/>
        </w:rPr>
      </w:pPr>
      <w:r>
        <w:rPr>
          <w:rFonts w:ascii="Arial" w:cs="Arial" w:eastAsia="Arial" w:hAnsi="Arial"/>
          <w:sz w:val="18"/>
          <w:szCs w:val="18"/>
          <w:color w:val="auto"/>
        </w:rPr>
        <w:t>We believe that the exclusion of share-based compensation expense from Adjusted Net Income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Adjusted Net Income, equity compensation has been, and will continue to be, an important part of our future compensation strategy and a significant component of our future expenses, and may increase in future periods.</w:t>
      </w:r>
    </w:p>
    <w:p>
      <w:pPr>
        <w:spacing w:after="0" w:line="124" w:lineRule="exact"/>
        <w:rPr>
          <w:sz w:val="20"/>
          <w:szCs w:val="20"/>
          <w:color w:val="auto"/>
        </w:rPr>
      </w:pPr>
    </w:p>
    <w:p>
      <w:pPr>
        <w:ind w:left="1280" w:right="459" w:firstLine="360"/>
        <w:spacing w:after="0" w:line="279" w:lineRule="auto"/>
        <w:rPr>
          <w:sz w:val="20"/>
          <w:szCs w:val="20"/>
          <w:color w:val="auto"/>
        </w:rPr>
      </w:pPr>
      <w:r>
        <w:rPr>
          <w:rFonts w:ascii="Arial" w:cs="Arial" w:eastAsia="Arial" w:hAnsi="Arial"/>
          <w:sz w:val="17"/>
          <w:szCs w:val="17"/>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and that are included within general and administrative expenses.</w:t>
      </w:r>
    </w:p>
    <w:p>
      <w:pPr>
        <w:spacing w:after="0" w:line="9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20" w:type="dxa"/>
            <w:vAlign w:val="bottom"/>
          </w:tcPr>
          <w:p>
            <w:pPr>
              <w:spacing w:after="0"/>
              <w:rPr>
                <w:sz w:val="15"/>
                <w:szCs w:val="15"/>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 in millions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(82)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(75)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$(196)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8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2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gridSpan w:val="2"/>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22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80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​544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3"/>
                <w:szCs w:val="23"/>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 ​509</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​450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800" w:type="dxa"/>
            <w:vAlign w:val="bottom"/>
            <w:shd w:val="clear" w:color="auto" w:fill="CCEEFF"/>
          </w:tcPr>
          <w:p>
            <w:pPr>
              <w:spacing w:after="0"/>
              <w:rPr>
                <w:sz w:val="23"/>
                <w:szCs w:val="23"/>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Add: Expenses related to the Mobileye IPO</w:t>
            </w:r>
          </w:p>
        </w:tc>
        <w:tc>
          <w:tcPr>
            <w:tcW w:w="80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3"/>
                <w:szCs w:val="23"/>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  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3"/>
                <w:szCs w:val="23"/>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8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620" w:type="dxa"/>
            <w:vAlign w:val="bottom"/>
            <w:gridSpan w:val="3"/>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8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$605</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$474</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$ 289</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rPr>
              <w:t>​</w:t>
            </w:r>
          </w:p>
        </w:tc>
        <w:tc>
          <w:tcPr>
            <w:tcW w:w="2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i w:val="1"/>
          <w:iCs w:val="1"/>
          <w:color w:val="auto"/>
        </w:rPr>
        <w:t>An investment in our Class A common stock involves a high degree of risk. You should carefully consider the risks described below together with other information set forth in this prospectus or incorporated by reference herein, including the sections titled “Item 1.A. Risk Factors,” which includes risk factors related to our business and Class A common stock, and “Item 7. Management’s Discussion and Analysis of Financial Condition and Results of Operations,” and our financial statements and related notes, incorporated by reference herein from our 2022 Form 10-K before deciding to invest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or incorporated by reference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 Please also see the section titled “Cautionary Note Regarding Forward-Looking Statements” in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Class A Common Stock</w:t>
      </w:r>
    </w:p>
    <w:p>
      <w:pPr>
        <w:spacing w:after="0" w:line="229" w:lineRule="exact"/>
        <w:rPr>
          <w:sz w:val="20"/>
          <w:szCs w:val="20"/>
          <w:color w:val="auto"/>
        </w:rPr>
      </w:pPr>
    </w:p>
    <w:p>
      <w:pPr>
        <w:ind w:left="1260" w:right="539"/>
        <w:spacing w:after="0" w:line="311" w:lineRule="auto"/>
        <w:rPr>
          <w:sz w:val="20"/>
          <w:szCs w:val="20"/>
          <w:color w:val="auto"/>
        </w:rPr>
      </w:pPr>
      <w:r>
        <w:rPr>
          <w:rFonts w:ascii="Arial" w:cs="Arial" w:eastAsia="Arial" w:hAnsi="Arial"/>
          <w:sz w:val="16"/>
          <w:szCs w:val="16"/>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81"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in the market that the holders of a large number of shares intend to sell shares, could reduce the market price of our Class A common stock. As of December 31, 2022, we had outstanding 51,911,905 shares of Class A common stock and 750,000,000 shares of Class B common stock. The 47,150,000 shares of Class A common stock that were sold by us in the Mobileye IPO and the       shares of Class B common stock that will be converted into the       shares of Class A common stock that the selling stockholder is selling in this offering, may be resold in the public market immediately without restriction, unless purchased by our affiliates. The remaining shares of Class A common stock (including Class A common stock issuable upon the conversion of Class B common stock and the 4,761,905 shares of Class A common stock that were sold in a private placement concurrently with the Mobileye IPO), are currently restricted as a result of lock-up agreements entered into in connection with the Mobileye IPO and will become eligible to be sold beginning on April 23, 2023. In addition, in connection with this offering, we and the selling stockholder have agreed or will agree pursuant to a lock-up agreement with the underwriters in this offering that, through and including the 90th day after the date of this prospectus, subject to certain exceptions, we and the selling stockholder will not, without the prior written consent of Goldman Sachs &amp; Co. LLC and Morgan Stanley &amp; Co. LLC, sell shares (other than, with respect to the selling stockholder, the shares to be sold by it in this offering) of Class A common stock (including, with respect to the selling stockholder, Class A common stock issuable upon the conversion of Class B common stock). Moreover, following the expiration of this 90-day period, the selling stockholder will have the right, subject to specified conditions, to require us to file registration statements covering their shares (upon conversion into Class A common stock)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 and the lock-up agreements entered into in connection with the Mobileye IPO.</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Please see Item 1.A. in our 2022 Form 10-K incorporated by reference herein for risks related to our business.</w:t>
      </w: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 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Forward-looking statements are, and will be, based on management’s then- 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19"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Forward-looking statements contained in this prospectus or the documents incorporated by reference herein may include, but are not limited to, statements about:</w:t>
      </w:r>
    </w:p>
    <w:p>
      <w:pPr>
        <w:spacing w:after="0" w:line="6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about our ability to maintain or enhance our leadership position in the markets in which we participate;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117"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117"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future benefits and competitive advantages associated with our technologies and architecture and the data we have accumulated;</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48"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117"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statements described herein under the section entitled “Risk Factors” and in our 2022 Form 10-K incorporated by reference herein, including under the sections entitled “Item 1A. Risk</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800" w:right="799"/>
        <w:spacing w:after="0" w:line="277" w:lineRule="auto"/>
        <w:rPr>
          <w:sz w:val="20"/>
          <w:szCs w:val="20"/>
          <w:color w:val="auto"/>
        </w:rPr>
      </w:pPr>
      <w:r>
        <w:rPr>
          <w:rFonts w:ascii="Arial" w:cs="Arial" w:eastAsia="Arial" w:hAnsi="Arial"/>
          <w:sz w:val="18"/>
          <w:szCs w:val="18"/>
          <w:color w:val="auto"/>
        </w:rPr>
        <w:t>Factors,” “Item 7. Management’s Discussion and Analysis of Financial Condition and Results of Operations” and “Item 1. Business”.</w:t>
      </w:r>
    </w:p>
    <w:p>
      <w:pPr>
        <w:spacing w:after="0" w:line="89"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risk factors discussed under the section entitled “Risk Factors” included herein, and the section entitled “Item 1A. Risk Factors” in our 2022 Form 10-K incorporated by reference herein,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w:t>
      </w:r>
    </w:p>
    <w:p>
      <w:pPr>
        <w:spacing w:after="0" w:line="120"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1260" w:right="439" w:firstLine="360"/>
        <w:spacing w:after="0" w:line="257" w:lineRule="auto"/>
        <w:rPr>
          <w:sz w:val="20"/>
          <w:szCs w:val="20"/>
          <w:color w:val="auto"/>
        </w:rPr>
      </w:pPr>
      <w:r>
        <w:rPr>
          <w:rFonts w:ascii="Arial" w:cs="Arial" w:eastAsia="Arial" w:hAnsi="Arial"/>
          <w:sz w:val="18"/>
          <w:szCs w:val="18"/>
          <w:color w:val="auto"/>
        </w:rPr>
        <w:t>If you invest in our Class A common stock, your interest will be diluted to the extent of the difference between the public offering price per share and the net tangible book value per share. Our net tangible book value (deficit) as of December 31, 2022 was $1,372 million, or $1.71 per share. Our net tangible book value per share represents total tangible assets less total liabilities divided by the number of shares of our common stock outstanding as of December 31, 2022.</w:t>
      </w:r>
    </w:p>
    <w:p>
      <w:pPr>
        <w:spacing w:after="0" w:line="120"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We determine dilution by subtracting the net tangible book value per share from the amount of cash that a new investor paid for a share of Class A common stock. The following table illustrates this dilution:</w:t>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86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620" w:type="dxa"/>
            <w:vAlign w:val="bottom"/>
            <w:gridSpan w:val="2"/>
            <w:shd w:val="clear" w:color="auto" w:fill="CCEEFF"/>
          </w:tcPr>
          <w:p>
            <w:pPr>
              <w:jc w:val="right"/>
              <w:ind w:right="270"/>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86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Net tangible book value (deficit) per share as of December 31, 2022</w:t>
            </w:r>
          </w:p>
        </w:tc>
        <w:tc>
          <w:tcPr>
            <w:tcW w:w="680" w:type="dxa"/>
            <w:vAlign w:val="bottom"/>
            <w:gridSpan w:val="3"/>
          </w:tcPr>
          <w:p>
            <w:pPr>
              <w:jc w:val="right"/>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1.71</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8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270"/>
              <w:spacing w:after="0" w:line="68" w:lineRule="exact"/>
              <w:rPr>
                <w:sz w:val="20"/>
                <w:szCs w:val="20"/>
                <w:color w:val="auto"/>
              </w:rPr>
            </w:pPr>
            <w:r>
              <w:rPr>
                <w:rFonts w:ascii="Arial" w:cs="Arial" w:eastAsia="Arial" w:hAnsi="Arial"/>
                <w:sz w:val="7"/>
                <w:szCs w:val="7"/>
                <w:color w:val="auto"/>
              </w:rPr>
              <w:t>​ ​​</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539" w:firstLine="360"/>
        <w:spacing w:after="0" w:line="286" w:lineRule="auto"/>
        <w:rPr>
          <w:sz w:val="20"/>
          <w:szCs w:val="20"/>
          <w:color w:val="auto"/>
        </w:rPr>
      </w:pPr>
      <w:r>
        <w:rPr>
          <w:rFonts w:ascii="Arial" w:cs="Arial" w:eastAsia="Arial" w:hAnsi="Arial"/>
          <w:sz w:val="17"/>
          <w:szCs w:val="17"/>
          <w:color w:val="auto"/>
        </w:rPr>
        <w:t>All shares being sold in this offering are being sold by the selling stockholder, and we will not receive any proceeds from the sale of the shares of our Class A common stock in this offering, including from any exercise by the underwriters of their option to purchase additional shares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Set forth below are the names, ages and positions as of the date hereof of our executive officers and directors.</w:t>
      </w:r>
    </w:p>
    <w:tbl>
      <w:tblPr>
        <w:tblLayout w:type="fixed"/>
        <w:tblInd w:w="1260" w:type="dxa"/>
        <w:tblCellMar>
          <w:top w:w="0" w:type="dxa"/>
          <w:left w:w="0" w:type="dxa"/>
          <w:bottom w:w="0" w:type="dxa"/>
          <w:right w:w="0" w:type="dxa"/>
        </w:tblCellMar>
      </w:tblPr>
      <w:tr>
        <w:trPr>
          <w:trHeight w:val="320"/>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2960" w:type="dxa"/>
            <w:vAlign w:val="bottom"/>
            <w:gridSpan w:val="4"/>
          </w:tcPr>
          <w:p>
            <w:pPr>
              <w:jc w:val="center"/>
              <w:ind w:right="2310"/>
              <w:spacing w:after="0" w:line="320"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2980" w:type="dxa"/>
            <w:vAlign w:val="bottom"/>
          </w:tcPr>
          <w:p>
            <w:pPr>
              <w:ind w:left="60"/>
              <w:spacing w:after="0"/>
              <w:rPr>
                <w:sz w:val="20"/>
                <w:szCs w:val="20"/>
                <w:color w:val="auto"/>
              </w:rPr>
            </w:pPr>
            <w:r>
              <w:rPr>
                <w:rFonts w:ascii="Arial" w:cs="Arial" w:eastAsia="Arial" w:hAnsi="Arial"/>
                <w:sz w:val="14"/>
                <w:szCs w:val="14"/>
                <w:b w:val="1"/>
                <w:bCs w:val="1"/>
                <w:color w:val="auto"/>
              </w:rPr>
              <w:t>Position</w:t>
            </w:r>
          </w:p>
        </w:tc>
      </w:tr>
      <w:tr>
        <w:trPr>
          <w:trHeight w:val="236"/>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Amnon Shashua</w:t>
            </w:r>
          </w:p>
        </w:tc>
        <w:tc>
          <w:tcPr>
            <w:tcW w:w="240" w:type="dxa"/>
            <w:vAlign w:val="bottom"/>
            <w:tcBorders>
              <w:top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Pr>
          <w:p>
            <w:pPr>
              <w:spacing w:after="0"/>
              <w:rPr>
                <w:sz w:val="20"/>
                <w:szCs w:val="20"/>
                <w:color w:val="auto"/>
              </w:rPr>
            </w:pPr>
            <w:r>
              <w:rPr>
                <w:rFonts w:ascii="Arial" w:cs="Arial" w:eastAsia="Arial" w:hAnsi="Arial"/>
                <w:sz w:val="18"/>
                <w:szCs w:val="18"/>
                <w:color w:val="auto"/>
              </w:rPr>
              <w:t>​ ​</w:t>
            </w:r>
          </w:p>
        </w:tc>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Patrick P Gelsinger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Chair of the Board of Directors</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Anat Heller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Financial Officer</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Gavriel Hayon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554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Executive Vice President, Research and Development</w:t>
            </w:r>
          </w:p>
        </w:tc>
      </w:t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Shai Shalev-Shwartz</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56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Chief Technology Officer</w:t>
            </w:r>
          </w:p>
        </w:tc>
        <w:tc>
          <w:tcPr>
            <w:tcW w:w="2980" w:type="dxa"/>
            <w:vAlign w:val="bottom"/>
          </w:tcPr>
          <w:p>
            <w:pPr>
              <w:spacing w:after="0"/>
              <w:rPr>
                <w:sz w:val="24"/>
                <w:szCs w:val="24"/>
                <w:color w:val="auto"/>
              </w:rPr>
            </w:pPr>
          </w:p>
        </w:tc>
      </w:tr>
      <w:tr>
        <w:trPr>
          <w:trHeight w:val="257"/>
        </w:trPr>
        <w:tc>
          <w:tcPr>
            <w:tcW w:w="2020" w:type="dxa"/>
            <w:vAlign w:val="bottom"/>
          </w:tcPr>
          <w:p>
            <w:pPr>
              <w:spacing w:after="0"/>
              <w:rPr>
                <w:sz w:val="20"/>
                <w:szCs w:val="20"/>
                <w:color w:val="auto"/>
              </w:rPr>
            </w:pPr>
            <w:r>
              <w:rPr>
                <w:rFonts w:ascii="Arial" w:cs="Arial" w:eastAsia="Arial" w:hAnsi="Arial"/>
                <w:sz w:val="18"/>
                <w:szCs w:val="18"/>
                <w:color w:val="auto"/>
              </w:rPr>
              <w:t>Nimrod Nehushtan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554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Senior Vice President, Business Development &amp; Strategy and Co-</w:t>
            </w:r>
          </w:p>
        </w:tc>
      </w:tr>
      <w:tr>
        <w:trPr>
          <w:trHeight w:val="216"/>
        </w:trPr>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Manager REM, Mobileye</w:t>
            </w:r>
          </w:p>
        </w:tc>
        <w:tc>
          <w:tcPr>
            <w:tcW w:w="2980" w:type="dxa"/>
            <w:vAlign w:val="bottom"/>
          </w:tcPr>
          <w:p>
            <w:pPr>
              <w:spacing w:after="0"/>
              <w:rPr>
                <w:sz w:val="18"/>
                <w:szCs w:val="18"/>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Eyal Desheh</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Jon M. Huntsman, Jr.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Claire C. McCaskill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Christine Pambianchi</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80" w:type="dxa"/>
            <w:vAlign w:val="bottom"/>
          </w:tcPr>
          <w:p>
            <w:pPr>
              <w:spacing w:after="0"/>
              <w:rPr>
                <w:sz w:val="23"/>
                <w:szCs w:val="23"/>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Frank D. Yeary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56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980" w:type="dxa"/>
            <w:vAlign w:val="bottom"/>
          </w:tcPr>
          <w:p>
            <w:pPr>
              <w:spacing w:after="0"/>
              <w:rPr>
                <w:sz w:val="23"/>
                <w:szCs w:val="23"/>
                <w:color w:val="auto"/>
              </w:rPr>
            </w:pPr>
          </w:p>
        </w:tc>
      </w:tr>
      <w:tr>
        <w:trPr>
          <w:trHeight w:val="434"/>
        </w:trPr>
        <w:tc>
          <w:tcPr>
            <w:tcW w:w="2020" w:type="dxa"/>
            <w:vAlign w:val="bottom"/>
          </w:tcPr>
          <w:p>
            <w:pPr>
              <w:spacing w:after="0"/>
              <w:rPr>
                <w:sz w:val="20"/>
                <w:szCs w:val="20"/>
                <w:color w:val="auto"/>
              </w:rPr>
            </w:pPr>
            <w:r>
              <w:rPr>
                <w:rFonts w:ascii="Arial" w:cs="Arial" w:eastAsia="Arial" w:hAnsi="Arial"/>
                <w:sz w:val="18"/>
                <w:szCs w:val="18"/>
                <w:color w:val="auto"/>
              </w:rPr>
              <w:t>Saf Yeboah-Amankwah</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56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2980" w:type="dxa"/>
            <w:vAlign w:val="bottom"/>
          </w:tcPr>
          <w:p>
            <w:pPr>
              <w:spacing w:after="0"/>
              <w:rPr>
                <w:sz w:val="24"/>
                <w:szCs w:val="24"/>
                <w:color w:val="auto"/>
              </w:rPr>
            </w:pPr>
          </w:p>
        </w:tc>
      </w:tr>
    </w:tbl>
    <w:p>
      <w:pPr>
        <w:ind w:left="1260" w:right="459" w:firstLine="360"/>
        <w:spacing w:after="0" w:line="272" w:lineRule="auto"/>
        <w:rPr>
          <w:sz w:val="20"/>
          <w:szCs w:val="20"/>
          <w:color w:val="auto"/>
        </w:rPr>
      </w:pPr>
      <w:r>
        <w:rPr>
          <w:rFonts w:ascii="Arial" w:cs="Arial" w:eastAsia="Arial" w:hAnsi="Arial"/>
          <w:sz w:val="16"/>
          <w:szCs w:val="16"/>
          <w:b w:val="1"/>
          <w:bCs w:val="1"/>
          <w:color w:val="auto"/>
        </w:rPr>
        <w:t xml:space="preserve">Amnon Shashua </w:t>
      </w:r>
      <w:r>
        <w:rPr>
          <w:rFonts w:ascii="Arial" w:cs="Arial" w:eastAsia="Arial" w:hAnsi="Arial"/>
          <w:sz w:val="16"/>
          <w:szCs w:val="16"/>
          <w:color w:val="auto"/>
        </w:rPr>
        <w:t>is our co-founder and has been serving as our Chief Executive Officer and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2017 and as our director since our founding in 1999. He has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 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05" w:lineRule="exact"/>
        <w:rPr>
          <w:sz w:val="20"/>
          <w:szCs w:val="20"/>
          <w:color w:val="auto"/>
        </w:rPr>
      </w:pPr>
    </w:p>
    <w:p>
      <w:pPr>
        <w:ind w:left="1260" w:right="539" w:firstLine="360"/>
        <w:spacing w:after="0" w:line="242" w:lineRule="auto"/>
        <w:rPr>
          <w:sz w:val="20"/>
          <w:szCs w:val="20"/>
          <w:color w:val="auto"/>
        </w:rPr>
      </w:pPr>
      <w:r>
        <w:rPr>
          <w:rFonts w:ascii="Arial" w:cs="Arial" w:eastAsia="Arial" w:hAnsi="Arial"/>
          <w:sz w:val="18"/>
          <w:szCs w:val="18"/>
          <w:b w:val="1"/>
          <w:bCs w:val="1"/>
          <w:color w:val="auto"/>
        </w:rPr>
        <w:t xml:space="preserve">Patrick P. Gelsinger </w:t>
      </w:r>
      <w:r>
        <w:rPr>
          <w:rFonts w:ascii="Arial" w:cs="Arial" w:eastAsia="Arial" w:hAnsi="Arial"/>
          <w:sz w:val="18"/>
          <w:szCs w:val="18"/>
          <w:color w:val="auto"/>
        </w:rPr>
        <w:t>has been the chair of our board of directors since September 2022. He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 Senior Vice President and Co-General Manager of the Digital Enterprise Group from 2005 to September 2009,</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99"/>
        <w:spacing w:after="0" w:line="258" w:lineRule="auto"/>
        <w:rPr>
          <w:sz w:val="20"/>
          <w:szCs w:val="20"/>
          <w:color w:val="auto"/>
        </w:rPr>
      </w:pPr>
      <w:r>
        <w:rPr>
          <w:rFonts w:ascii="Arial" w:cs="Arial" w:eastAsia="Arial" w:hAnsi="Arial"/>
          <w:sz w:val="17"/>
          <w:szCs w:val="17"/>
          <w:color w:val="auto"/>
        </w:rPr>
        <w:t>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109"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7"/>
          <w:szCs w:val="17"/>
          <w:b w:val="1"/>
          <w:bCs w:val="1"/>
          <w:color w:val="auto"/>
        </w:rPr>
        <w:t xml:space="preserve">Anat Heller </w:t>
      </w:r>
      <w:r>
        <w:rPr>
          <w:rFonts w:ascii="Arial" w:cs="Arial" w:eastAsia="Arial" w:hAnsi="Arial"/>
          <w:sz w:val="17"/>
          <w:szCs w:val="17"/>
          <w:color w:val="auto"/>
        </w:rPr>
        <w:t>has been serving as our Chief Financial Officer since 2018. Prior to her current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b w:val="1"/>
          <w:bCs w:val="1"/>
          <w:color w:val="auto"/>
        </w:rPr>
        <w:t xml:space="preserve">Gavriel Hayon </w:t>
      </w:r>
      <w:r>
        <w:rPr>
          <w:rFonts w:ascii="Arial" w:cs="Arial" w:eastAsia="Arial" w:hAnsi="Arial"/>
          <w:sz w:val="18"/>
          <w:szCs w:val="18"/>
          <w:color w:val="auto"/>
        </w:rPr>
        <w:t>has been serving as our Executive Vice President, Research and Development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2018. Dr. Hayon joined Mobileye in 1999 as an algorithm developer and since then led teams responsible for computer vision algorithms and led the algorithms department. In 2004, Dr. Hayon became the Vice President of Research and Development, leading the development of and bringing to production multiple ADAS products. Dr. Hayon served as a Vice President of Intel from 2017 to 2022, following our acquisition by Intel. Prior to his work at Mobileye, Dr. Hayon was an algorithms developer at Applied Materials (Nasdaq: AMAT). Dr. Hayon received his Ph.D. in AI from the Hebrew University, his M.Sc. in physics from the Weitzman Institute and his B.Sc. degree in physics from the Technion Israel Institute of Technology.</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b w:val="1"/>
          <w:bCs w:val="1"/>
          <w:color w:val="auto"/>
        </w:rPr>
        <w:t xml:space="preserve">Shai Shalev-Shwartz </w:t>
      </w:r>
      <w:r>
        <w:rPr>
          <w:rFonts w:ascii="Arial" w:cs="Arial" w:eastAsia="Arial" w:hAnsi="Arial"/>
          <w:sz w:val="18"/>
          <w:szCs w:val="18"/>
          <w:color w:val="auto"/>
        </w:rPr>
        <w:t>has been serving as our Chief Technology Officer since 2018. In 2017,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our acquisition by Intel, Professor Shalev-Shwartz became a Senior Fellow of Intel, a position he held until 2022.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Professor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Professor Shalev-Shwartz earned his Ph.D. from the Hebrew University of Jerusalem.</w:t>
      </w:r>
    </w:p>
    <w:p>
      <w:pPr>
        <w:spacing w:after="0" w:line="116" w:lineRule="exact"/>
        <w:rPr>
          <w:sz w:val="20"/>
          <w:szCs w:val="20"/>
          <w:color w:val="auto"/>
        </w:rPr>
      </w:pPr>
    </w:p>
    <w:p>
      <w:pPr>
        <w:ind w:left="1260" w:right="539" w:firstLine="360"/>
        <w:spacing w:after="0" w:line="264" w:lineRule="auto"/>
        <w:rPr>
          <w:sz w:val="20"/>
          <w:szCs w:val="20"/>
          <w:color w:val="auto"/>
        </w:rPr>
      </w:pPr>
      <w:r>
        <w:rPr>
          <w:rFonts w:ascii="Arial" w:cs="Arial" w:eastAsia="Arial" w:hAnsi="Arial"/>
          <w:sz w:val="17"/>
          <w:szCs w:val="17"/>
          <w:b w:val="1"/>
          <w:bCs w:val="1"/>
          <w:color w:val="auto"/>
        </w:rPr>
        <w:t xml:space="preserve">Nimrod Nehushtan </w:t>
      </w:r>
      <w:r>
        <w:rPr>
          <w:rFonts w:ascii="Arial" w:cs="Arial" w:eastAsia="Arial" w:hAnsi="Arial"/>
          <w:sz w:val="17"/>
          <w:szCs w:val="17"/>
          <w:color w:val="auto"/>
        </w:rPr>
        <w:t>has been serving as our Senior Vice President Business Development &amp; Strategy</w:t>
      </w:r>
      <w:r>
        <w:rPr>
          <w:rFonts w:ascii="Arial" w:cs="Arial" w:eastAsia="Arial" w:hAnsi="Arial"/>
          <w:sz w:val="17"/>
          <w:szCs w:val="17"/>
          <w:b w:val="1"/>
          <w:bCs w:val="1"/>
          <w:color w:val="auto"/>
        </w:rPr>
        <w:t xml:space="preserve"> </w:t>
      </w:r>
      <w:r>
        <w:rPr>
          <w:rFonts w:ascii="Arial" w:cs="Arial" w:eastAsia="Arial" w:hAnsi="Arial"/>
          <w:sz w:val="17"/>
          <w:szCs w:val="17"/>
          <w:color w:val="auto"/>
        </w:rPr>
        <w:t>and Co- Manager REM, Mobileye since 2022. Prior to his current position, Mr. Nehushtan served as Co-General Manager of the REM division of Mobileye, overseeing product development and leading business operations and growth. Mr. Nehushtan joined Mobileye in 2017 as a Project Manager of the REM division. Prior to joining Mobileye, Mr. Nehushtan was an engineer at Israel Aerospace Industries. Mr. Nehushtan earned his B.Sc. in mechanical engineering from Tel Aviv University.</w:t>
      </w:r>
    </w:p>
    <w:p>
      <w:pPr>
        <w:spacing w:after="0" w:line="10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b w:val="1"/>
          <w:bCs w:val="1"/>
          <w:color w:val="auto"/>
        </w:rPr>
        <w:t xml:space="preserve">Eyal Desheh </w:t>
      </w:r>
      <w:r>
        <w:rPr>
          <w:rFonts w:ascii="Arial" w:cs="Arial" w:eastAsia="Arial" w:hAnsi="Arial"/>
          <w:sz w:val="17"/>
          <w:szCs w:val="17"/>
          <w:color w:val="auto"/>
        </w:rPr>
        <w:t>has served as a director of Mobileye since October 2022. Mr. Desheh served as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served on our board of directors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110"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color w:val="auto"/>
        </w:rPr>
        <w:t xml:space="preserve">Jon M. Huntsman, Jr. </w:t>
      </w:r>
      <w:r>
        <w:rPr>
          <w:rFonts w:ascii="Arial" w:cs="Arial" w:eastAsia="Arial" w:hAnsi="Arial"/>
          <w:sz w:val="17"/>
          <w:szCs w:val="17"/>
          <w:color w:val="auto"/>
        </w:rPr>
        <w:t>has served as a director of Mobileye since October 2022. Governor Huntsman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serving as Vice Chair, Policy at Ford Motor Company (NYSE: F) (“Ford”) since 2021 and as a director of Ford since 2020. He previously also served as a director of Ford from 2012 to 2017. We currently supply our solutions to Ford through our Tier 1 customers.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115"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b w:val="1"/>
          <w:bCs w:val="1"/>
          <w:color w:val="auto"/>
        </w:rPr>
        <w:t xml:space="preserve">Claire C. McCaskill </w:t>
      </w:r>
      <w:r>
        <w:rPr>
          <w:rFonts w:ascii="Arial" w:cs="Arial" w:eastAsia="Arial" w:hAnsi="Arial"/>
          <w:sz w:val="17"/>
          <w:szCs w:val="17"/>
          <w:color w:val="auto"/>
        </w:rPr>
        <w:t>has served as a director of Mobileye since October 2022. Senator McCaskill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0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color w:val="auto"/>
        </w:rPr>
        <w:t xml:space="preserve">Christine Pambianchi </w:t>
      </w:r>
      <w:r>
        <w:rPr>
          <w:rFonts w:ascii="Arial" w:cs="Arial" w:eastAsia="Arial" w:hAnsi="Arial"/>
          <w:sz w:val="17"/>
          <w:szCs w:val="17"/>
          <w:color w:val="auto"/>
        </w:rPr>
        <w:t>has served as a director of Mobileye since October 2022. Ms. Pambianchi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serving as an Executive Vice President and Chief People Officer at Intel since 2021. Prior to joining Intel, Ms. Pambianchi served as an Executive Vice President and Chief Human Resources Officer at Verizon Communications Inc. (NYSE: VZ) from 2019 to 2021. Before Verizon, 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7"/>
          <w:szCs w:val="17"/>
          <w:b w:val="1"/>
          <w:bCs w:val="1"/>
          <w:color w:val="auto"/>
        </w:rPr>
        <w:t xml:space="preserve">Frank D. Yeary </w:t>
      </w:r>
      <w:r>
        <w:rPr>
          <w:rFonts w:ascii="Arial" w:cs="Arial" w:eastAsia="Arial" w:hAnsi="Arial"/>
          <w:sz w:val="17"/>
          <w:szCs w:val="17"/>
          <w:color w:val="auto"/>
        </w:rPr>
        <w:t>has served as a director of Mobileye since October 2022. Mr. Yeary has been serving as</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Member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w:t>
      </w:r>
    </w:p>
    <w:p>
      <w:pPr>
        <w:spacing w:after="0" w:line="5" w:lineRule="exact"/>
        <w:rPr>
          <w:sz w:val="20"/>
          <w:szCs w:val="20"/>
          <w:color w:val="auto"/>
        </w:rPr>
      </w:pPr>
    </w:p>
    <w:p>
      <w:pPr>
        <w:ind w:left="1260" w:right="439"/>
        <w:spacing w:after="0" w:line="264" w:lineRule="auto"/>
        <w:rPr>
          <w:sz w:val="20"/>
          <w:szCs w:val="20"/>
          <w:color w:val="auto"/>
        </w:rPr>
      </w:pPr>
      <w:r>
        <w:rPr>
          <w:rFonts w:ascii="Arial" w:cs="Arial" w:eastAsia="Arial" w:hAnsi="Arial"/>
          <w:sz w:val="18"/>
          <w:szCs w:val="18"/>
          <w:color w:val="auto"/>
        </w:rPr>
        <w:t>Mr. Yeary serves on the board of directors of PayPal Holdings, Inc. (Nasdaq: PYPL) and as chair of the board of directors of Intel. Mr. Yeary earned his B.A. from the University of California, Berkeley. Mr. Yeary was selected to serve on our board of directors due to his financial strategy and global M&amp;A expertise, including expertise in financial reporting.</w:t>
      </w:r>
    </w:p>
    <w:p>
      <w:pPr>
        <w:spacing w:after="0" w:line="124" w:lineRule="exact"/>
        <w:rPr>
          <w:sz w:val="20"/>
          <w:szCs w:val="20"/>
          <w:color w:val="auto"/>
        </w:rPr>
      </w:pPr>
    </w:p>
    <w:p>
      <w:pPr>
        <w:ind w:left="1260" w:right="479" w:firstLine="360"/>
        <w:spacing w:after="0" w:line="264" w:lineRule="auto"/>
        <w:rPr>
          <w:sz w:val="20"/>
          <w:szCs w:val="20"/>
          <w:color w:val="auto"/>
        </w:rPr>
      </w:pPr>
      <w:r>
        <w:rPr>
          <w:rFonts w:ascii="Arial" w:cs="Arial" w:eastAsia="Arial" w:hAnsi="Arial"/>
          <w:sz w:val="18"/>
          <w:szCs w:val="18"/>
          <w:b w:val="1"/>
          <w:bCs w:val="1"/>
          <w:color w:val="auto"/>
        </w:rPr>
        <w:t xml:space="preserve">Saf Yeboah-Amankwah </w:t>
      </w:r>
      <w:r>
        <w:rPr>
          <w:rFonts w:ascii="Arial" w:cs="Arial" w:eastAsia="Arial" w:hAnsi="Arial"/>
          <w:sz w:val="18"/>
          <w:szCs w:val="18"/>
          <w:color w:val="auto"/>
        </w:rPr>
        <w:t>has served as a director of Mobileye since October 2022. 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Our amended and restated certificate of incorporation provides that the number of directors on our board of directors shall be no less than five and established from time to time by our board of directors. Our board of directors is currently composed of eight members, as set forth above. Mr. Gelsinger is the chair of our board of directors. Each director will continue to serve until the election and qualification of his, her or their successor, or until the earliest of his, her or their death, resignation, or removal.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are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discussed below.</w:t>
      </w:r>
    </w:p>
    <w:p>
      <w:pPr>
        <w:spacing w:after="0" w:line="111"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The rules of Nasdaq define a “controlled company” as a company of which more than 50% of the voting power for the election of directors is held by an individual, a group or another company. Intel beneficially owns all of the outstanding shares of our Class B common stock, representing approximately</w:t>
      </w:r>
    </w:p>
    <w:p>
      <w:pPr>
        <w:jc w:val="both"/>
        <w:ind w:left="1260" w:right="579"/>
        <w:spacing w:after="0" w:line="265" w:lineRule="auto"/>
        <w:rPr>
          <w:sz w:val="20"/>
          <w:szCs w:val="20"/>
          <w:color w:val="auto"/>
        </w:rPr>
      </w:pPr>
      <w:r>
        <w:rPr>
          <w:rFonts w:ascii="Arial" w:cs="Arial" w:eastAsia="Arial" w:hAnsi="Arial"/>
          <w:sz w:val="17"/>
          <w:szCs w:val="17"/>
          <w:color w:val="auto"/>
        </w:rPr>
        <w:t>99.3% of the voting power of our common stock before this offering, or      % following the completion of this offering (or approximately      % if the underwriters exercise their option to purchase additional shares in full). Through its control of shares of common stock representing a majority of the votes entitled to be cast in the election of directors, Intel has the ability to control the vote to elect all of our directors.</w:t>
      </w:r>
    </w:p>
    <w:p>
      <w:pPr>
        <w:spacing w:after="0" w:line="1"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Accordingly, we qualify as a “controlled company” under the listing requirements of Nasdaq and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Our board of directors has the following standing committees. The written charters for our committees are available on our website. The information contained in, or that can be accessed through, our website is not incorporated by reference in, and is not part of, this prospectus.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has, among other things, the following responsibilities:</w:t>
      </w:r>
    </w:p>
    <w:p>
      <w:pPr>
        <w:spacing w:after="0" w:line="117" w:lineRule="exact"/>
        <w:rPr>
          <w:sz w:val="20"/>
          <w:szCs w:val="20"/>
          <w:color w:val="auto"/>
        </w:rPr>
      </w:pPr>
    </w:p>
    <w:p>
      <w:pPr>
        <w:ind w:left="1800" w:right="77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75" w:lineRule="exact"/>
        <w:rPr>
          <w:rFonts w:ascii="Arial" w:cs="Arial" w:eastAsia="Arial" w:hAnsi="Arial"/>
          <w:sz w:val="18"/>
          <w:szCs w:val="18"/>
          <w:color w:val="auto"/>
        </w:rPr>
      </w:pPr>
    </w:p>
    <w:p>
      <w:pPr>
        <w:ind w:left="1800" w:right="91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our consolidated financial statements, including any significant financial items and/or changes in accounting policies, with our senior management and independent registered public accounting firm;</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our financial risk and control procedures, compliance programs and significant tax, legal and regulatory matters;</w:t>
      </w:r>
    </w:p>
    <w:p>
      <w:pPr>
        <w:spacing w:after="0" w:line="62" w:lineRule="exact"/>
        <w:rPr>
          <w:rFonts w:ascii="Arial" w:cs="Arial" w:eastAsia="Arial" w:hAnsi="Arial"/>
          <w:sz w:val="18"/>
          <w:szCs w:val="18"/>
          <w:color w:val="auto"/>
        </w:rPr>
      </w:pPr>
    </w:p>
    <w:p>
      <w:pPr>
        <w:ind w:left="1800" w:right="81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approve in advance any proposed related person transactions.</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members of our audit committee are Mr. Desheh, Senator McCaskill, and Mr. Yeary. Mr. Desheh is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compensation committee has, among other things, the following responsibilities:</w:t>
      </w:r>
    </w:p>
    <w:p>
      <w:pPr>
        <w:spacing w:after="0" w:line="117" w:lineRule="exact"/>
        <w:rPr>
          <w:sz w:val="20"/>
          <w:szCs w:val="20"/>
          <w:color w:val="auto"/>
        </w:rPr>
      </w:pPr>
    </w:p>
    <w:p>
      <w:pPr>
        <w:ind w:left="1800" w:right="8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approve, or recommend that our board of directors approve, the compensation of our executive officers;</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recommend to our board of directors the compensation of our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 the 2022 Plan (as defined below);</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equity grants under the 2022 Plan to employees and consultants and recommend such grants to directors for approval by our board of directors;</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or make recommendations to our board of directors with respect to, incentive compensation and equity plans;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our overall compensation philosophy.</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 of our compensation committee are Ms. Pambianchi, Mr. Deshseh, and Mr. Yeary.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Ms. Pambianchi is the chair of our compensation committee.</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The nominating and corporate governance committee has, among other things, the following responsibilities:</w:t>
      </w:r>
    </w:p>
    <w:p>
      <w:pPr>
        <w:spacing w:after="0" w:line="62" w:lineRule="exact"/>
        <w:rPr>
          <w:sz w:val="20"/>
          <w:szCs w:val="20"/>
          <w:color w:val="auto"/>
        </w:rPr>
      </w:pPr>
    </w:p>
    <w:p>
      <w:pPr>
        <w:ind w:left="1800" w:right="95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identify, evaluate, and recommend to our board of directors to select as nominees individuals qualified to become new directors, consistent with criteria approved by our board of directors;</w:t>
      </w:r>
    </w:p>
    <w:p>
      <w:pPr>
        <w:spacing w:after="0" w:line="38"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qualifications of incumbent directors to determine whether to recommend them for reelection at our next annual meeting of the stockholders;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evaluate, and recommend to our board of directors to appoint those directors that are qualified to serve on any committee of our board of directors;</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recommend to our board of directors corporate governance principles applicable to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evaluation of our board of directors.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members of our nominating and corporate governance committee are Governor Huntsman,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Pambianchi, and Mr. Yeboah-Amankwah. Mr. Yeboah-Amankwah is the chair of our nominating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governance committee.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employees and each of our directors and officers, including our principal executive officer and principal financial officer. The purpose of the Code of Business Conduct and Ethics is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is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This Compensation Discussion and Analysis section describes our compensation approach and programs for our NEOs, which include our Chief Executive Officer, Chief Financial Officer, and our three other most highly compensated executive officers for the year ended December 31, 2022. Except as otherwise indicated, the information in this section relates to the compensation of our NEOs, and the principles underlying our executive compensation policies, in respect of fiscal year 2022. Our NEOs for the year ended December 31, 2022 were as follows:</w:t>
      </w:r>
    </w:p>
    <w:p>
      <w:pPr>
        <w:spacing w:after="0" w:line="77"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 Amnon Shashua, Chief Executive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Anat Heller, Chief Financial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 Shai Shalev-Shwartz, Chief Technology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Gavriel (Gaby) Hayon, Executive Vice President, Research &amp; Development;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Nimrod Nehushtan, Senior Vice President Business Development &amp; Strategy and Co-Manager REM</w:t>
      </w:r>
    </w:p>
    <w:p>
      <w:pPr>
        <w:spacing w:after="0" w:line="16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in the “Summary Compensation Table.”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76" w:lineRule="exact"/>
        <w:rPr>
          <w:sz w:val="20"/>
          <w:szCs w:val="20"/>
          <w:color w:val="auto"/>
        </w:rPr>
      </w:pPr>
    </w:p>
    <w:p>
      <w:pPr>
        <w:ind w:left="1800" w:right="45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motivate our executive officers to achieve our business and financial objectives;</w:t>
      </w:r>
    </w:p>
    <w:p>
      <w:pPr>
        <w:spacing w:after="0" w:line="11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conform compensation and governance with regular review of external market best practices.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As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that become relevant to us as a publicly traded company.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Elements of Compensation</w:t>
      </w:r>
    </w:p>
    <w:p>
      <w:pPr>
        <w:spacing w:after="0" w:line="162"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The compensation of our NEOs consists of two primary elements: (i) base salary and (ii) equity compensation. Our model focuses on equity compensation as the key element of total compensation. A meaningful portion of executive pay is tied directly to stockholder outcomes and value creation through annual grants of restricted stock units (“RSUs”).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pacing w:after="0" w:line="96" w:lineRule="exact"/>
        <w:rPr>
          <w:sz w:val="20"/>
          <w:szCs w:val="20"/>
          <w:color w:val="auto"/>
        </w:rPr>
      </w:pPr>
    </w:p>
    <w:p>
      <w:pPr>
        <w:ind w:left="1260" w:right="559" w:firstLine="360"/>
        <w:spacing w:after="0" w:line="342" w:lineRule="auto"/>
        <w:rPr>
          <w:sz w:val="20"/>
          <w:szCs w:val="20"/>
          <w:color w:val="auto"/>
        </w:rPr>
      </w:pPr>
      <w:r>
        <w:rPr>
          <w:rFonts w:ascii="Arial" w:cs="Arial" w:eastAsia="Arial" w:hAnsi="Arial"/>
          <w:sz w:val="16"/>
          <w:szCs w:val="16"/>
          <w:i w:val="1"/>
          <w:iCs w:val="1"/>
          <w:color w:val="auto"/>
        </w:rPr>
        <w:t>Base Salaries</w:t>
      </w:r>
      <w:r>
        <w:rPr>
          <w:rFonts w:ascii="Arial" w:cs="Arial" w:eastAsia="Arial" w:hAnsi="Arial"/>
          <w:sz w:val="16"/>
          <w:szCs w:val="16"/>
          <w:color w:val="auto"/>
        </w:rPr>
        <w:t>. Base salary is provided as a fixed source of compensation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NEOs. Adjustments to base salaries are expected to be determined annually and base salaries</w:t>
      </w: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619"/>
        <w:spacing w:after="0" w:line="271" w:lineRule="auto"/>
        <w:rPr>
          <w:sz w:val="20"/>
          <w:szCs w:val="20"/>
          <w:color w:val="auto"/>
        </w:rPr>
      </w:pPr>
      <w:r>
        <w:rPr>
          <w:rFonts w:ascii="Arial" w:cs="Arial" w:eastAsia="Arial" w:hAnsi="Arial"/>
          <w:sz w:val="18"/>
          <w:szCs w:val="18"/>
          <w:color w:val="auto"/>
        </w:rPr>
        <w:t>may be increased based on the NEO’s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i w:val="1"/>
          <w:iCs w:val="1"/>
          <w:color w:val="auto"/>
        </w:rPr>
        <w:t>Other Cash Compensation</w:t>
      </w:r>
      <w:r>
        <w:rPr>
          <w:rFonts w:ascii="Arial" w:cs="Arial" w:eastAsia="Arial" w:hAnsi="Arial"/>
          <w:sz w:val="18"/>
          <w:szCs w:val="18"/>
          <w:color w:val="auto"/>
        </w:rPr>
        <w:t>. We do not currently provide our NEOs with annual cash incentives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regular cash bonuses or sales commissions.</w:t>
      </w:r>
    </w:p>
    <w:p>
      <w:pPr>
        <w:spacing w:after="0" w:line="103" w:lineRule="exact"/>
        <w:rPr>
          <w:sz w:val="20"/>
          <w:szCs w:val="20"/>
          <w:color w:val="auto"/>
        </w:rPr>
      </w:pPr>
    </w:p>
    <w:p>
      <w:pPr>
        <w:ind w:left="1260" w:right="499" w:firstLine="360"/>
        <w:spacing w:after="0" w:line="265"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Equity based compensation is provided to our NEOs to align their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those of our stockholders and is a significant component of our compensation program. Annual equity awards are generally made through time-based restricted stock units and, on occasion, performance-based restricted stock units. Such annual equity awards provide personal long-term incentives based on talent assessment, level of contribution and performance. We adopted a new equity incentive plan in connection with the Mobileye IPO, as described below under “— Equity-Based Compensation Following the Mobileye IPO.”</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 of Compensation</w:t>
      </w:r>
    </w:p>
    <w:p>
      <w:pPr>
        <w:spacing w:after="0" w:line="148"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8"/>
          <w:szCs w:val="18"/>
          <w:color w:val="auto"/>
        </w:rPr>
        <w:t>In fiscal year 2022 and prior to the Mobileye IPO, the appropriate levels of annual salary and equity compensation in the form of RSUs to our CEO were determined by Intel Corporation’s Human Resources department and its CEO. For our NEOs other than our CEO, the appropriate levels of annual salary were determined by our CEO and our Human Resources Department, subject to the approval of Intel Corporation, and equity compensation in the form of RSUs was determined by our board of directors. Following the Mobileye IPO and for the remainder of fiscal year 2022, the appropriate levels of annual salary and equity compensation were subject to the approval of the compensation committee of our board of directors. Such determinations took into account each NEO’s experience and roles as well as the compensation practices of similar companies in our industry.</w:t>
      </w:r>
    </w:p>
    <w:p>
      <w:pPr>
        <w:spacing w:after="0" w:line="117" w:lineRule="exact"/>
        <w:rPr>
          <w:sz w:val="20"/>
          <w:szCs w:val="20"/>
          <w:color w:val="auto"/>
        </w:rPr>
      </w:pPr>
    </w:p>
    <w:p>
      <w:pPr>
        <w:ind w:left="1260" w:right="419" w:firstLine="360"/>
        <w:spacing w:after="0" w:line="283" w:lineRule="auto"/>
        <w:rPr>
          <w:sz w:val="20"/>
          <w:szCs w:val="20"/>
          <w:color w:val="auto"/>
        </w:rPr>
      </w:pPr>
      <w:r>
        <w:rPr>
          <w:rFonts w:ascii="Arial" w:cs="Arial" w:eastAsia="Arial" w:hAnsi="Arial"/>
          <w:sz w:val="17"/>
          <w:szCs w:val="17"/>
          <w:color w:val="auto"/>
        </w:rPr>
        <w:t>Following our transition to being a publicly traded company, our compensation committee is responsible for, or assists our board of directors in, fulfilling its governance and supervisory responsibilities, and overseeing our human resources, succession planning, and compensation policies, processes and practices. Our compensation committee is also responsible for ensuring that our compensation policies and practices appropriately balance risk and reward consistent with our risk profile and do not encourage excessive risk-taking behavior by our executive officers, including our NEOs.</w:t>
      </w:r>
    </w:p>
    <w:p>
      <w:pPr>
        <w:spacing w:after="0" w:line="102" w:lineRule="exact"/>
        <w:rPr>
          <w:sz w:val="20"/>
          <w:szCs w:val="20"/>
          <w:color w:val="auto"/>
        </w:rPr>
      </w:pPr>
    </w:p>
    <w:p>
      <w:pPr>
        <w:ind w:left="1260" w:right="539" w:firstLine="360"/>
        <w:spacing w:after="0" w:line="265" w:lineRule="auto"/>
        <w:rPr>
          <w:sz w:val="20"/>
          <w:szCs w:val="20"/>
          <w:color w:val="auto"/>
        </w:rPr>
      </w:pPr>
      <w:r>
        <w:rPr>
          <w:rFonts w:ascii="Arial" w:cs="Arial" w:eastAsia="Arial" w:hAnsi="Arial"/>
          <w:sz w:val="18"/>
          <w:szCs w:val="18"/>
          <w:color w:val="auto"/>
        </w:rPr>
        <w:t>Upon the closing of the Mobileye IPO, our board of directors adopted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includes reviewing compensation objectives, evaluating performance, and ensuring that total compensation paid to executive officers, including our NEOs, is reasonable, and consistent with the objectives and philosophy of our compensation program.</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w:t>
      </w:r>
    </w:p>
    <w:p>
      <w:pPr>
        <w:spacing w:after="0" w:line="162"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Salaries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Generally, initial salaries of our NEOs were established through arm’s length negotiation at the time the individual executive officer was hired. Following the determination of initial salaries, over the years we have conducted annual reviews of each NEO’s base salary and have adjusted as necessary to reflect individual contributions and responsibilities and to maintain market competitiveness.</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In fiscal years 2022 and 2021, our NEOs received the following base salaries in accordance with the policies described above:</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7"/>
              </w:rPr>
              <w:t>2022 Salary</w:t>
            </w:r>
            <w:r>
              <w:rPr>
                <w:rFonts w:ascii="Arial" w:cs="Arial" w:eastAsia="Arial" w:hAnsi="Arial"/>
                <w:sz w:val="17"/>
                <w:szCs w:val="17"/>
                <w:b w:val="1"/>
                <w:bCs w:val="1"/>
                <w:color w:val="auto"/>
                <w:w w:val="87"/>
                <w:vertAlign w:val="superscript"/>
              </w:rPr>
              <w:t>(1)</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2021 Salary</w:t>
            </w:r>
            <w:r>
              <w:rPr>
                <w:rFonts w:ascii="Arial" w:cs="Arial" w:eastAsia="Arial" w:hAnsi="Arial"/>
                <w:sz w:val="17"/>
                <w:szCs w:val="17"/>
                <w:b w:val="1"/>
                <w:bCs w:val="1"/>
                <w:color w:val="auto"/>
                <w:w w:val="87"/>
                <w:vertAlign w:val="superscript"/>
              </w:rPr>
              <w:t>(1)</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40" w:type="dxa"/>
            <w:vAlign w:val="bottom"/>
          </w:tcPr>
          <w:p>
            <w:pPr>
              <w:spacing w:after="0"/>
              <w:rPr>
                <w:sz w:val="16"/>
                <w:szCs w:val="16"/>
                <w:color w:val="auto"/>
              </w:rPr>
            </w:pPr>
          </w:p>
        </w:tc>
      </w:tr>
      <w:tr>
        <w:trPr>
          <w:trHeight w:val="239"/>
        </w:trPr>
        <w:tc>
          <w:tcPr>
            <w:tcW w:w="4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Increase</w:t>
            </w:r>
            <w:r>
              <w:rPr>
                <w:rFonts w:ascii="Arial" w:cs="Arial" w:eastAsia="Arial" w:hAnsi="Arial"/>
                <w:sz w:val="17"/>
                <w:szCs w:val="17"/>
                <w:b w:val="1"/>
                <w:bCs w:val="1"/>
                <w:color w:val="auto"/>
                <w:vertAlign w:val="superscript"/>
              </w:rPr>
              <w:t>(2)</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50"/>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Amnon Shashua</w:t>
            </w:r>
          </w:p>
        </w:tc>
        <w:tc>
          <w:tcPr>
            <w:tcW w:w="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758,595</w:t>
            </w:r>
            <w:r>
              <w:rPr>
                <w:rFonts w:ascii="Arial" w:cs="Arial" w:eastAsia="Arial" w:hAnsi="Arial"/>
                <w:sz w:val="18"/>
                <w:szCs w:val="18"/>
                <w:b w:val="1"/>
                <w:bCs w:val="1"/>
                <w:color w:val="auto"/>
                <w:w w:val="89"/>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263,417</w:t>
            </w:r>
            <w:r>
              <w:rPr>
                <w:rFonts w:ascii="Arial" w:cs="Arial" w:eastAsia="Arial" w:hAnsi="Arial"/>
                <w:sz w:val="18"/>
                <w:szCs w:val="18"/>
                <w:b w:val="1"/>
                <w:bCs w:val="1"/>
                <w:color w:val="auto"/>
                <w:w w:val="92"/>
              </w:rPr>
              <w:t>​</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Anat Heller</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237,835</w:t>
            </w:r>
            <w:r>
              <w:rPr>
                <w:rFonts w:ascii="Arial" w:cs="Arial" w:eastAsia="Arial" w:hAnsi="Arial"/>
                <w:sz w:val="18"/>
                <w:szCs w:val="18"/>
                <w:b w:val="1"/>
                <w:bCs w:val="1"/>
                <w:color w:val="auto"/>
                <w:w w:val="8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265,780</w:t>
            </w:r>
            <w:r>
              <w:rPr>
                <w:rFonts w:ascii="Arial" w:cs="Arial" w:eastAsia="Arial" w:hAnsi="Arial"/>
                <w:sz w:val="18"/>
                <w:szCs w:val="18"/>
                <w:b w:val="1"/>
                <w:bCs w:val="1"/>
                <w:color w:val="auto"/>
                <w:w w:val="92"/>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681,142</w:t>
            </w:r>
            <w:r>
              <w:rPr>
                <w:rFonts w:ascii="Arial" w:cs="Arial" w:eastAsia="Arial" w:hAnsi="Arial"/>
                <w:sz w:val="18"/>
                <w:szCs w:val="18"/>
                <w:b w:val="1"/>
                <w:bCs w:val="1"/>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761,175</w:t>
            </w:r>
            <w:r>
              <w:rPr>
                <w:rFonts w:ascii="Arial" w:cs="Arial" w:eastAsia="Arial" w:hAnsi="Arial"/>
                <w:sz w:val="18"/>
                <w:szCs w:val="18"/>
                <w:b w:val="1"/>
                <w:bCs w:val="1"/>
                <w:color w:val="auto"/>
                <w:w w:val="92"/>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Dr. Hayon</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236,147</w:t>
            </w:r>
            <w:r>
              <w:rPr>
                <w:rFonts w:ascii="Arial" w:cs="Arial" w:eastAsia="Arial" w:hAnsi="Arial"/>
                <w:sz w:val="18"/>
                <w:szCs w:val="18"/>
                <w:b w:val="1"/>
                <w:bCs w:val="1"/>
                <w:color w:val="auto"/>
                <w:w w:val="8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263,893</w:t>
            </w:r>
            <w:r>
              <w:rPr>
                <w:rFonts w:ascii="Arial" w:cs="Arial" w:eastAsia="Arial" w:hAnsi="Arial"/>
                <w:sz w:val="18"/>
                <w:szCs w:val="18"/>
                <w:b w:val="1"/>
                <w:bCs w:val="1"/>
                <w:color w:val="auto"/>
                <w:w w:val="92"/>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Nimrod Nehushtan</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179,832</w:t>
            </w:r>
            <w:r>
              <w:rPr>
                <w:rFonts w:ascii="Arial" w:cs="Arial" w:eastAsia="Arial" w:hAnsi="Arial"/>
                <w:sz w:val="18"/>
                <w:szCs w:val="18"/>
                <w:b w:val="1"/>
                <w:bCs w:val="1"/>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-856615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-856615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-856615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-856615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39" w:hanging="360"/>
        <w:spacing w:after="0" w:line="259"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salary figures include an amount reflecting global overtime and a high-tech addition, which is a fixed salary component for each NEO, as applicable. Such high-tech addition component was cancelled in March 2022, to all of the Company’s employees, and the component amount was divided between the base salary and global overtime component.</w:t>
      </w:r>
    </w:p>
    <w:p>
      <w:pPr>
        <w:spacing w:after="0" w:line="38"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percentage increases were calculated based on the salary amounts in NIS, which is the currency that was used to pay these salaries. The amounts were converted according to the closing foreign exchange rate of U.S. dollar/NIS for December 31, 2022 at $1/NIS3.519 and for December 25, 2021 at $1/NIS 3.149.</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Compensation — Retirement and Welfare Benefits</w:t>
      </w:r>
    </w:p>
    <w:p>
      <w:pPr>
        <w:spacing w:after="0" w:line="162"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7"/>
          <w:szCs w:val="17"/>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63" w:lineRule="exact"/>
        <w:rPr>
          <w:sz w:val="20"/>
          <w:szCs w:val="20"/>
          <w:color w:val="auto"/>
        </w:rPr>
      </w:pPr>
    </w:p>
    <w:p>
      <w:pPr>
        <w:ind w:left="1800" w:right="419" w:hanging="180"/>
        <w:spacing w:after="0" w:line="267"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Pension and Severance Benefits</w:t>
      </w:r>
      <w:r>
        <w:rPr>
          <w:rFonts w:ascii="Arial" w:cs="Arial" w:eastAsia="Arial" w:hAnsi="Arial"/>
          <w:sz w:val="17"/>
          <w:szCs w:val="17"/>
          <w:color w:val="auto"/>
        </w:rPr>
        <w:t>. In Israel, we generally provide our executives, including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 (iii)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83"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Health and Welfare Plans</w:t>
      </w:r>
      <w:r>
        <w:rPr>
          <w:rFonts w:ascii="Arial" w:cs="Arial" w:eastAsia="Arial" w:hAnsi="Arial"/>
          <w:sz w:val="18"/>
          <w:szCs w:val="18"/>
          <w:color w:val="auto"/>
        </w:rPr>
        <w:t>. Generally, benefits available to our Israel-based employees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 These amounts also include payments for national health insurance. The payments to the National Insurance Institute amount to approximately 19.6% of wages (up to monthly wages of approximately NIS 48,065, approximately $13,659), of which the employee contributes approximately 7% toward national insurance and 5% toward national health insurance and the employer contributes approximately 7.6% toward national insurance.</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Benefits and Perquisites</w:t>
      </w:r>
    </w:p>
    <w:p>
      <w:pPr>
        <w:spacing w:after="0" w:line="121" w:lineRule="exact"/>
        <w:rPr>
          <w:sz w:val="20"/>
          <w:szCs w:val="20"/>
          <w:color w:val="auto"/>
        </w:rPr>
      </w:pPr>
    </w:p>
    <w:p>
      <w:pPr>
        <w:ind w:left="1800" w:right="559" w:hanging="180"/>
        <w:spacing w:after="0" w:line="271"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Lease of Automobiles</w:t>
      </w:r>
      <w:r>
        <w:rPr>
          <w:rFonts w:ascii="Arial" w:cs="Arial" w:eastAsia="Arial" w:hAnsi="Arial"/>
          <w:sz w:val="17"/>
          <w:szCs w:val="17"/>
          <w:color w:val="auto"/>
        </w:rPr>
        <w:t>. As is customary in Israel, we lease automobiles for certain of our NEOs,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for Ms. Heller and Prof. Shwartz. The lease amount and the applicable taxes are deducted from Ms. Heller’s salary on a monthly basis (NIS 4,900, approximately $1,392, per month).</w:t>
      </w:r>
    </w:p>
    <w:p>
      <w:pPr>
        <w:ind w:left="1800" w:right="719"/>
        <w:spacing w:after="0" w:line="260" w:lineRule="auto"/>
        <w:rPr>
          <w:rFonts w:ascii="Arial" w:cs="Arial" w:eastAsia="Arial" w:hAnsi="Arial"/>
          <w:sz w:val="17"/>
          <w:szCs w:val="17"/>
          <w:color w:val="auto"/>
        </w:rPr>
      </w:pPr>
      <w:r>
        <w:rPr>
          <w:rFonts w:ascii="Arial" w:cs="Arial" w:eastAsia="Arial" w:hAnsi="Arial"/>
          <w:sz w:val="18"/>
          <w:szCs w:val="18"/>
          <w:color w:val="auto"/>
        </w:rPr>
        <w:t>Prof. Shwartz’s automobile lease is paid for by the Company and Prof. Shwartz pays for the taxes incurred in connection with this benefit.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Equity-Based Compensation Prior to the Mobileye IPO</w:t>
      </w:r>
    </w:p>
    <w:p>
      <w:pPr>
        <w:spacing w:after="0" w:line="144"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Prior to the Mobileye IPO, executive officers of the Company were incentivized and rewarded through the grant of Intel equity awards under the Intel Corporation 2006 Equity Incentive Plan (the “Intel Plan”). All outstanding equity awards awarded under the Intel Plan were awarded prior to the Mobileye IPO and will continue to vest and remain outstanding under the Intel Plan.</w:t>
      </w:r>
    </w:p>
    <w:p>
      <w:pPr>
        <w:spacing w:after="0" w:line="113" w:lineRule="exact"/>
        <w:rPr>
          <w:sz w:val="20"/>
          <w:szCs w:val="20"/>
          <w:color w:val="auto"/>
        </w:rPr>
      </w:pPr>
    </w:p>
    <w:p>
      <w:pPr>
        <w:ind w:left="1260" w:right="599" w:firstLine="360"/>
        <w:spacing w:after="0" w:line="245" w:lineRule="auto"/>
        <w:rPr>
          <w:sz w:val="20"/>
          <w:szCs w:val="20"/>
          <w:color w:val="auto"/>
        </w:rPr>
      </w:pPr>
      <w:r>
        <w:rPr>
          <w:rFonts w:ascii="Arial" w:cs="Arial" w:eastAsia="Arial" w:hAnsi="Arial"/>
          <w:sz w:val="18"/>
          <w:szCs w:val="18"/>
          <w:color w:val="auto"/>
        </w:rPr>
        <w:t>In 2017, when Mobileye was acquired by Intel, certain option awards held by then-current executives were converted into Intel option awards (the “2017 Options”). All 2017 Options that were granted to our NEOs are now fully vested. The option awards exercised in fiscal year 2022 are set forth in the “Option Exercises and Stock Vested Table” below. The 2017 Options that remain outstanding are reflected in the “Outstanding Equity Awards at Fiscal Year-End Table” below.</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Equity-Based Compensation Following the Mobileye IPO</w:t>
      </w:r>
    </w:p>
    <w:p>
      <w:pPr>
        <w:spacing w:after="0" w:line="144"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color w:val="auto"/>
        </w:rPr>
        <w:t>Following the Mobileye IPO, we established a compensation committee that is responsible for making recommendations for equity awards to be granted to our executive officers and making equity-based incentive awards under the Mobileye Global Inc. 2022 Equity Incentive Plan (the “2022 Plan”). The 2022 Plan was adopted by our board of directors on January 30, 2022 and approved by our stockholder on September 30, 2022. In October 2022, the Company’s board of directors approved grants of Mobileye restricted stock units (the “ME RSUs”) under the 2022 Plan to our executive officers as set forth in the “New Equity Awards” section, the “Summary Compensation Table” and “Grants of Plan-Based Awards in the Year Ended December 31, 2022,” table below.</w:t>
      </w:r>
    </w:p>
    <w:p>
      <w:pPr>
        <w:spacing w:after="0" w:line="119"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Performance awards may be granted to our NEOs on occasion. When granted, they are intended to align interests of executives with those of stockholders through the use of measures we believe drives long-term success for the Company. In fiscal year 2022, we did not grant any performance-based awards to our NEOs.</w:t>
      </w:r>
    </w:p>
    <w:p>
      <w:pPr>
        <w:spacing w:after="0" w:line="113"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that may be issued under the 2022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40,095,595 shares, subject to adjustment upon certain changes in the Company’s capitalization.</w:t>
      </w:r>
    </w:p>
    <w:p>
      <w:pPr>
        <w:spacing w:after="0" w:line="79" w:lineRule="exact"/>
        <w:rPr>
          <w:sz w:val="20"/>
          <w:szCs w:val="20"/>
          <w:color w:val="auto"/>
        </w:rPr>
      </w:pPr>
    </w:p>
    <w:p>
      <w:pPr>
        <w:ind w:left="1620"/>
        <w:spacing w:after="0"/>
        <w:tabs>
          <w:tab w:leader="none" w:pos="2920" w:val="left"/>
        </w:tabs>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2022 Plan is administered by our compensation committee.</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 Persons eligible to participate in the 2022 Plan are those employees, outside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as selected from time to time by our compensation committee in its discretion.</w:t>
      </w:r>
    </w:p>
    <w:p>
      <w:pPr>
        <w:spacing w:after="0" w:line="103"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Our compensation committee may award options to purchase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qualify as incentive stock options under Section 422 of the Code, non-qualified stock options, stock appreciation rights, restricted shares of common stock and RSUs to participants subject to such conditions and restrictions as it may determine, as described below.</w:t>
      </w:r>
    </w:p>
    <w:p>
      <w:pPr>
        <w:spacing w:after="0" w:line="73" w:lineRule="exact"/>
        <w:rPr>
          <w:sz w:val="20"/>
          <w:szCs w:val="20"/>
          <w:color w:val="auto"/>
        </w:rPr>
      </w:pPr>
    </w:p>
    <w:p>
      <w:pPr>
        <w:ind w:left="1800" w:right="459" w:hanging="180"/>
        <w:spacing w:after="0" w:line="25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option exercise price of each option will be determined by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79"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entitle the recipient to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cash, equal to the value of the appreciation in our stock price over the exercise price. The</w:t>
      </w: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800" w:right="459"/>
        <w:spacing w:after="0" w:line="269" w:lineRule="auto"/>
        <w:rPr>
          <w:sz w:val="20"/>
          <w:szCs w:val="20"/>
          <w:color w:val="auto"/>
        </w:rPr>
      </w:pPr>
      <w:r>
        <w:rPr>
          <w:rFonts w:ascii="Arial" w:cs="Arial" w:eastAsia="Arial" w:hAnsi="Arial"/>
          <w:sz w:val="18"/>
          <w:szCs w:val="18"/>
          <w:color w:val="auto"/>
        </w:rPr>
        <w:t>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98" w:lineRule="exact"/>
        <w:rPr>
          <w:sz w:val="20"/>
          <w:szCs w:val="20"/>
          <w:color w:val="auto"/>
        </w:rPr>
      </w:pPr>
    </w:p>
    <w:p>
      <w:pPr>
        <w:ind w:left="1800" w:right="519" w:hanging="180"/>
        <w:spacing w:after="0" w:line="273"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Restricted Stock and RSUs may require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110"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Subject to certain restrictions, our board of directors may amend, alter or discontinue the</w:t>
      </w:r>
      <w:r>
        <w:rPr>
          <w:rFonts w:ascii="Arial" w:cs="Arial" w:eastAsia="Arial" w:hAnsi="Arial"/>
          <w:sz w:val="18"/>
          <w:szCs w:val="18"/>
          <w:i w:val="1"/>
          <w:iCs w:val="1"/>
          <w:color w:val="auto"/>
        </w:rPr>
        <w:t xml:space="preserve"> </w:t>
      </w:r>
      <w:r>
        <w:rPr>
          <w:rFonts w:ascii="Arial" w:cs="Arial" w:eastAsia="Arial" w:hAnsi="Arial"/>
          <w:sz w:val="18"/>
          <w:szCs w:val="18"/>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w:t>
      </w:r>
    </w:p>
    <w:p>
      <w:pPr>
        <w:spacing w:after="0" w:line="126" w:lineRule="exact"/>
        <w:rPr>
          <w:sz w:val="20"/>
          <w:szCs w:val="20"/>
          <w:color w:val="auto"/>
        </w:rPr>
      </w:pPr>
    </w:p>
    <w:p>
      <w:pPr>
        <w:ind w:left="1260" w:right="499" w:firstLine="360"/>
        <w:spacing w:after="0" w:line="294" w:lineRule="auto"/>
        <w:rPr>
          <w:sz w:val="20"/>
          <w:szCs w:val="20"/>
          <w:color w:val="auto"/>
        </w:rPr>
      </w:pPr>
      <w:r>
        <w:rPr>
          <w:rFonts w:ascii="Arial" w:cs="Arial" w:eastAsia="Arial" w:hAnsi="Arial"/>
          <w:sz w:val="17"/>
          <w:szCs w:val="17"/>
          <w:color w:val="auto"/>
        </w:rPr>
        <w:t>No awards may be granted under the 2022 Plan after January 30, 2032 or such earlier date as the board of directors may determine, and no incentive stock options may be granted under the 2022 Plan after the date that is ten years from the date the 2022 Plan was approved by the board of directors.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Equity Awards</w:t>
      </w:r>
    </w:p>
    <w:p>
      <w:pPr>
        <w:spacing w:after="0" w:line="14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We have not established any additional compensation plans for the NEOs in fiscal year 2022. We made the following additional equity grants to our NEOs in fiscal year 2022:</w:t>
      </w:r>
    </w:p>
    <w:p>
      <w:pPr>
        <w:spacing w:after="0" w:line="6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Prof. Amnon Shashua: Prof. Shashua received: (i) an annual base salary of $800,000</w:t>
      </w:r>
      <w:r>
        <w:rPr>
          <w:rFonts w:ascii="Arial" w:cs="Arial" w:eastAsia="Arial" w:hAnsi="Arial"/>
          <w:sz w:val="26"/>
          <w:szCs w:val="26"/>
          <w:color w:val="auto"/>
          <w:vertAlign w:val="superscript"/>
        </w:rPr>
        <w:t>(1)</w:t>
      </w:r>
      <w:r>
        <w:rPr>
          <w:rFonts w:ascii="Arial" w:cs="Arial" w:eastAsia="Arial" w:hAnsi="Arial"/>
          <w:sz w:val="18"/>
          <w:szCs w:val="18"/>
          <w:color w:val="auto"/>
        </w:rPr>
        <w:t>; and (ii) an annual equity award representing approximately $14,200,000. Additionally, Prof. Shashua exercised his option to invest $10,000,000 of his own capital in Mobileye, to be matched on a three-to-one basis by Mobileye. Accordingly, Prof. Shashua invested $10,000,000 by purchasing shares of our Class A common stock in the Mobileye IPO and Mobileye matched this investment through grants of additional awards of our equity representing $30,000,000, vesting 50% in the fourth year following the completion of the Mobileye IPO and 50% in the fifth year following the completion of the Mobileye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1519" w:hanging="360"/>
        <w:spacing w:after="0" w:line="43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Converted to NIS 2,679,996 according to U.S. dollar/ NIS exchange rate of $1/ NIS 3.35. Other NEOs: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Grant</w:t>
            </w:r>
          </w:p>
        </w:tc>
        <w:tc>
          <w:tcPr>
            <w:tcW w:w="60" w:type="dxa"/>
            <w:vAlign w:val="bottom"/>
          </w:tcPr>
          <w:p>
            <w:pPr>
              <w:spacing w:after="0"/>
              <w:rPr>
                <w:sz w:val="14"/>
                <w:szCs w:val="14"/>
                <w:color w:val="auto"/>
              </w:rPr>
            </w:pPr>
          </w:p>
        </w:tc>
      </w:tr>
      <w:tr>
        <w:trPr>
          <w:trHeight w:val="162"/>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of ME RSUs</w:t>
            </w: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64"/>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Anat Heller, Chief Financial Officer</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3,284,547</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Prof. Shai Shalev-Shwartz, Chief Technology Officer</w:t>
            </w:r>
          </w:p>
        </w:tc>
        <w:tc>
          <w:tcPr>
            <w:tcW w:w="1060" w:type="dxa"/>
            <w:vAlign w:val="bottom"/>
            <w:gridSpan w:val="3"/>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9,999,990 ​</w:t>
            </w:r>
          </w:p>
        </w:tc>
      </w:tr>
      <w:tr>
        <w:trPr>
          <w:trHeight w:val="27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Dr. Gavriel Hayon, Executive Vice President, Research &amp; Development</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2,284,548</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2"/>
        </w:trPr>
        <w:tc>
          <w:tcPr>
            <w:tcW w:w="6480" w:type="dxa"/>
            <w:vAlign w:val="bottom"/>
          </w:tcPr>
          <w:p>
            <w:pPr>
              <w:spacing w:after="0"/>
              <w:rPr>
                <w:sz w:val="20"/>
                <w:szCs w:val="20"/>
                <w:color w:val="auto"/>
              </w:rPr>
            </w:pPr>
            <w:r>
              <w:rPr>
                <w:rFonts w:ascii="Arial" w:cs="Arial" w:eastAsia="Arial" w:hAnsi="Arial"/>
                <w:sz w:val="18"/>
                <w:szCs w:val="18"/>
                <w:color w:val="auto"/>
                <w:w w:val="99"/>
              </w:rPr>
              <w:t>Nimrod Nehushtan, Senior Vice President, Business Development &amp; Strategy and</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480" w:type="dxa"/>
            <w:vAlign w:val="bottom"/>
          </w:tcPr>
          <w:p>
            <w:pPr>
              <w:ind w:left="180"/>
              <w:spacing w:after="0"/>
              <w:rPr>
                <w:sz w:val="20"/>
                <w:szCs w:val="20"/>
                <w:color w:val="auto"/>
              </w:rPr>
            </w:pPr>
            <w:r>
              <w:rPr>
                <w:rFonts w:ascii="Arial" w:cs="Arial" w:eastAsia="Arial" w:hAnsi="Arial"/>
                <w:sz w:val="18"/>
                <w:szCs w:val="18"/>
                <w:color w:val="auto"/>
              </w:rPr>
              <w:t>Co-Manager REM</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1,964,970</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519" w:hanging="360"/>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 RSUs vest over a three-year period, and of which a portion will vest six months following the date of grant.</w:t>
      </w: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8" w:name="page29"/>
    <w:bookmarkEnd w:id="28"/>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337" w:lineRule="exact"/>
        <w:rPr>
          <w:sz w:val="20"/>
          <w:szCs w:val="20"/>
          <w:color w:val="auto"/>
        </w:rPr>
      </w:pPr>
    </w:p>
    <w:p>
      <w:pPr>
        <w:jc w:val="center"/>
        <w:ind w:left="2040"/>
        <w:spacing w:after="0"/>
        <w:rPr>
          <w:sz w:val="20"/>
          <w:szCs w:val="20"/>
          <w:color w:val="auto"/>
        </w:rPr>
      </w:pPr>
      <w:r>
        <w:rPr>
          <w:rFonts w:ascii="Arial" w:cs="Arial" w:eastAsia="Arial" w:hAnsi="Arial"/>
          <w:sz w:val="15"/>
          <w:szCs w:val="15"/>
          <w:b w:val="1"/>
          <w:bCs w:val="1"/>
          <w:color w:val="auto"/>
        </w:rPr>
        <w:t>Confidential Treatment Requested by Mobileye Global Inc. Pursuant to 17 C.F.R. § 200.83.</w:t>
      </w:r>
    </w:p>
    <w:p>
      <w:pPr>
        <w:spacing w:after="0" w:line="75" w:lineRule="exact"/>
        <w:rPr>
          <w:sz w:val="20"/>
          <w:szCs w:val="20"/>
          <w:color w:val="auto"/>
        </w:rPr>
      </w:pPr>
    </w:p>
    <w:p>
      <w:pPr>
        <w:jc w:val="center"/>
        <w:ind w:left="20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 2022 Summary Compensation Table</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Salary</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tcPr>
          <w:p>
            <w:pPr>
              <w:jc w:val="center"/>
              <w:ind w:left="8"/>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740" w:type="dxa"/>
            <w:vAlign w:val="bottom"/>
          </w:tcPr>
          <w:p>
            <w:pPr>
              <w:ind w:left="134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r>
              <w:rPr>
                <w:rFonts w:ascii="Arial" w:cs="Arial" w:eastAsia="Arial" w:hAnsi="Arial"/>
                <w:sz w:val="17"/>
                <w:szCs w:val="17"/>
                <w:b w:val="1"/>
                <w:bCs w:val="1"/>
                <w:color w:val="auto"/>
                <w:w w:val="88"/>
                <w:vertAlign w:val="superscript"/>
              </w:rPr>
              <w:t>(2)</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59"/>
        <w:spacing w:after="0"/>
        <w:rPr>
          <w:sz w:val="20"/>
          <w:szCs w:val="20"/>
          <w:color w:val="auto"/>
        </w:rPr>
      </w:pPr>
      <w:r>
        <w:rPr>
          <w:rFonts w:ascii="Arial" w:cs="Arial" w:eastAsia="Arial" w:hAnsi="Arial"/>
          <w:sz w:val="12"/>
          <w:szCs w:val="12"/>
          <w:b w:val="1"/>
          <w:bCs w:val="1"/>
          <w:color w:val="auto"/>
        </w:rPr>
        <w:t>Total</w:t>
      </w:r>
    </w:p>
    <w:p>
      <w:pPr>
        <w:spacing w:after="0" w:line="40" w:lineRule="exact"/>
        <w:rPr>
          <w:sz w:val="20"/>
          <w:szCs w:val="20"/>
          <w:color w:val="auto"/>
        </w:rPr>
      </w:pPr>
    </w:p>
    <w:p>
      <w:pPr>
        <w:jc w:val="center"/>
        <w:ind w:right="659"/>
        <w:spacing w:after="0"/>
        <w:rPr>
          <w:sz w:val="20"/>
          <w:szCs w:val="20"/>
          <w:color w:val="auto"/>
        </w:rPr>
      </w:pPr>
      <w:r>
        <w:rPr>
          <w:rFonts w:ascii="Arial" w:cs="Arial" w:eastAsia="Arial" w:hAnsi="Arial"/>
          <w:sz w:val="14"/>
          <w:szCs w:val="14"/>
          <w:b w:val="1"/>
          <w:bCs w:val="1"/>
          <w:color w:val="auto"/>
        </w:rPr>
        <w:t>($)</w:t>
      </w:r>
    </w:p>
    <w:p>
      <w:pPr>
        <w:spacing w:after="0" w:line="49" w:lineRule="exact"/>
        <w:rPr>
          <w:sz w:val="20"/>
          <w:szCs w:val="20"/>
          <w:color w:val="auto"/>
        </w:rPr>
      </w:pPr>
    </w:p>
    <w:p>
      <w:pPr>
        <w:sectPr>
          <w:pgSz w:w="11900" w:h="16838" w:orient="portrait"/>
          <w:cols w:equalWidth="0" w:num="2">
            <w:col w:w="8700" w:space="220"/>
            <w:col w:w="95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Amnon Shashua, Chief Executive Officer</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​2022</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​758,595</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​44,199,981</w:t>
            </w:r>
          </w:p>
        </w:tc>
        <w:tc>
          <w:tcPr>
            <w:tcW w:w="12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120"/>
              <w:spacing w:after="0" w:line="250" w:lineRule="exact"/>
              <w:rPr>
                <w:sz w:val="20"/>
                <w:szCs w:val="20"/>
                <w:color w:val="auto"/>
              </w:rPr>
            </w:pPr>
            <w:r>
              <w:rPr>
                <w:rFonts w:ascii="Arial" w:cs="Arial" w:eastAsia="Arial" w:hAnsi="Arial"/>
                <w:sz w:val="18"/>
                <w:szCs w:val="18"/>
                <w:color w:val="auto"/>
                <w:w w:val="85"/>
              </w:rPr>
              <w:t>​167,344</w:t>
            </w:r>
            <w:r>
              <w:rPr>
                <w:rFonts w:ascii="Arial" w:cs="Arial" w:eastAsia="Arial" w:hAnsi="Arial"/>
                <w:sz w:val="23"/>
                <w:szCs w:val="23"/>
                <w:color w:val="auto"/>
                <w:w w:val="85"/>
                <w:vertAlign w:val="superscript"/>
              </w:rPr>
              <w:t>(4)</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45,125,920</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263,417​</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68,952</w:t>
            </w:r>
          </w:p>
        </w:tc>
        <w:tc>
          <w:tcPr>
            <w:tcW w:w="800" w:type="dxa"/>
            <w:vAlign w:val="bottom"/>
          </w:tcPr>
          <w:p>
            <w:pPr>
              <w:jc w:val="right"/>
              <w:spacing w:after="0"/>
              <w:rPr>
                <w:sz w:val="20"/>
                <w:szCs w:val="20"/>
                <w:color w:val="auto"/>
              </w:rPr>
            </w:pPr>
            <w:r>
              <w:rPr>
                <w:rFonts w:ascii="Arial" w:cs="Arial" w:eastAsia="Arial" w:hAnsi="Arial"/>
                <w:sz w:val="18"/>
                <w:szCs w:val="18"/>
                <w:color w:val="auto"/>
              </w:rPr>
              <w:t>332,369</w:t>
            </w:r>
          </w:p>
        </w:tc>
        <w:tc>
          <w:tcPr>
            <w:tcW w:w="0" w:type="dxa"/>
            <w:vAlign w:val="bottom"/>
          </w:tcPr>
          <w:p>
            <w:pPr>
              <w:spacing w:after="0"/>
              <w:rPr>
                <w:sz w:val="1"/>
                <w:szCs w:val="1"/>
                <w:color w:val="auto"/>
              </w:rPr>
            </w:pPr>
          </w:p>
        </w:tc>
      </w:tr>
      <w:tr>
        <w:trPr>
          <w:trHeight w:val="256"/>
        </w:trPr>
        <w:tc>
          <w:tcPr>
            <w:tcW w:w="4340" w:type="dxa"/>
            <w:vAlign w:val="bottom"/>
            <w:gridSpan w:val="2"/>
          </w:tcPr>
          <w:p>
            <w:pPr>
              <w:spacing w:after="0"/>
              <w:rPr>
                <w:sz w:val="20"/>
                <w:szCs w:val="20"/>
                <w:color w:val="auto"/>
              </w:rPr>
            </w:pPr>
            <w:r>
              <w:rPr>
                <w:rFonts w:ascii="Arial" w:cs="Arial" w:eastAsia="Arial" w:hAnsi="Arial"/>
                <w:sz w:val="18"/>
                <w:szCs w:val="18"/>
                <w:color w:val="auto"/>
              </w:rPr>
              <w:t>Anat Heller, Chief Financial Officer</w:t>
            </w:r>
          </w:p>
        </w:tc>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​237,835</w:t>
            </w:r>
          </w:p>
        </w:tc>
        <w:tc>
          <w:tcPr>
            <w:tcW w:w="920" w:type="dxa"/>
            <w:vAlign w:val="bottom"/>
            <w:gridSpan w:val="2"/>
          </w:tcPr>
          <w:p>
            <w:pPr>
              <w:spacing w:after="0"/>
              <w:rPr>
                <w:sz w:val="20"/>
                <w:szCs w:val="20"/>
                <w:color w:val="auto"/>
              </w:rPr>
            </w:pPr>
            <w:r>
              <w:rPr>
                <w:rFonts w:ascii="Arial" w:cs="Arial" w:eastAsia="Arial" w:hAnsi="Arial"/>
                <w:sz w:val="18"/>
                <w:szCs w:val="18"/>
                <w:color w:val="auto"/>
              </w:rPr>
              <w:t>​ 3,284,547</w:t>
            </w:r>
          </w:p>
        </w:tc>
        <w:tc>
          <w:tcPr>
            <w:tcW w:w="9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49,705</w:t>
            </w:r>
            <w:r>
              <w:rPr>
                <w:rFonts w:ascii="Arial" w:cs="Arial" w:eastAsia="Arial" w:hAnsi="Arial"/>
                <w:sz w:val="23"/>
                <w:szCs w:val="23"/>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3,572,086</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265,780​</w:t>
            </w:r>
          </w:p>
        </w:tc>
        <w:tc>
          <w:tcPr>
            <w:tcW w:w="920" w:type="dxa"/>
            <w:vAlign w:val="bottom"/>
            <w:gridSpan w:val="2"/>
          </w:tcPr>
          <w:p>
            <w:pPr>
              <w:spacing w:after="0"/>
              <w:rPr>
                <w:sz w:val="20"/>
                <w:szCs w:val="20"/>
                <w:color w:val="auto"/>
              </w:rPr>
            </w:pPr>
            <w:r>
              <w:rPr>
                <w:rFonts w:ascii="Arial" w:cs="Arial" w:eastAsia="Arial" w:hAnsi="Arial"/>
                <w:sz w:val="18"/>
                <w:szCs w:val="18"/>
                <w:color w:val="auto"/>
              </w:rPr>
              <w:t>​  511,897</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57,317</w:t>
            </w:r>
          </w:p>
        </w:tc>
        <w:tc>
          <w:tcPr>
            <w:tcW w:w="800" w:type="dxa"/>
            <w:vAlign w:val="bottom"/>
          </w:tcPr>
          <w:p>
            <w:pPr>
              <w:jc w:val="right"/>
              <w:spacing w:after="0"/>
              <w:rPr>
                <w:sz w:val="20"/>
                <w:szCs w:val="20"/>
                <w:color w:val="auto"/>
              </w:rPr>
            </w:pPr>
            <w:r>
              <w:rPr>
                <w:rFonts w:ascii="Arial" w:cs="Arial" w:eastAsia="Arial" w:hAnsi="Arial"/>
                <w:sz w:val="18"/>
                <w:szCs w:val="18"/>
                <w:color w:val="auto"/>
              </w:rPr>
              <w:t>834,994</w:t>
            </w:r>
          </w:p>
        </w:tc>
        <w:tc>
          <w:tcPr>
            <w:tcW w:w="0" w:type="dxa"/>
            <w:vAlign w:val="bottom"/>
          </w:tcPr>
          <w:p>
            <w:pPr>
              <w:spacing w:after="0"/>
              <w:rPr>
                <w:sz w:val="1"/>
                <w:szCs w:val="1"/>
                <w:color w:val="auto"/>
              </w:rPr>
            </w:pPr>
          </w:p>
        </w:tc>
      </w:tr>
      <w:tr>
        <w:trPr>
          <w:trHeight w:val="311"/>
        </w:trPr>
        <w:tc>
          <w:tcPr>
            <w:tcW w:w="4340" w:type="dxa"/>
            <w:vAlign w:val="bottom"/>
            <w:gridSpan w:val="2"/>
          </w:tcPr>
          <w:p>
            <w:pPr>
              <w:spacing w:after="0"/>
              <w:rPr>
                <w:sz w:val="20"/>
                <w:szCs w:val="20"/>
                <w:color w:val="auto"/>
              </w:rPr>
            </w:pPr>
            <w:r>
              <w:rPr>
                <w:rFonts w:ascii="Arial" w:cs="Arial" w:eastAsia="Arial" w:hAnsi="Arial"/>
                <w:sz w:val="18"/>
                <w:szCs w:val="18"/>
                <w:color w:val="auto"/>
              </w:rPr>
              <w:t>Prof. Shai Shalev-Shwartz, Chief Technology Officer</w:t>
            </w:r>
          </w:p>
        </w:tc>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​681,142</w:t>
            </w:r>
          </w:p>
        </w:tc>
        <w:tc>
          <w:tcPr>
            <w:tcW w:w="920" w:type="dxa"/>
            <w:vAlign w:val="bottom"/>
            <w:gridSpan w:val="2"/>
          </w:tcPr>
          <w:p>
            <w:pPr>
              <w:spacing w:after="0"/>
              <w:rPr>
                <w:sz w:val="20"/>
                <w:szCs w:val="20"/>
                <w:color w:val="auto"/>
              </w:rPr>
            </w:pPr>
            <w:r>
              <w:rPr>
                <w:rFonts w:ascii="Arial" w:cs="Arial" w:eastAsia="Arial" w:hAnsi="Arial"/>
                <w:sz w:val="18"/>
                <w:szCs w:val="18"/>
                <w:color w:val="auto"/>
              </w:rPr>
              <w:t>​ 9,999,990</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 22,402</w:t>
            </w:r>
            <w:r>
              <w:rPr>
                <w:rFonts w:ascii="Arial" w:cs="Arial" w:eastAsia="Arial" w:hAnsi="Arial"/>
                <w:sz w:val="23"/>
                <w:szCs w:val="23"/>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10,703,534</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2021​</w:t>
            </w:r>
          </w:p>
        </w:tc>
        <w:tc>
          <w:tcPr>
            <w:tcW w:w="8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761,175​</w:t>
            </w:r>
          </w:p>
        </w:tc>
        <w:tc>
          <w:tcPr>
            <w:tcW w:w="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3,071,287</w:t>
            </w:r>
          </w:p>
        </w:tc>
        <w:tc>
          <w:tcPr>
            <w:tcW w:w="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31,441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3,863,903</w:t>
            </w: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Dr. Gavriel Hayon, Executive Vice President,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color w:val="auto"/>
              </w:rPr>
              <w:t>​ 54,815</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Research &amp; Development</w:t>
            </w:r>
          </w:p>
        </w:tc>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​236,147</w:t>
            </w:r>
          </w:p>
        </w:tc>
        <w:tc>
          <w:tcPr>
            <w:tcW w:w="920" w:type="dxa"/>
            <w:vAlign w:val="bottom"/>
            <w:gridSpan w:val="2"/>
          </w:tcPr>
          <w:p>
            <w:pPr>
              <w:spacing w:after="0"/>
              <w:rPr>
                <w:sz w:val="20"/>
                <w:szCs w:val="20"/>
                <w:color w:val="auto"/>
              </w:rPr>
            </w:pPr>
            <w:r>
              <w:rPr>
                <w:rFonts w:ascii="Arial" w:cs="Arial" w:eastAsia="Arial" w:hAnsi="Arial"/>
                <w:sz w:val="18"/>
                <w:szCs w:val="18"/>
                <w:color w:val="auto"/>
              </w:rPr>
              <w:t>​ 2,284,548</w:t>
            </w:r>
          </w:p>
        </w:tc>
        <w:tc>
          <w:tcPr>
            <w:tcW w:w="980" w:type="dxa"/>
            <w:vAlign w:val="bottom"/>
            <w:gridSpan w:val="2"/>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2,575,510</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rPr>
              <w:t>2021​</w:t>
            </w:r>
          </w:p>
        </w:tc>
        <w:tc>
          <w:tcPr>
            <w:tcW w:w="8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263,893​</w:t>
            </w:r>
          </w:p>
        </w:tc>
        <w:tc>
          <w:tcPr>
            <w:tcW w:w="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1,917,736</w:t>
            </w:r>
          </w:p>
        </w:tc>
        <w:tc>
          <w:tcPr>
            <w:tcW w:w="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62,686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2,244,315</w:t>
            </w:r>
          </w:p>
        </w:tc>
        <w:tc>
          <w:tcPr>
            <w:tcW w:w="0" w:type="dxa"/>
            <w:vAlign w:val="bottom"/>
          </w:tcPr>
          <w:p>
            <w:pPr>
              <w:spacing w:after="0"/>
              <w:rPr>
                <w:sz w:val="1"/>
                <w:szCs w:val="1"/>
                <w:color w:val="auto"/>
              </w:rPr>
            </w:pPr>
          </w:p>
        </w:tc>
      </w:tr>
      <w:tr>
        <w:trPr>
          <w:trHeight w:val="229"/>
        </w:trPr>
        <w:tc>
          <w:tcPr>
            <w:tcW w:w="4340" w:type="dxa"/>
            <w:vAlign w:val="bottom"/>
            <w:gridSpan w:val="2"/>
          </w:tcPr>
          <w:p>
            <w:pPr>
              <w:spacing w:after="0"/>
              <w:rPr>
                <w:sz w:val="20"/>
                <w:szCs w:val="20"/>
                <w:color w:val="auto"/>
              </w:rPr>
            </w:pPr>
            <w:r>
              <w:rPr>
                <w:rFonts w:ascii="Arial" w:cs="Arial" w:eastAsia="Arial" w:hAnsi="Arial"/>
                <w:sz w:val="18"/>
                <w:szCs w:val="18"/>
                <w:color w:val="auto"/>
              </w:rPr>
              <w:t>Nimrod Nehushtan, Senior Vice President, Business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8"/>
                <w:szCs w:val="18"/>
                <w:color w:val="auto"/>
              </w:rPr>
              <w:t>​ 44,128</w:t>
            </w:r>
            <w:r>
              <w:rPr>
                <w:rFonts w:ascii="Arial" w:cs="Arial" w:eastAsia="Arial" w:hAnsi="Arial"/>
                <w:sz w:val="23"/>
                <w:szCs w:val="23"/>
                <w:color w:val="auto"/>
                <w:vertAlign w:val="superscript"/>
              </w:rPr>
              <w:t>(8)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Development &amp; Strategy and Co-Manager REM</w:t>
            </w:r>
          </w:p>
        </w:tc>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​179,832</w:t>
            </w:r>
          </w:p>
        </w:tc>
        <w:tc>
          <w:tcPr>
            <w:tcW w:w="920" w:type="dxa"/>
            <w:vAlign w:val="bottom"/>
            <w:gridSpan w:val="2"/>
          </w:tcPr>
          <w:p>
            <w:pPr>
              <w:spacing w:after="0"/>
              <w:rPr>
                <w:sz w:val="20"/>
                <w:szCs w:val="20"/>
                <w:color w:val="auto"/>
              </w:rPr>
            </w:pPr>
            <w:r>
              <w:rPr>
                <w:rFonts w:ascii="Arial" w:cs="Arial" w:eastAsia="Arial" w:hAnsi="Arial"/>
                <w:sz w:val="18"/>
                <w:szCs w:val="18"/>
                <w:color w:val="auto"/>
              </w:rPr>
              <w:t>​ 1,964,970</w:t>
            </w:r>
          </w:p>
        </w:tc>
        <w:tc>
          <w:tcPr>
            <w:tcW w:w="980" w:type="dxa"/>
            <w:vAlign w:val="bottom"/>
            <w:gridSpan w:val="2"/>
            <w:vMerge w:val="continue"/>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2,188,930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-1603375</wp:posOffset>
            </wp:positionV>
            <wp:extent cx="246062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062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-1268730</wp:posOffset>
            </wp:positionV>
            <wp:extent cx="52120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wp:posOffset>
            </wp:positionV>
            <wp:extent cx="123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6" w:lineRule="exact"/>
        <w:rPr>
          <w:sz w:val="20"/>
          <w:szCs w:val="20"/>
          <w:color w:val="auto"/>
        </w:rPr>
      </w:pPr>
    </w:p>
    <w:p>
      <w:pPr>
        <w:ind w:left="1620" w:right="45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Salary paid in NIS. The amounts were converted according to the closing foreign exchange rate of U.S. dollar/ NIS for December 31, 2022 at $1/NIS 3.519 and for December 25, 2021 at $1/NIS 3.149. The salary figure includes the NEO’s base salary and global overtime.</w:t>
      </w:r>
    </w:p>
    <w:p>
      <w:pPr>
        <w:spacing w:after="0" w:line="35" w:lineRule="exact"/>
        <w:rPr>
          <w:rFonts w:ascii="Arial" w:cs="Arial" w:eastAsia="Arial" w:hAnsi="Arial"/>
          <w:sz w:val="18"/>
          <w:szCs w:val="18"/>
          <w:color w:val="auto"/>
        </w:rPr>
      </w:pPr>
    </w:p>
    <w:p>
      <w:pPr>
        <w:ind w:left="1620" w:right="459" w:hanging="360"/>
        <w:spacing w:after="0" w:line="271"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awards granted in year 2021 are Intel RSUs; all awards granted in year 2022 are ME RSUs. The amounts reported reflect the aggregate grant date fair value of each stock award computed in accordance with FASB ASC Topic 718 or under the assumptions noted. For information regarding the assumptions used in determining the fair value of an award for year 2022 shown in this column, please refer to note 6 in the consolidated financial statements included in the Annual Report on Form 10-K for fiscal year 2022. For information regarding the assumptions used in determining the fair value of an award in 2021 shown in this column please refer to note 18 in Intel Corporation’s financial statements contained in its Annual Report on Form 10-K for the year ended December 25, 2021.</w:t>
      </w:r>
    </w:p>
    <w:p>
      <w:pPr>
        <w:spacing w:after="0" w:line="29" w:lineRule="exact"/>
        <w:rPr>
          <w:rFonts w:ascii="Arial" w:cs="Arial" w:eastAsia="Arial" w:hAnsi="Arial"/>
          <w:sz w:val="17"/>
          <w:szCs w:val="17"/>
          <w:color w:val="auto"/>
        </w:rPr>
      </w:pPr>
    </w:p>
    <w:p>
      <w:pPr>
        <w:ind w:left="1620" w:right="539" w:hanging="36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Israeli law.</w:t>
      </w:r>
    </w:p>
    <w:p>
      <w:pPr>
        <w:spacing w:after="0" w:line="35"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 Other Compensation” amount reported for Prof. Amnon Shashua represents pension benefit contributions of $112,610, an Advanced Study Fund contribution of $45,516, a patent grant cash award of $4,901, and other miscellaneous benefits.</w:t>
      </w:r>
    </w:p>
    <w:p>
      <w:pPr>
        <w:spacing w:after="0" w:line="35" w:lineRule="exact"/>
        <w:rPr>
          <w:rFonts w:ascii="Arial" w:cs="Arial" w:eastAsia="Arial" w:hAnsi="Arial"/>
          <w:sz w:val="18"/>
          <w:szCs w:val="18"/>
          <w:color w:val="auto"/>
        </w:rPr>
      </w:pPr>
    </w:p>
    <w:p>
      <w:pPr>
        <w:ind w:left="1620" w:right="439" w:hanging="360"/>
        <w:spacing w:after="0" w:line="306"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“All Other Compensation” amount reported for Ms. Heller represents pension benefit contributions of $33,672, an Advanced Study Fund contribution of $13,340, and other miscellaneous benefits.</w:t>
      </w:r>
    </w:p>
    <w:p>
      <w:pPr>
        <w:spacing w:after="0" w:line="1" w:lineRule="exact"/>
        <w:rPr>
          <w:rFonts w:ascii="Arial" w:cs="Arial" w:eastAsia="Arial" w:hAnsi="Arial"/>
          <w:sz w:val="17"/>
          <w:szCs w:val="17"/>
          <w:color w:val="auto"/>
        </w:rPr>
      </w:pPr>
    </w:p>
    <w:p>
      <w:pPr>
        <w:ind w:left="1620" w:right="57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 Other Compensation” amount reported for Prof. Shai Shalev represents a pension benefit contribution of $6,069, a patent grant cash award of $2,505, an automobile allowance of $10,844, and other miscellaneous benefits.</w:t>
      </w:r>
    </w:p>
    <w:p>
      <w:pPr>
        <w:spacing w:after="0" w:line="48" w:lineRule="exact"/>
        <w:rPr>
          <w:rFonts w:ascii="Arial" w:cs="Arial" w:eastAsia="Arial" w:hAnsi="Arial"/>
          <w:sz w:val="18"/>
          <w:szCs w:val="18"/>
          <w:color w:val="auto"/>
        </w:rPr>
      </w:pPr>
    </w:p>
    <w:p>
      <w:pPr>
        <w:ind w:left="1620" w:right="65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 Other Compensation” amount reported for Dr. Gavriel Hayon represents pension benefit contributions of $36,319, an Advanced Study Fund contribution of $14,335, and other miscellaneous benefits.</w:t>
      </w:r>
    </w:p>
    <w:p>
      <w:pPr>
        <w:spacing w:after="0" w:line="35"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 Other Compensation” amount reported for Mr. Nimrod Nehushtan represents pension benefit contributions of $27,072, an Advanced Study Fund contribution of $10,943, and other miscellaneous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10280"/>
          </w:cols>
          <w:pgMar w:left="580" w:top="9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the Year Ended December 31, 2022</w:t>
      </w:r>
    </w:p>
    <w:p>
      <w:pPr>
        <w:spacing w:after="0" w:line="221"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90"/>
              </w:rPr>
              <w:t>Estimated Future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89"/>
              </w:rPr>
              <w:t>Payouts Under</w:t>
            </w:r>
          </w:p>
        </w:tc>
        <w:tc>
          <w:tcPr>
            <w:tcW w:w="140" w:type="dxa"/>
            <w:vAlign w:val="bottom"/>
          </w:tcPr>
          <w:p>
            <w:pPr>
              <w:spacing w:after="0"/>
              <w:rPr>
                <w:sz w:val="9"/>
                <w:szCs w:val="9"/>
                <w:color w:val="auto"/>
              </w:rPr>
            </w:pPr>
          </w:p>
        </w:tc>
        <w:tc>
          <w:tcPr>
            <w:tcW w:w="1760" w:type="dxa"/>
            <w:vAlign w:val="bottom"/>
            <w:gridSpan w:val="8"/>
            <w:vMerge w:val="restart"/>
          </w:tcPr>
          <w:p>
            <w:pPr>
              <w:jc w:val="center"/>
              <w:ind w:right="100"/>
              <w:spacing w:after="0"/>
              <w:rPr>
                <w:sz w:val="20"/>
                <w:szCs w:val="20"/>
                <w:color w:val="auto"/>
              </w:rPr>
            </w:pPr>
            <w:r>
              <w:rPr>
                <w:rFonts w:ascii="Arial" w:cs="Arial" w:eastAsia="Arial" w:hAnsi="Arial"/>
                <w:sz w:val="14"/>
                <w:szCs w:val="14"/>
                <w:b w:val="1"/>
                <w:bCs w:val="1"/>
                <w:color w:val="auto"/>
                <w:w w:val="89"/>
              </w:rPr>
              <w:t>Estimated Future Payouts</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176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4"/>
                <w:szCs w:val="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0"/>
              </w:rPr>
              <w:t>Non-Equity Incentive</w:t>
            </w:r>
          </w:p>
        </w:tc>
        <w:tc>
          <w:tcPr>
            <w:tcW w:w="140" w:type="dxa"/>
            <w:vAlign w:val="bottom"/>
          </w:tcPr>
          <w:p>
            <w:pPr>
              <w:spacing w:after="0"/>
              <w:rPr>
                <w:sz w:val="9"/>
                <w:szCs w:val="9"/>
                <w:color w:val="auto"/>
              </w:rPr>
            </w:pPr>
          </w:p>
        </w:tc>
        <w:tc>
          <w:tcPr>
            <w:tcW w:w="176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2"/>
              </w:rPr>
              <w:t>Under Equity Incentive</w:t>
            </w: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176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4"/>
                <w:szCs w:val="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08"/>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9"/>
                <w:szCs w:val="9"/>
                <w:color w:val="auto"/>
              </w:rPr>
            </w:pPr>
          </w:p>
        </w:tc>
        <w:tc>
          <w:tcPr>
            <w:tcW w:w="168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90"/>
              </w:rPr>
              <w:t>Plan Awards</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0"/>
              </w:rPr>
              <w:t>Plan Awards</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80" w:type="dxa"/>
            <w:vAlign w:val="bottom"/>
            <w:gridSpan w:val="7"/>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760" w:type="dxa"/>
            <w:vAlign w:val="bottom"/>
            <w:gridSpan w:val="8"/>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 or</w:t>
            </w:r>
          </w:p>
        </w:tc>
        <w:tc>
          <w:tcPr>
            <w:tcW w:w="1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6"/>
                <w:szCs w:val="6"/>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39"/>
        </w:trPr>
        <w:tc>
          <w:tcPr>
            <w:tcW w:w="1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Threshold</w:t>
            </w:r>
          </w:p>
        </w:tc>
        <w:tc>
          <w:tcPr>
            <w:tcW w:w="8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Maximum</w:t>
            </w:r>
          </w:p>
        </w:tc>
        <w:tc>
          <w:tcPr>
            <w:tcW w:w="14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Threshold</w:t>
            </w:r>
          </w:p>
        </w:tc>
        <w:tc>
          <w:tcPr>
            <w:tcW w:w="80" w:type="dxa"/>
            <w:vAlign w:val="bottom"/>
          </w:tcPr>
          <w:p>
            <w:pPr>
              <w:spacing w:after="0"/>
              <w:rPr>
                <w:sz w:val="12"/>
                <w:szCs w:val="12"/>
                <w:color w:val="auto"/>
              </w:rPr>
            </w:pPr>
          </w:p>
        </w:tc>
        <w:tc>
          <w:tcPr>
            <w:tcW w:w="4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Maximum</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700" w:type="dxa"/>
            <w:vAlign w:val="bottom"/>
            <w:gridSpan w:val="3"/>
          </w:tcPr>
          <w:p>
            <w:pPr>
              <w:ind w:left="20"/>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500" w:type="dxa"/>
            <w:vAlign w:val="bottom"/>
            <w:gridSpan w:val="3"/>
          </w:tcPr>
          <w:p>
            <w:pPr>
              <w:ind w:left="20"/>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720" w:type="dxa"/>
            <w:vAlign w:val="bottom"/>
            <w:gridSpan w:val="3"/>
          </w:tcPr>
          <w:p>
            <w:pPr>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700" w:type="dxa"/>
            <w:vAlign w:val="bottom"/>
            <w:gridSpan w:val="3"/>
          </w:tcPr>
          <w:p>
            <w:pPr>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480" w:type="dxa"/>
            <w:vAlign w:val="bottom"/>
            <w:gridSpan w:val="3"/>
          </w:tcPr>
          <w:p>
            <w:pPr>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720" w:type="dxa"/>
            <w:vAlign w:val="bottom"/>
            <w:gridSpan w:val="3"/>
          </w:tcPr>
          <w:p>
            <w:pPr>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100"/>
              <w:spacing w:after="0" w:line="239" w:lineRule="exact"/>
              <w:rPr>
                <w:sz w:val="20"/>
                <w:szCs w:val="20"/>
                <w:color w:val="auto"/>
              </w:rPr>
            </w:pPr>
            <w:r>
              <w:rPr>
                <w:rFonts w:ascii="Arial" w:cs="Arial" w:eastAsia="Arial" w:hAnsi="Arial"/>
                <w:sz w:val="14"/>
                <w:szCs w:val="14"/>
                <w:b w:val="1"/>
                <w:bCs w:val="1"/>
                <w:color w:val="auto"/>
                <w:w w:val="89"/>
              </w:rPr>
              <w:t>Awards</w:t>
            </w:r>
            <w:r>
              <w:rPr>
                <w:rFonts w:ascii="Arial" w:cs="Arial" w:eastAsia="Arial" w:hAnsi="Arial"/>
                <w:sz w:val="17"/>
                <w:szCs w:val="17"/>
                <w:b w:val="1"/>
                <w:bCs w:val="1"/>
                <w:color w:val="auto"/>
                <w:w w:val="89"/>
                <w:vertAlign w:val="superscript"/>
              </w:rPr>
              <w:t>(1)</w:t>
            </w:r>
            <w:r>
              <w:rPr>
                <w:rFonts w:ascii="Arial" w:cs="Arial" w:eastAsia="Arial" w:hAnsi="Arial"/>
                <w:sz w:val="14"/>
                <w:szCs w:val="14"/>
                <w:b w:val="1"/>
                <w:bCs w:val="1"/>
                <w:color w:val="auto"/>
                <w:w w:val="89"/>
              </w:rPr>
              <w:t xml:space="preserve">    </w:t>
            </w:r>
            <w:r>
              <w:rPr>
                <w:rFonts w:ascii="Arial" w:cs="Arial" w:eastAsia="Arial" w:hAnsi="Arial"/>
                <w:sz w:val="27"/>
                <w:szCs w:val="27"/>
                <w:b w:val="1"/>
                <w:bCs w:val="1"/>
                <w:color w:val="auto"/>
                <w:w w:val="89"/>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840" w:space="420"/>
            <w:col w:w="9020"/>
          </w:cols>
          <w:pgMar w:left="580" w:top="90" w:right="1039" w:bottom="1440" w:gutter="0" w:footer="0" w:header="0"/>
          <w:type w:val="continuous"/>
        </w:sectPr>
      </w:pPr>
    </w:p>
    <w:tbl>
      <w:tblPr>
        <w:tblLayout w:type="fixed"/>
        <w:tblInd w:w="500" w:type="dxa"/>
        <w:tblCellMar>
          <w:top w:w="0" w:type="dxa"/>
          <w:left w:w="0" w:type="dxa"/>
          <w:bottom w:w="0" w:type="dxa"/>
          <w:right w:w="0" w:type="dxa"/>
        </w:tblCellMar>
      </w:tblPr>
      <w:tr>
        <w:trPr>
          <w:trHeight w:val="215"/>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Prof. Amnon Shashua,</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4"/>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26, 2022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​​​2,104,761</w:t>
            </w:r>
            <w:r>
              <w:rPr>
                <w:rFonts w:ascii="Arial" w:cs="Arial" w:eastAsia="Arial" w:hAnsi="Arial"/>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​​​​$44,199,981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9"/>
        </w:trPr>
        <w:tc>
          <w:tcPr>
            <w:tcW w:w="2020" w:type="dxa"/>
            <w:vAlign w:val="bottom"/>
          </w:tcPr>
          <w:p>
            <w:pPr>
              <w:spacing w:after="0"/>
              <w:rPr>
                <w:sz w:val="20"/>
                <w:szCs w:val="20"/>
                <w:color w:val="auto"/>
              </w:rPr>
            </w:pPr>
            <w:r>
              <w:rPr>
                <w:rFonts w:ascii="Arial" w:cs="Arial" w:eastAsia="Arial" w:hAnsi="Arial"/>
                <w:sz w:val="17"/>
                <w:szCs w:val="17"/>
                <w:color w:val="auto"/>
              </w:rPr>
              <w:t>Anat Heller, Chief</w:t>
            </w: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3"/>
        </w:trPr>
        <w:tc>
          <w:tcPr>
            <w:tcW w:w="2020" w:type="dxa"/>
            <w:vAlign w:val="bottom"/>
          </w:tcPr>
          <w:p>
            <w:pPr>
              <w:ind w:left="160"/>
              <w:spacing w:after="0"/>
              <w:rPr>
                <w:sz w:val="20"/>
                <w:szCs w:val="20"/>
                <w:color w:val="auto"/>
              </w:rPr>
            </w:pPr>
            <w:r>
              <w:rPr>
                <w:rFonts w:ascii="Arial" w:cs="Arial" w:eastAsia="Arial" w:hAnsi="Arial"/>
                <w:sz w:val="17"/>
                <w:szCs w:val="17"/>
                <w:color w:val="auto"/>
              </w:rPr>
              <w:t>Financial</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2020" w:type="dxa"/>
            <w:vAlign w:val="bottom"/>
          </w:tcPr>
          <w:p>
            <w:pPr>
              <w:ind w:left="160"/>
              <w:spacing w:after="0"/>
              <w:rPr>
                <w:sz w:val="20"/>
                <w:szCs w:val="20"/>
                <w:color w:val="auto"/>
              </w:rPr>
            </w:pPr>
            <w:r>
              <w:rPr>
                <w:rFonts w:ascii="Arial" w:cs="Arial" w:eastAsia="Arial" w:hAnsi="Arial"/>
                <w:sz w:val="17"/>
                <w:szCs w:val="17"/>
                <w:color w:val="auto"/>
              </w:rPr>
              <w:t>Officer</w:t>
            </w:r>
          </w:p>
        </w:tc>
        <w:tc>
          <w:tcPr>
            <w:tcW w:w="1540" w:type="dxa"/>
            <w:vAlign w:val="bottom"/>
          </w:tcPr>
          <w:p>
            <w:pPr>
              <w:ind w:left="20"/>
              <w:spacing w:after="0"/>
              <w:rPr>
                <w:sz w:val="20"/>
                <w:szCs w:val="20"/>
                <w:color w:val="auto"/>
              </w:rPr>
            </w:pPr>
            <w:r>
              <w:rPr>
                <w:rFonts w:ascii="Arial" w:cs="Arial" w:eastAsia="Arial" w:hAnsi="Arial"/>
                <w:sz w:val="17"/>
                <w:szCs w:val="17"/>
                <w:color w:val="auto"/>
              </w:rPr>
              <w:t>​​October 26, 2022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4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460" w:type="dxa"/>
            <w:vAlign w:val="bottom"/>
          </w:tcPr>
          <w:p>
            <w:pPr>
              <w:ind w:lef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20" w:type="dxa"/>
            <w:vAlign w:val="bottom"/>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156,407​​​</w:t>
            </w:r>
          </w:p>
        </w:tc>
        <w:tc>
          <w:tcPr>
            <w:tcW w:w="500" w:type="dxa"/>
            <w:vAlign w:val="bottom"/>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3,284,547</w:t>
            </w:r>
            <w:r>
              <w:rPr>
                <w:rFonts w:ascii="Arial" w:cs="Arial" w:eastAsia="Arial" w:hAnsi="Arial"/>
                <w:sz w:val="17"/>
                <w:szCs w:val="17"/>
                <w:b w:val="1"/>
                <w:bCs w:val="1"/>
                <w:color w:val="auto"/>
              </w:rPr>
              <w:t>​</w:t>
            </w:r>
          </w:p>
        </w:tc>
      </w:tr>
      <w:tr>
        <w:trPr>
          <w:trHeight w:val="249"/>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w w:val="98"/>
              </w:rPr>
              <w:t>Prof. Shai Shalev-Shwartz,</w:t>
            </w: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Chief Technology</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26, 2022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476,190​​​</w:t>
            </w: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9,999,990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2020" w:type="dxa"/>
            <w:vAlign w:val="bottom"/>
          </w:tcPr>
          <w:p>
            <w:pPr>
              <w:spacing w:after="0"/>
              <w:rPr>
                <w:sz w:val="20"/>
                <w:szCs w:val="20"/>
                <w:color w:val="auto"/>
              </w:rPr>
            </w:pPr>
            <w:r>
              <w:rPr>
                <w:rFonts w:ascii="Arial" w:cs="Arial" w:eastAsia="Arial" w:hAnsi="Arial"/>
                <w:sz w:val="17"/>
                <w:szCs w:val="17"/>
                <w:color w:val="auto"/>
              </w:rPr>
              <w:t>Dr. Gavriel Hayon,</w:t>
            </w: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20" w:type="dxa"/>
            <w:vAlign w:val="bottom"/>
          </w:tcPr>
          <w:p>
            <w:pPr>
              <w:ind w:left="160"/>
              <w:spacing w:after="0"/>
              <w:rPr>
                <w:sz w:val="20"/>
                <w:szCs w:val="20"/>
                <w:color w:val="auto"/>
              </w:rPr>
            </w:pPr>
            <w:r>
              <w:rPr>
                <w:rFonts w:ascii="Arial" w:cs="Arial" w:eastAsia="Arial" w:hAnsi="Arial"/>
                <w:sz w:val="17"/>
                <w:szCs w:val="17"/>
                <w:color w:val="auto"/>
              </w:rPr>
              <w:t>Executive Vice</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20" w:type="dxa"/>
            <w:vAlign w:val="bottom"/>
          </w:tcPr>
          <w:p>
            <w:pPr>
              <w:ind w:left="160"/>
              <w:spacing w:after="0"/>
              <w:rPr>
                <w:sz w:val="20"/>
                <w:szCs w:val="20"/>
                <w:color w:val="auto"/>
              </w:rPr>
            </w:pPr>
            <w:r>
              <w:rPr>
                <w:rFonts w:ascii="Arial" w:cs="Arial" w:eastAsia="Arial" w:hAnsi="Arial"/>
                <w:sz w:val="17"/>
                <w:szCs w:val="17"/>
                <w:color w:val="auto"/>
              </w:rPr>
              <w:t>President, Research &amp;</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2020" w:type="dxa"/>
            <w:vAlign w:val="bottom"/>
          </w:tcPr>
          <w:p>
            <w:pPr>
              <w:ind w:left="160"/>
              <w:spacing w:after="0"/>
              <w:rPr>
                <w:sz w:val="20"/>
                <w:szCs w:val="20"/>
                <w:color w:val="auto"/>
              </w:rPr>
            </w:pPr>
            <w:r>
              <w:rPr>
                <w:rFonts w:ascii="Arial" w:cs="Arial" w:eastAsia="Arial" w:hAnsi="Arial"/>
                <w:sz w:val="17"/>
                <w:szCs w:val="17"/>
                <w:color w:val="auto"/>
              </w:rPr>
              <w:t>Development</w:t>
            </w:r>
          </w:p>
        </w:tc>
        <w:tc>
          <w:tcPr>
            <w:tcW w:w="1540" w:type="dxa"/>
            <w:vAlign w:val="bottom"/>
          </w:tcPr>
          <w:p>
            <w:pPr>
              <w:ind w:left="20"/>
              <w:spacing w:after="0"/>
              <w:rPr>
                <w:sz w:val="20"/>
                <w:szCs w:val="20"/>
                <w:color w:val="auto"/>
              </w:rPr>
            </w:pPr>
            <w:r>
              <w:rPr>
                <w:rFonts w:ascii="Arial" w:cs="Arial" w:eastAsia="Arial" w:hAnsi="Arial"/>
                <w:sz w:val="17"/>
                <w:szCs w:val="17"/>
                <w:color w:val="auto"/>
              </w:rPr>
              <w:t>​​October 26, 2022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4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460" w:type="dxa"/>
            <w:vAlign w:val="bottom"/>
          </w:tcPr>
          <w:p>
            <w:pPr>
              <w:ind w:lef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20" w:type="dxa"/>
            <w:vAlign w:val="bottom"/>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108,788​​​</w:t>
            </w:r>
          </w:p>
        </w:tc>
        <w:tc>
          <w:tcPr>
            <w:tcW w:w="500" w:type="dxa"/>
            <w:vAlign w:val="bottom"/>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2,284,548</w:t>
            </w:r>
            <w:r>
              <w:rPr>
                <w:rFonts w:ascii="Arial" w:cs="Arial" w:eastAsia="Arial" w:hAnsi="Arial"/>
                <w:sz w:val="17"/>
                <w:szCs w:val="17"/>
                <w:b w:val="1"/>
                <w:bCs w:val="1"/>
                <w:color w:val="auto"/>
              </w:rPr>
              <w:t>​</w:t>
            </w:r>
          </w:p>
        </w:tc>
      </w:tr>
      <w:tr>
        <w:trPr>
          <w:trHeight w:val="249"/>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Nimrod Nehushtan,</w:t>
            </w: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Business Development &amp;</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Strategy and</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2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Co-Manager REM</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26, 2022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7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N/A ​​​</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93,570​​​</w:t>
            </w:r>
          </w:p>
        </w:tc>
        <w:tc>
          <w:tcPr>
            <w:tcW w:w="50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N/A</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1,964,970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60" w:hanging="360"/>
        <w:spacing w:after="0" w:line="25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2022.</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and Other Agreements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entered into employment agreements with Prof. Shashua, Ms. Heller, Prof. Shwartz,</w:t>
      </w:r>
    </w:p>
    <w:p>
      <w:pPr>
        <w:spacing w:after="0" w:line="23" w:lineRule="exact"/>
        <w:rPr>
          <w:sz w:val="20"/>
          <w:szCs w:val="20"/>
          <w:color w:val="auto"/>
        </w:rPr>
      </w:pPr>
    </w:p>
    <w:p>
      <w:pPr>
        <w:ind w:left="1260" w:right="840"/>
        <w:spacing w:after="0" w:line="253" w:lineRule="auto"/>
        <w:rPr>
          <w:sz w:val="20"/>
          <w:szCs w:val="20"/>
          <w:color w:val="auto"/>
        </w:rPr>
      </w:pPr>
      <w:r>
        <w:rPr>
          <w:rFonts w:ascii="Arial" w:cs="Arial" w:eastAsia="Arial" w:hAnsi="Arial"/>
          <w:sz w:val="18"/>
          <w:szCs w:val="18"/>
          <w:color w:val="auto"/>
        </w:rPr>
        <w:t>Dr. Hayon and Mr. Nehushtan, which are summarized below. Each agreement is governed by Israeli law and provides for customary non-competition and non-solicitation provisions during the term of the agreements and for twelve months after termination of their employment for any reason (except for Prof. Shashua whose non- competition and non-solicitation provisions continue for eighteen months).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 Shashua</w:t>
      </w:r>
    </w:p>
    <w:p>
      <w:pPr>
        <w:spacing w:after="0" w:line="148" w:lineRule="exact"/>
        <w:rPr>
          <w:sz w:val="20"/>
          <w:szCs w:val="20"/>
          <w:color w:val="auto"/>
        </w:rPr>
      </w:pPr>
    </w:p>
    <w:p>
      <w:pPr>
        <w:ind w:left="1260" w:right="1420" w:firstLine="360"/>
        <w:spacing w:after="0" w:line="274" w:lineRule="auto"/>
        <w:rPr>
          <w:sz w:val="20"/>
          <w:szCs w:val="20"/>
          <w:color w:val="auto"/>
        </w:rPr>
      </w:pPr>
      <w:r>
        <w:rPr>
          <w:rFonts w:ascii="Arial" w:cs="Arial" w:eastAsia="Arial" w:hAnsi="Arial"/>
          <w:sz w:val="17"/>
          <w:szCs w:val="17"/>
          <w:color w:val="auto"/>
        </w:rPr>
        <w:t>Prof. Shashua is the founder and Chief Executive Officer of the Company and has been with the Company since 1999. On July 24, 2014, we entered into an amended employment agreement with</w:t>
      </w:r>
    </w:p>
    <w:p>
      <w:pPr>
        <w:ind w:left="1260" w:right="840"/>
        <w:spacing w:after="0" w:line="286" w:lineRule="auto"/>
        <w:rPr>
          <w:sz w:val="20"/>
          <w:szCs w:val="20"/>
          <w:color w:val="auto"/>
        </w:rPr>
      </w:pPr>
      <w:r>
        <w:rPr>
          <w:rFonts w:ascii="Arial" w:cs="Arial" w:eastAsia="Arial" w:hAnsi="Arial"/>
          <w:sz w:val="16"/>
          <w:szCs w:val="16"/>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w:t>
      </w:r>
    </w:p>
    <w:p>
      <w:pPr>
        <w:spacing w:after="0" w:line="36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ind w:left="1260" w:right="679"/>
        <w:spacing w:after="0" w:line="261" w:lineRule="auto"/>
        <w:rPr>
          <w:sz w:val="20"/>
          <w:szCs w:val="20"/>
          <w:color w:val="auto"/>
        </w:rPr>
      </w:pPr>
      <w:r>
        <w:rPr>
          <w:rFonts w:ascii="Arial" w:cs="Arial" w:eastAsia="Arial" w:hAnsi="Arial"/>
          <w:sz w:val="17"/>
          <w:szCs w:val="17"/>
          <w:color w:val="auto"/>
        </w:rPr>
        <w:t>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w:t>
      </w:r>
    </w:p>
    <w:p>
      <w:pPr>
        <w:spacing w:after="0" w:line="104"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As disclosed above, on June 1, 2022, we entered into an offer letter with Prof. Shashua. The offer letter sets forth Prof. Shashua’s annual base salary and annual equity award. The Company also provided</w:t>
      </w:r>
    </w:p>
    <w:p>
      <w:pPr>
        <w:spacing w:after="0" w:line="1"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Prof. Shashua with a 3:1 matching equity grant on Prof. Shashua’s investment with Mobileye, as described in the “New Equity Awards” section above.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Ms. Heller</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1" w:lineRule="exact"/>
        <w:rPr>
          <w:sz w:val="20"/>
          <w:szCs w:val="20"/>
          <w:color w:val="auto"/>
        </w:rPr>
      </w:pPr>
    </w:p>
    <w:p>
      <w:pPr>
        <w:ind w:left="1260" w:right="579"/>
        <w:spacing w:after="0" w:line="241" w:lineRule="auto"/>
        <w:rPr>
          <w:sz w:val="20"/>
          <w:szCs w:val="20"/>
          <w:color w:val="auto"/>
        </w:rPr>
      </w:pPr>
      <w:r>
        <w:rPr>
          <w:rFonts w:ascii="Arial" w:cs="Arial" w:eastAsia="Arial" w:hAnsi="Arial"/>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21"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 Law 5723-1963.</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 Shwartz</w:t>
      </w:r>
    </w:p>
    <w:p>
      <w:pPr>
        <w:spacing w:after="0" w:line="162" w:lineRule="exact"/>
        <w:rPr>
          <w:sz w:val="20"/>
          <w:szCs w:val="20"/>
          <w:color w:val="auto"/>
        </w:rPr>
      </w:pPr>
    </w:p>
    <w:p>
      <w:pPr>
        <w:ind w:left="1260" w:right="579" w:firstLine="360"/>
        <w:spacing w:after="0" w:line="260" w:lineRule="auto"/>
        <w:rPr>
          <w:sz w:val="20"/>
          <w:szCs w:val="20"/>
          <w:color w:val="auto"/>
        </w:rPr>
      </w:pPr>
      <w:r>
        <w:rPr>
          <w:rFonts w:ascii="Arial" w:cs="Arial" w:eastAsia="Arial" w:hAnsi="Arial"/>
          <w:sz w:val="17"/>
          <w:szCs w:val="17"/>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06"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w:t>
      </w:r>
    </w:p>
    <w:p>
      <w:pPr>
        <w:ind w:left="1260"/>
        <w:spacing w:after="0"/>
        <w:rPr>
          <w:sz w:val="20"/>
          <w:szCs w:val="20"/>
          <w:color w:val="auto"/>
        </w:rPr>
      </w:pPr>
      <w:r>
        <w:rPr>
          <w:rFonts w:ascii="Arial" w:cs="Arial" w:eastAsia="Arial" w:hAnsi="Arial"/>
          <w:sz w:val="18"/>
          <w:szCs w:val="18"/>
          <w:color w:val="auto"/>
        </w:rPr>
        <w:t>Law 5723-1963.</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Dr. Hayon</w:t>
      </w:r>
    </w:p>
    <w:p>
      <w:pPr>
        <w:spacing w:after="0" w:line="162" w:lineRule="exact"/>
        <w:rPr>
          <w:sz w:val="20"/>
          <w:szCs w:val="20"/>
          <w:color w:val="auto"/>
        </w:rPr>
      </w:pPr>
    </w:p>
    <w:p>
      <w:pPr>
        <w:jc w:val="both"/>
        <w:ind w:left="1260" w:right="619" w:firstLine="360"/>
        <w:spacing w:after="0" w:line="262" w:lineRule="auto"/>
        <w:rPr>
          <w:sz w:val="20"/>
          <w:szCs w:val="20"/>
          <w:color w:val="auto"/>
        </w:rPr>
      </w:pPr>
      <w:r>
        <w:rPr>
          <w:rFonts w:ascii="Arial" w:cs="Arial" w:eastAsia="Arial" w:hAnsi="Arial"/>
          <w:sz w:val="17"/>
          <w:szCs w:val="17"/>
          <w:color w:val="auto"/>
        </w:rPr>
        <w:t>On August 1, 1999, we entered into an employment agreement with Dr. Hayon, our Executive Vice President of Research &amp; Development. The employment agreement sets forth his annual salary, vacation leave (24 days), sick leave and reimbursement for business related expenses. Dr. Hayon is also entitled to global overtime and was entitled to high-tech addition, which is a fixed salary component (as described in</w:t>
      </w: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19"/>
        <w:spacing w:after="0" w:line="291" w:lineRule="auto"/>
        <w:rPr>
          <w:sz w:val="20"/>
          <w:szCs w:val="20"/>
          <w:color w:val="auto"/>
        </w:rPr>
      </w:pPr>
      <w:r>
        <w:rPr>
          <w:rFonts w:ascii="Arial" w:cs="Arial" w:eastAsia="Arial" w:hAnsi="Arial"/>
          <w:sz w:val="16"/>
          <w:szCs w:val="16"/>
          <w:color w:val="auto"/>
        </w:rPr>
        <w:t>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85"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 Law 5723-1963.</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Mr. Nehushtan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On May 2, 2017, we entered into an employment agreement with Mr. Nehushtan, our Senior Vice President Business Development &amp; Strategy and Co-Manager REM. The employment agreement sets forth his annual salary, global overtime, high-tech addition, which is a fixed salary component (as described in footnote 1 to the table under “Base Salaries” above), vacation leave (17 days), sick leave, reimbursement for travel expenses, and monthly convalescence pay. The Company also contributes the following amounts toward an accepted manager’s insurance policy (Bituach Menahalim): a sum equal to 8.33% of his salary for severance purposes, and 6.5% of his salary for pension purposes (Mr. Neshushtan also contributes 6% of his salary toward such fund) and up to 0.55% of his salary towards disability insurance. Mr. Nehushtan’s employment agreement also ensures certain payments to an Advanced Study Fund, under which the Company contributes an amount equal to 7.5% of his gross salary (representing 80% of the sum of salary, travel expense and convalesce) on a monthly basis, and Mr. Nehushtan contributes 2.5% of his gross salary on a monthly basis.</w:t>
      </w:r>
    </w:p>
    <w:p>
      <w:pPr>
        <w:spacing w:after="0" w:line="13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Company and Mr. Nehushtan may terminate his employment agreement for any reason by providing thirty days’ prior written notice or pay in lieu of notice. Mr. Nehushtan is entitled to the transfer of the funds in his severance fund, only if his termination would entitle him to severance under the Severance Pay Law 5723-1963.</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 Nonqualified Deferred Compensation</w:t>
      </w:r>
    </w:p>
    <w:p>
      <w:pPr>
        <w:spacing w:after="0" w:line="14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Market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Unearned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Value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Shares or</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Shares 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Units or</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Units of</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Units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That</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That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3"/>
          </w:tcPr>
          <w:p>
            <w:pPr>
              <w:jc w:val="center"/>
              <w:ind w:left="13"/>
              <w:spacing w:after="0"/>
              <w:rPr>
                <w:sz w:val="20"/>
                <w:szCs w:val="20"/>
                <w:color w:val="auto"/>
              </w:rPr>
            </w:pPr>
            <w:r>
              <w:rPr>
                <w:rFonts w:ascii="Arial" w:cs="Arial" w:eastAsia="Arial" w:hAnsi="Arial"/>
                <w:sz w:val="13"/>
                <w:szCs w:val="13"/>
                <w:b w:val="1"/>
                <w:bCs w:val="1"/>
                <w:color w:val="auto"/>
                <w:w w:val="87"/>
              </w:rPr>
              <w:t>Unexercised</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Unexercised</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Have</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Have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Have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INTC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Unearned</w:t>
            </w:r>
          </w:p>
        </w:tc>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Not</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Not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MBLY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8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8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Expiration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Vested</w:t>
            </w: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Vested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214"/>
        </w:trPr>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Exercisable</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540" w:type="dxa"/>
            <w:vAlign w:val="bottom"/>
            <w:gridSpan w:val="2"/>
          </w:tcPr>
          <w:p>
            <w:pPr>
              <w:jc w:val="right"/>
              <w:ind w:right="8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center"/>
              <w:ind w:right="68"/>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right="132"/>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(1)</w:t>
            </w:r>
          </w:p>
        </w:tc>
        <w:tc>
          <w:tcPr>
            <w:tcW w:w="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(2)</w:t>
            </w:r>
          </w:p>
        </w:tc>
        <w:tc>
          <w:tcPr>
            <w:tcW w:w="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w:t>
            </w:r>
            <w:r>
              <w:rPr>
                <w:rFonts w:ascii="Arial" w:cs="Arial" w:eastAsia="Arial" w:hAnsi="Arial"/>
                <w:sz w:val="16"/>
                <w:szCs w:val="16"/>
                <w:b w:val="1"/>
                <w:bCs w:val="1"/>
                <w:color w:val="auto"/>
                <w:w w:val="84"/>
                <w:vertAlign w:val="superscript"/>
              </w:rPr>
              <w:t>(2)</w:t>
            </w:r>
          </w:p>
        </w:tc>
        <w:tc>
          <w:tcPr>
            <w:tcW w:w="0" w:type="dxa"/>
            <w:vAlign w:val="bottom"/>
          </w:tcPr>
          <w:p>
            <w:pPr>
              <w:spacing w:after="0"/>
              <w:rPr>
                <w:sz w:val="1"/>
                <w:szCs w:val="1"/>
                <w:color w:val="auto"/>
              </w:rPr>
            </w:pPr>
          </w:p>
        </w:tc>
      </w:tr>
      <w:tr>
        <w:trPr>
          <w:trHeight w:val="152"/>
        </w:trPr>
        <w:tc>
          <w:tcPr>
            <w:tcW w:w="1900" w:type="dxa"/>
            <w:vAlign w:val="bottom"/>
            <w:tcBorders>
              <w:top w:val="single" w:sz="8" w:color="auto"/>
            </w:tcBorders>
            <w:gridSpan w:val="2"/>
            <w:shd w:val="clear" w:color="auto" w:fill="CCEEFF"/>
          </w:tcPr>
          <w:p>
            <w:pPr>
              <w:spacing w:after="0" w:line="152" w:lineRule="exact"/>
              <w:rPr>
                <w:sz w:val="20"/>
                <w:szCs w:val="20"/>
                <w:color w:val="auto"/>
              </w:rPr>
            </w:pPr>
            <w:r>
              <w:rPr>
                <w:rFonts w:ascii="Arial" w:cs="Arial" w:eastAsia="Arial" w:hAnsi="Arial"/>
                <w:sz w:val="14"/>
                <w:szCs w:val="14"/>
                <w:color w:val="auto"/>
              </w:rPr>
              <w:t>Prof. Amnon Shashua,</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676,190</w:t>
            </w:r>
            <w:r>
              <w:rPr>
                <w:rFonts w:ascii="Arial" w:cs="Arial" w:eastAsia="Arial" w:hAnsi="Arial"/>
                <w:sz w:val="17"/>
                <w:szCs w:val="17"/>
                <w:color w:val="auto"/>
                <w:w w:val="96"/>
                <w:vertAlign w:val="superscript"/>
              </w:rPr>
              <w:t>(3)</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​MBLY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1"/>
              </w:rPr>
              <w:t>​23,707,222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​MBLY</w:t>
            </w:r>
          </w:p>
        </w:tc>
        <w:tc>
          <w:tcPr>
            <w:tcW w:w="8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color w:val="auto"/>
              </w:rPr>
              <w:t>​1,428,571</w:t>
            </w:r>
            <w:r>
              <w:rPr>
                <w:rFonts w:ascii="Arial" w:cs="Arial" w:eastAsia="Arial" w:hAnsi="Arial"/>
                <w:sz w:val="17"/>
                <w:szCs w:val="17"/>
                <w:color w:val="auto"/>
                <w:vertAlign w:val="superscript"/>
              </w:rPr>
              <w:t>(4)</w:t>
            </w: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1"/>
              </w:rPr>
              <w:t>​50,085,701</w:t>
            </w:r>
          </w:p>
        </w:tc>
        <w:tc>
          <w:tcPr>
            <w:tcW w:w="0" w:type="dxa"/>
            <w:vAlign w:val="bottom"/>
          </w:tcPr>
          <w:p>
            <w:pPr>
              <w:spacing w:after="0"/>
              <w:rPr>
                <w:sz w:val="1"/>
                <w:szCs w:val="1"/>
                <w:color w:val="auto"/>
              </w:rPr>
            </w:pPr>
          </w:p>
        </w:tc>
      </w:tr>
      <w:tr>
        <w:trPr>
          <w:trHeight w:val="183"/>
        </w:trPr>
        <w:tc>
          <w:tcPr>
            <w:tcW w:w="7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8/8/2017</w:t>
            </w: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9"/>
              </w:rPr>
              <w:t>​2,098,578</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​26.89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​8/15/23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N/A</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 N/A</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0"/>
        </w:trPr>
        <w:tc>
          <w:tcPr>
            <w:tcW w:w="1900" w:type="dxa"/>
            <w:vAlign w:val="bottom"/>
            <w:gridSpan w:val="2"/>
          </w:tcPr>
          <w:p>
            <w:pPr>
              <w:spacing w:after="0"/>
              <w:rPr>
                <w:sz w:val="20"/>
                <w:szCs w:val="20"/>
                <w:color w:val="auto"/>
              </w:rPr>
            </w:pPr>
            <w:r>
              <w:rPr>
                <w:rFonts w:ascii="Arial" w:cs="Arial" w:eastAsia="Arial" w:hAnsi="Arial"/>
                <w:sz w:val="14"/>
                <w:szCs w:val="14"/>
                <w:color w:val="auto"/>
              </w:rPr>
              <w:t>Anat Heller, Chief Financial</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61,169</w:t>
            </w:r>
            <w:r>
              <w:rPr>
                <w:rFonts w:ascii="Arial" w:cs="Arial" w:eastAsia="Arial" w:hAnsi="Arial"/>
                <w:sz w:val="17"/>
                <w:szCs w:val="17"/>
                <w:color w:val="auto"/>
                <w:vertAlign w:val="superscript"/>
              </w:rPr>
              <w:t>(5)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Officer</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​MBLY</w:t>
            </w:r>
          </w:p>
        </w:tc>
        <w:tc>
          <w:tcPr>
            <w:tcW w:w="80" w:type="dxa"/>
            <w:vAlign w:val="bottom"/>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5"/>
                <w:szCs w:val="15"/>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6"/>
              </w:rPr>
              <w:t>​ 2,144,585</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​MBLY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95,238</w:t>
            </w:r>
            <w:r>
              <w:rPr>
                <w:rFonts w:ascii="Arial" w:cs="Arial" w:eastAsia="Arial" w:hAnsi="Arial"/>
                <w:sz w:val="17"/>
                <w:szCs w:val="17"/>
                <w:color w:val="auto"/>
                <w:vertAlign w:val="superscript"/>
              </w:rPr>
              <w:t>(6)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 3,339,044</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​10/30/2020</w:t>
            </w:r>
          </w:p>
        </w:tc>
        <w:tc>
          <w:tcPr>
            <w:tcW w:w="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3,225</w:t>
            </w:r>
            <w:r>
              <w:rPr>
                <w:rFonts w:ascii="Arial" w:cs="Arial" w:eastAsia="Arial" w:hAnsi="Arial"/>
                <w:sz w:val="17"/>
                <w:szCs w:val="17"/>
                <w:color w:val="auto"/>
                <w:vertAlign w:val="superscript"/>
              </w:rPr>
              <w:t>(7)</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85,237</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​10/30/2021</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6,339</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167,540</w:t>
            </w:r>
          </w:p>
        </w:tc>
        <w:tc>
          <w:tcPr>
            <w:tcW w:w="0" w:type="dxa"/>
            <w:vAlign w:val="bottom"/>
          </w:tcPr>
          <w:p>
            <w:pPr>
              <w:spacing w:after="0"/>
              <w:rPr>
                <w:sz w:val="1"/>
                <w:szCs w:val="1"/>
                <w:color w:val="auto"/>
              </w:rPr>
            </w:pPr>
          </w:p>
        </w:tc>
      </w:tr>
      <w:tr>
        <w:trPr>
          <w:trHeight w:val="184"/>
        </w:trPr>
        <w:tc>
          <w:tcPr>
            <w:tcW w:w="1900" w:type="dxa"/>
            <w:vAlign w:val="bottom"/>
            <w:gridSpan w:val="2"/>
          </w:tcPr>
          <w:p>
            <w:pPr>
              <w:spacing w:after="0"/>
              <w:rPr>
                <w:sz w:val="20"/>
                <w:szCs w:val="20"/>
                <w:color w:val="auto"/>
              </w:rPr>
            </w:pPr>
            <w:r>
              <w:rPr>
                <w:rFonts w:ascii="Arial" w:cs="Arial" w:eastAsia="Arial" w:hAnsi="Arial"/>
                <w:sz w:val="14"/>
                <w:szCs w:val="14"/>
                <w:color w:val="auto"/>
              </w:rPr>
              <w:t>Prof. Shai Shalev-Shwartz,</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476,190</w:t>
            </w:r>
            <w:r>
              <w:rPr>
                <w:rFonts w:ascii="Arial" w:cs="Arial" w:eastAsia="Arial" w:hAnsi="Arial"/>
                <w:sz w:val="17"/>
                <w:szCs w:val="17"/>
                <w:color w:val="auto"/>
                <w:w w:val="96"/>
                <w:vertAlign w:val="superscript"/>
              </w:rPr>
              <w:t>(9)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Chief Technology Officer</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​MBLY</w:t>
            </w:r>
          </w:p>
        </w:tc>
        <w:tc>
          <w:tcPr>
            <w:tcW w:w="8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1"/>
              </w:rPr>
              <w:t>​16,695,221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​10/30/2020</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19,350</w:t>
            </w:r>
            <w:r>
              <w:rPr>
                <w:rFonts w:ascii="Arial" w:cs="Arial" w:eastAsia="Arial" w:hAnsi="Arial"/>
                <w:sz w:val="17"/>
                <w:szCs w:val="17"/>
                <w:color w:val="auto"/>
                <w:vertAlign w:val="superscript"/>
              </w:rPr>
              <w:t>(10)</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511,421</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​10/30/2021</w:t>
            </w:r>
          </w:p>
        </w:tc>
        <w:tc>
          <w:tcPr>
            <w:tcW w:w="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38,033</w:t>
            </w:r>
            <w:r>
              <w:rPr>
                <w:rFonts w:ascii="Arial" w:cs="Arial" w:eastAsia="Arial" w:hAnsi="Arial"/>
                <w:sz w:val="17"/>
                <w:szCs w:val="17"/>
                <w:color w:val="auto"/>
                <w:vertAlign w:val="superscript"/>
              </w:rPr>
              <w:t>(11)</w:t>
            </w: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6"/>
              </w:rPr>
              <w:t>​ 1,005,212</w:t>
            </w:r>
          </w:p>
        </w:tc>
        <w:tc>
          <w:tcPr>
            <w:tcW w:w="0" w:type="dxa"/>
            <w:vAlign w:val="bottom"/>
          </w:tcPr>
          <w:p>
            <w:pPr>
              <w:spacing w:after="0"/>
              <w:rPr>
                <w:sz w:val="1"/>
                <w:szCs w:val="1"/>
                <w:color w:val="auto"/>
              </w:rPr>
            </w:pPr>
          </w:p>
        </w:tc>
      </w:tr>
      <w:tr>
        <w:trPr>
          <w:trHeight w:val="197"/>
        </w:trPr>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 Gavriel Hayon, Executive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9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Vice President, Research &amp;</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3"/>
              </w:rPr>
              <w:t>108,788</w:t>
            </w:r>
            <w:r>
              <w:rPr>
                <w:rFonts w:ascii="Arial" w:cs="Arial" w:eastAsia="Arial" w:hAnsi="Arial"/>
                <w:sz w:val="17"/>
                <w:szCs w:val="17"/>
                <w:color w:val="auto"/>
                <w:w w:val="93"/>
                <w:vertAlign w:val="superscript"/>
              </w:rPr>
              <w:t>(12)</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Development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​MBLY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 3,814,107</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​10/30/2020</w:t>
            </w:r>
          </w:p>
        </w:tc>
        <w:tc>
          <w:tcPr>
            <w:tcW w:w="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12,082</w:t>
            </w:r>
            <w:r>
              <w:rPr>
                <w:rFonts w:ascii="Arial" w:cs="Arial" w:eastAsia="Arial" w:hAnsi="Arial"/>
                <w:sz w:val="17"/>
                <w:szCs w:val="17"/>
                <w:color w:val="auto"/>
                <w:vertAlign w:val="superscript"/>
              </w:rPr>
              <w:t>(13)</w:t>
            </w: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319,327</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​10/30/2021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23,748</w:t>
            </w:r>
            <w:r>
              <w:rPr>
                <w:rFonts w:ascii="Arial" w:cs="Arial" w:eastAsia="Arial" w:hAnsi="Arial"/>
                <w:sz w:val="17"/>
                <w:szCs w:val="17"/>
                <w:color w:val="auto"/>
                <w:vertAlign w:val="superscript"/>
              </w:rPr>
              <w:t>(14)</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627,660</w:t>
            </w:r>
          </w:p>
        </w:tc>
        <w:tc>
          <w:tcPr>
            <w:tcW w:w="0" w:type="dxa"/>
            <w:vAlign w:val="bottom"/>
          </w:tcPr>
          <w:p>
            <w:pPr>
              <w:spacing w:after="0"/>
              <w:rPr>
                <w:sz w:val="1"/>
                <w:szCs w:val="1"/>
                <w:color w:val="auto"/>
              </w:rPr>
            </w:pPr>
          </w:p>
        </w:tc>
      </w:tr>
      <w:tr>
        <w:trPr>
          <w:trHeight w:val="211"/>
        </w:trPr>
        <w:tc>
          <w:tcPr>
            <w:tcW w:w="1900" w:type="dxa"/>
            <w:vAlign w:val="bottom"/>
            <w:gridSpan w:val="2"/>
          </w:tcPr>
          <w:p>
            <w:pPr>
              <w:spacing w:after="0"/>
              <w:rPr>
                <w:sz w:val="20"/>
                <w:szCs w:val="20"/>
                <w:color w:val="auto"/>
              </w:rPr>
            </w:pPr>
            <w:r>
              <w:rPr>
                <w:rFonts w:ascii="Arial" w:cs="Arial" w:eastAsia="Arial" w:hAnsi="Arial"/>
                <w:sz w:val="14"/>
                <w:szCs w:val="14"/>
                <w:color w:val="auto"/>
              </w:rPr>
              <w:t>Nimrod Nehushtan, Senior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Vice President Business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Development &amp; Strategy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93,570</w:t>
            </w:r>
            <w:r>
              <w:rPr>
                <w:rFonts w:ascii="Arial" w:cs="Arial" w:eastAsia="Arial" w:hAnsi="Arial"/>
                <w:sz w:val="17"/>
                <w:szCs w:val="17"/>
                <w:color w:val="auto"/>
                <w:vertAlign w:val="superscript"/>
              </w:rPr>
              <w:t>(15)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Co-Manager REM</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​10/26/2022</w:t>
            </w:r>
          </w:p>
        </w:tc>
        <w:tc>
          <w:tcPr>
            <w:tcW w:w="6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​MBLY</w:t>
            </w:r>
          </w:p>
        </w:tc>
        <w:tc>
          <w:tcPr>
            <w:tcW w:w="80" w:type="dxa"/>
            <w:vAlign w:val="bottom"/>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5"/>
                <w:szCs w:val="15"/>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5"/>
                <w:szCs w:val="15"/>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vMerge w:val="continue"/>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$35.06</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6"/>
              </w:rPr>
              <w:t>​ 3,280,564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​01/30/2020</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25"/>
                <w:szCs w:val="25"/>
                <w:color w:val="auto"/>
                <w:vertAlign w:val="subscript"/>
              </w:rPr>
              <w:t>568</w:t>
            </w:r>
            <w:r>
              <w:rPr>
                <w:rFonts w:ascii="Arial" w:cs="Arial" w:eastAsia="Arial" w:hAnsi="Arial"/>
                <w:sz w:val="8"/>
                <w:szCs w:val="8"/>
                <w:color w:val="auto"/>
              </w:rPr>
              <w:t>(16)</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15,012</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​10/30/2020</w:t>
            </w:r>
          </w:p>
        </w:tc>
        <w:tc>
          <w:tcPr>
            <w:tcW w:w="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ind w:left="2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 N/A</w:t>
            </w:r>
          </w:p>
        </w:tc>
        <w:tc>
          <w:tcPr>
            <w:tcW w:w="8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ind w:left="14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7"/>
                <w:szCs w:val="17"/>
                <w:color w:val="auto"/>
              </w:rPr>
            </w:pP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23"/>
                <w:szCs w:val="23"/>
                <w:color w:val="auto"/>
                <w:vertAlign w:val="subscript"/>
              </w:rPr>
              <w:t>484</w:t>
            </w:r>
            <w:r>
              <w:rPr>
                <w:rFonts w:ascii="Arial" w:cs="Arial" w:eastAsia="Arial" w:hAnsi="Arial"/>
                <w:sz w:val="8"/>
                <w:szCs w:val="8"/>
                <w:color w:val="auto"/>
              </w:rPr>
              <w:t>(17)</w:t>
            </w:r>
          </w:p>
        </w:tc>
        <w:tc>
          <w:tcPr>
            <w:tcW w:w="520" w:type="dxa"/>
            <w:vAlign w:val="bottom"/>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12,792</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​10/30/2021</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INTC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N/A</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3,488</w:t>
            </w:r>
            <w:r>
              <w:rPr>
                <w:rFonts w:ascii="Arial" w:cs="Arial" w:eastAsia="Arial" w:hAnsi="Arial"/>
                <w:sz w:val="17"/>
                <w:szCs w:val="17"/>
                <w:color w:val="auto"/>
                <w:vertAlign w:val="superscript"/>
              </w:rPr>
              <w:t>(18)</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$26.43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-3188335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-3188335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-3188335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-3188335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-3188335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-3188335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-3188335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-3188335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-3188335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-3188335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6029325</wp:posOffset>
            </wp:positionH>
            <wp:positionV relativeFrom="paragraph">
              <wp:posOffset>-3188335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left="1620" w:right="980"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restricted stock units granted under the Intel Plan (the “Intel RSUs”) and ME RSUs. Such Intel RSUs and ME RSUs vest in annual installments over three years, subject to continued employment.</w:t>
      </w:r>
    </w:p>
    <w:p>
      <w:pPr>
        <w:spacing w:after="0" w:line="48" w:lineRule="exact"/>
        <w:rPr>
          <w:rFonts w:ascii="Arial" w:cs="Arial" w:eastAsia="Arial" w:hAnsi="Arial"/>
          <w:sz w:val="18"/>
          <w:szCs w:val="18"/>
          <w:color w:val="auto"/>
        </w:rPr>
      </w:pPr>
    </w:p>
    <w:p>
      <w:pPr>
        <w:jc w:val="both"/>
        <w:ind w:left="1620" w:right="1040"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Determined with reference to $35.06, the closing price of a share of Mobileye common stock on the last trading day before December 31, 2022, and $26.43, the closing price of a share of Intel common stock on the last trading day before December 31, 2022.</w:t>
      </w:r>
    </w:p>
    <w:p>
      <w:pPr>
        <w:spacing w:after="0" w:line="48" w:lineRule="exact"/>
        <w:rPr>
          <w:rFonts w:ascii="Arial" w:cs="Arial" w:eastAsia="Arial" w:hAnsi="Arial"/>
          <w:sz w:val="18"/>
          <w:szCs w:val="18"/>
          <w:color w:val="auto"/>
        </w:rPr>
      </w:pPr>
    </w:p>
    <w:p>
      <w:pPr>
        <w:ind w:left="1620" w:right="980"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26, 2022, a total of 676,190 ME RSUs were granted with the following vesting schedule: on April 26, 2023 — 270,476 RSUs; October 26, 2023 — 202,857 RSUs; and October 26, 2024 —  202,857 RSUs.</w:t>
      </w:r>
    </w:p>
    <w:p>
      <w:pPr>
        <w:spacing w:after="0" w:line="48" w:lineRule="exact"/>
        <w:rPr>
          <w:rFonts w:ascii="Arial" w:cs="Arial" w:eastAsia="Arial" w:hAnsi="Arial"/>
          <w:sz w:val="18"/>
          <w:szCs w:val="18"/>
          <w:color w:val="auto"/>
        </w:rPr>
      </w:pPr>
    </w:p>
    <w:p>
      <w:pPr>
        <w:ind w:left="1620" w:right="840" w:hanging="36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26, 2022, a total of 1,428,571 ME RSUs were granted with the following vesting schedule: on October 26, 2026 — 714,285 RSUs; and October 26, 2027 — 714,286 RSUs.</w:t>
      </w: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0" w:right="107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26, 2022, a total of 61,169 ME RSUs were granted and will vest on April 26, 2023.</w:t>
      </w:r>
    </w:p>
    <w:p>
      <w:pPr>
        <w:spacing w:after="0" w:line="63" w:lineRule="exact"/>
        <w:rPr>
          <w:rFonts w:ascii="Arial" w:cs="Arial" w:eastAsia="Arial" w:hAnsi="Arial"/>
          <w:sz w:val="18"/>
          <w:szCs w:val="18"/>
          <w:color w:val="auto"/>
        </w:rPr>
      </w:pPr>
    </w:p>
    <w:p>
      <w:pPr>
        <w:jc w:val="both"/>
        <w:ind w:left="1620" w:right="47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26, 2022, a total of 95,238 ME RSUs were granted with the following vesting schedule: on October 26, 2023 — 38,095 RSUs; October 26, 2024 — 28,571 RSUs; and October 26, 2025 — 28,572 RSUs.</w:t>
      </w:r>
    </w:p>
    <w:p>
      <w:pPr>
        <w:spacing w:after="0" w:line="21"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2020, a total of 17,916 Intel RSUs were granted with the following vesting schedule: October 30, 2021 — 9,853 RSUs; October 30, 2022 — 4,838 RSUs; and October 30, 2023 — 3,225 RSUs.</w:t>
      </w:r>
    </w:p>
    <w:p>
      <w:pPr>
        <w:spacing w:after="0" w:line="35"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2021, a total of 11,121 Intel RSUs were granted with the following vesting schedule: October 30, 2022 — 4,782 RSUs; October 30, 2023 — 3,169 RSUs; and October 30, 2024 — 3,170 RSUs.</w:t>
      </w:r>
    </w:p>
    <w:p>
      <w:pPr>
        <w:spacing w:after="0" w:line="21" w:lineRule="exact"/>
        <w:rPr>
          <w:rFonts w:ascii="Arial" w:cs="Arial" w:eastAsia="Arial" w:hAnsi="Arial"/>
          <w:sz w:val="18"/>
          <w:szCs w:val="18"/>
          <w:color w:val="auto"/>
        </w:rPr>
      </w:pPr>
    </w:p>
    <w:p>
      <w:pPr>
        <w:ind w:left="1620" w:right="61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26, 2022, a total of 476,190 ME RSUs were granted with the following vesting schedule: on April 26, 2023 — 190,476 RSUs; June 26, 2024 — 142,857 RSUs; and June 26, 2025 — 142,857 RSUs.</w:t>
      </w:r>
    </w:p>
    <w:p>
      <w:pPr>
        <w:spacing w:after="0" w:line="21" w:lineRule="exact"/>
        <w:rPr>
          <w:rFonts w:ascii="Arial" w:cs="Arial" w:eastAsia="Arial" w:hAnsi="Arial"/>
          <w:sz w:val="18"/>
          <w:szCs w:val="18"/>
          <w:color w:val="auto"/>
        </w:rPr>
      </w:pPr>
    </w:p>
    <w:p>
      <w:pPr>
        <w:jc w:val="both"/>
        <w:ind w:left="1620" w:right="49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2020, a total of 107,495 Intel RSUs were granted with the following vesting schedule: October 30, 2021 — 59,122 RSUs; October 30, 2022 — 29,023 RSUs; and October 30, 2023 — 19,350 RSUs.</w:t>
      </w:r>
    </w:p>
    <w:p>
      <w:pPr>
        <w:spacing w:after="0" w:line="21"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2021, a total of 66,724 Intel RSUs were granted with the following vesting schedule: October 30, 2022 — 28,691 RSUs; October 30, 2023 — 19,016 RSUs; and October 30, 2024 — 19,017 RSUs.</w:t>
      </w:r>
    </w:p>
    <w:p>
      <w:pPr>
        <w:spacing w:after="0" w:line="21" w:lineRule="exact"/>
        <w:rPr>
          <w:rFonts w:ascii="Arial" w:cs="Arial" w:eastAsia="Arial" w:hAnsi="Arial"/>
          <w:sz w:val="18"/>
          <w:szCs w:val="18"/>
          <w:color w:val="auto"/>
        </w:rPr>
      </w:pPr>
    </w:p>
    <w:p>
      <w:pPr>
        <w:ind w:left="1620" w:right="479" w:hanging="360"/>
        <w:spacing w:after="0" w:line="298"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October 26, 2022, a total of 108,788 ME RSUs were granted with the following vesting schedule: on April 26, 2023 — 43,515 RSUs; June 26, 2024 — 32,636 RSUs; and June 26, 2025 — 32,637 RSUs.</w:t>
      </w:r>
    </w:p>
    <w:p>
      <w:pPr>
        <w:ind w:left="1620" w:right="49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2020, a total of 67,120 Intel RSUs were granted with the following vesting schedule: October 30, 2021 — 36,916 RSUs; October 30, 2022 — 18,122 RSUs; and October 30, 2023 — 12,082 RSUs.</w:t>
      </w:r>
    </w:p>
    <w:p>
      <w:pPr>
        <w:spacing w:after="0" w:line="21"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2021, a total of 41,663 Intel RSUs were granted with the following vesting schedule: October 30, 2022 — 17,915 RSUs; October 30, 2023 — 11,874 RSUs; and October 30, 2024 — 11,874 RSUs.</w:t>
      </w:r>
    </w:p>
    <w:p>
      <w:pPr>
        <w:spacing w:after="0" w:line="35" w:lineRule="exact"/>
        <w:rPr>
          <w:rFonts w:ascii="Arial" w:cs="Arial" w:eastAsia="Arial" w:hAnsi="Arial"/>
          <w:sz w:val="18"/>
          <w:szCs w:val="18"/>
          <w:color w:val="auto"/>
        </w:rPr>
      </w:pPr>
    </w:p>
    <w:p>
      <w:pPr>
        <w:ind w:left="1620" w:right="479" w:hanging="360"/>
        <w:spacing w:after="0" w:line="298"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October 26, 2022, a total of 93,570 ME RSUs were granted with the following vesting schedule: on April 26, 2023 — 30,878 RSUs; June 26, 2024 — 30,878 RSUs; and June 26, 2025 — 31,814 RSUs.</w:t>
      </w:r>
    </w:p>
    <w:p>
      <w:pPr>
        <w:jc w:val="both"/>
        <w:ind w:left="1620" w:right="739" w:hanging="360"/>
        <w:spacing w:after="0" w:line="316"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30, 2020, a total of 1,702 Intel RSUs were granted with the following vesting schedule: January 30, 2021 — 567 RSUs; January 30, 2022 — 567 RSUs; and January 30, 2023 — 568 RSUs.</w:t>
      </w:r>
    </w:p>
    <w:p>
      <w:pPr>
        <w:spacing w:after="0" w:line="1" w:lineRule="exact"/>
        <w:rPr>
          <w:rFonts w:ascii="Arial" w:cs="Arial" w:eastAsia="Arial" w:hAnsi="Arial"/>
          <w:sz w:val="16"/>
          <w:szCs w:val="16"/>
          <w:color w:val="auto"/>
        </w:rPr>
      </w:pPr>
    </w:p>
    <w:p>
      <w:pPr>
        <w:ind w:left="1620" w:right="539" w:hanging="360"/>
        <w:spacing w:after="0" w:line="298"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October 30, 2020, a total of 2,688 Intel RSUs were granted with the following vesting schedule: October 30, 2021 — 1,478 RSUs; October 30, 2022 — 726 RSUs; and October 30, 2023 — 484 RSUs.</w:t>
      </w:r>
    </w:p>
    <w:p>
      <w:pPr>
        <w:jc w:val="both"/>
        <w:ind w:left="1620" w:right="73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30, 2021, a total of 6,118 Intel RSUs were granted with the following vesting schedule: October 30, 2022 — 2,630 RSUs; October 30, 2023 — 1,744 RSUs; and October 30, 2024 — 1,744 RSUs.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42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Realized</w:t>
            </w:r>
          </w:p>
        </w:tc>
        <w:tc>
          <w:tcPr>
            <w:tcW w:w="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on 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on Vesting</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on Vesting</w:t>
            </w:r>
          </w:p>
        </w:tc>
        <w:tc>
          <w:tcPr>
            <w:tcW w:w="60" w:type="dxa"/>
            <w:vAlign w:val="bottom"/>
          </w:tcPr>
          <w:p>
            <w:pPr>
              <w:spacing w:after="0"/>
              <w:rPr>
                <w:sz w:val="14"/>
                <w:szCs w:val="14"/>
                <w:color w:val="auto"/>
              </w:rPr>
            </w:pPr>
          </w:p>
        </w:tc>
      </w:tr>
      <w:tr>
        <w:trPr>
          <w:trHeight w:val="225"/>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Prof. Amnon Shashua, Chief Executive Officer</w:t>
            </w:r>
          </w:p>
        </w:tc>
        <w:tc>
          <w:tcPr>
            <w:tcW w:w="10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 ​​1,278,053​​</w:t>
            </w:r>
          </w:p>
        </w:tc>
        <w:tc>
          <w:tcPr>
            <w:tcW w:w="10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​​26,402,347​​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N/A​</w:t>
            </w:r>
          </w:p>
        </w:tc>
        <w:tc>
          <w:tcPr>
            <w:tcW w:w="60" w:type="dxa"/>
            <w:vAlign w:val="bottom"/>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Anat Heller, Chief Financial Officer</w:t>
            </w: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9,620</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95"/>
              </w:rPr>
              <w:t>275,276​</w:t>
            </w:r>
          </w:p>
        </w:tc>
      </w:tr>
      <w:tr>
        <w:trPr>
          <w:trHeight w:val="25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 Chief Technology Officer</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N/A​​ ​</w:t>
            </w:r>
            <w:r>
              <w:rPr>
                <w:rFonts w:ascii="Arial" w:cs="Arial" w:eastAsia="Arial" w:hAnsi="Arial"/>
                <w:sz w:val="18"/>
                <w:szCs w:val="18"/>
                <w:b w:val="1"/>
                <w:bCs w:val="1"/>
                <w:color w:val="auto"/>
              </w:rPr>
              <w:t>​</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xml:space="preserve">N/A​​ ​ </w:t>
            </w:r>
            <w:r>
              <w:rPr>
                <w:rFonts w:ascii="Arial" w:cs="Arial" w:eastAsia="Arial" w:hAnsi="Arial"/>
                <w:sz w:val="18"/>
                <w:szCs w:val="18"/>
                <w:b w:val="1"/>
                <w:bCs w:val="1"/>
                <w:color w:val="auto"/>
              </w:rPr>
              <w:t>​</w:t>
            </w:r>
            <w:r>
              <w:rPr>
                <w:rFonts w:ascii="Arial" w:cs="Arial" w:eastAsia="Arial" w:hAnsi="Arial"/>
                <w:sz w:val="18"/>
                <w:szCs w:val="18"/>
                <w:color w:val="auto"/>
              </w:rPr>
              <w:t>57,714</w:t>
            </w: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1,651,486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2"/>
        </w:trPr>
        <w:tc>
          <w:tcPr>
            <w:tcW w:w="4420" w:type="dxa"/>
            <w:vAlign w:val="bottom"/>
          </w:tcPr>
          <w:p>
            <w:pPr>
              <w:spacing w:after="0"/>
              <w:rPr>
                <w:sz w:val="20"/>
                <w:szCs w:val="20"/>
                <w:color w:val="auto"/>
              </w:rPr>
            </w:pPr>
            <w:r>
              <w:rPr>
                <w:rFonts w:ascii="Arial" w:cs="Arial" w:eastAsia="Arial" w:hAnsi="Arial"/>
                <w:sz w:val="18"/>
                <w:szCs w:val="18"/>
                <w:color w:val="auto"/>
                <w:w w:val="96"/>
              </w:rPr>
              <w:t>Dr. Gavriel Hayon, Executive Vice President, Research &amp;</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42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40" w:type="dxa"/>
            <w:vAlign w:val="bottom"/>
            <w:gridSpan w:val="4"/>
          </w:tcPr>
          <w:p>
            <w:pPr>
              <w:ind w:left="360"/>
              <w:spacing w:after="0"/>
              <w:rPr>
                <w:sz w:val="20"/>
                <w:szCs w:val="20"/>
                <w:color w:val="auto"/>
              </w:rPr>
            </w:pPr>
            <w:r>
              <w:rPr>
                <w:rFonts w:ascii="Arial" w:cs="Arial" w:eastAsia="Arial" w:hAnsi="Arial"/>
                <w:sz w:val="18"/>
                <w:szCs w:val="18"/>
                <w:color w:val="auto"/>
              </w:rPr>
              <w:t>N/A​​ ​</w:t>
            </w:r>
            <w:r>
              <w:rPr>
                <w:rFonts w:ascii="Arial" w:cs="Arial" w:eastAsia="Arial" w:hAnsi="Arial"/>
                <w:sz w:val="18"/>
                <w:szCs w:val="18"/>
                <w:b w:val="1"/>
                <w:bCs w:val="1"/>
                <w:color w:val="auto"/>
              </w:rPr>
              <w:t>​</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 xml:space="preserve">N/A​​ ​ </w:t>
            </w:r>
            <w:r>
              <w:rPr>
                <w:rFonts w:ascii="Arial" w:cs="Arial" w:eastAsia="Arial" w:hAnsi="Arial"/>
                <w:sz w:val="18"/>
                <w:szCs w:val="18"/>
                <w:b w:val="1"/>
                <w:bCs w:val="1"/>
                <w:color w:val="auto"/>
              </w:rPr>
              <w:t>​</w:t>
            </w:r>
            <w:r>
              <w:rPr>
                <w:rFonts w:ascii="Arial" w:cs="Arial" w:eastAsia="Arial" w:hAnsi="Arial"/>
                <w:sz w:val="18"/>
                <w:szCs w:val="18"/>
                <w:color w:val="auto"/>
              </w:rPr>
              <w:t>36,037</w:t>
            </w:r>
          </w:p>
        </w:tc>
        <w:tc>
          <w:tcPr>
            <w:tcW w:w="100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1,031,199​</w:t>
            </w:r>
          </w:p>
        </w:tc>
      </w:tr>
      <w:tr>
        <w:trPr>
          <w:trHeight w:val="242"/>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Nimrod Nehushtan, Senior Vice President, Business</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&amp; Strategy and Co-Manager REM</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N/A​​ ​​</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N/A​​ ​ ​ 3,923</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123,297​</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66040</wp:posOffset>
            </wp:positionV>
            <wp:extent cx="12344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0"/>
          <w:szCs w:val="20"/>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exercised and vested options and RSUs are Intel options and RSUs.</w:t>
      </w:r>
    </w:p>
    <w:p>
      <w:pPr>
        <w:spacing w:after="0" w:line="90" w:lineRule="exact"/>
        <w:rPr>
          <w:sz w:val="20"/>
          <w:szCs w:val="20"/>
          <w:color w:val="auto"/>
        </w:rPr>
      </w:pPr>
    </w:p>
    <w:p>
      <w:pPr>
        <w:ind w:left="1620" w:right="940" w:hanging="360"/>
        <w:spacing w:after="0" w:line="263"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35" w:lineRule="exact"/>
        <w:rPr>
          <w:rFonts w:ascii="Arial" w:cs="Arial" w:eastAsia="Arial" w:hAnsi="Arial"/>
          <w:sz w:val="18"/>
          <w:szCs w:val="18"/>
          <w:color w:val="auto"/>
        </w:rPr>
      </w:pPr>
    </w:p>
    <w:p>
      <w:pPr>
        <w:ind w:left="1620" w:right="920" w:hanging="360"/>
        <w:spacing w:after="0" w:line="308" w:lineRule="auto"/>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value reported is the Intel market value (average of high and low price of a share of Intel common stock on the Nasdaq) on the date of release multiplied by the number of shares that vested.</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ind w:left="1260" w:right="1020" w:firstLine="360"/>
        <w:spacing w:after="0" w:line="263" w:lineRule="auto"/>
        <w:rPr>
          <w:sz w:val="20"/>
          <w:szCs w:val="20"/>
          <w:color w:val="auto"/>
        </w:rPr>
      </w:pPr>
      <w:r>
        <w:rPr>
          <w:rFonts w:ascii="Arial" w:cs="Arial" w:eastAsia="Arial" w:hAnsi="Arial"/>
          <w:sz w:val="18"/>
          <w:szCs w:val="18"/>
          <w:color w:val="auto"/>
        </w:rPr>
        <w:t>The table below quantifies certain compensation and benefits that would have become payable to our CEO if his employment had terminated on December 31, 2022, as a result of each of the termination scenarios set forth in the table.</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left="139"/>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left="138"/>
              <w:spacing w:after="0" w:line="145" w:lineRule="exact"/>
              <w:rPr>
                <w:sz w:val="20"/>
                <w:szCs w:val="20"/>
                <w:color w:val="auto"/>
              </w:rPr>
            </w:pPr>
            <w:r>
              <w:rPr>
                <w:rFonts w:ascii="Arial" w:cs="Arial" w:eastAsia="Arial" w:hAnsi="Arial"/>
                <w:sz w:val="14"/>
                <w:szCs w:val="14"/>
                <w:b w:val="1"/>
                <w:bCs w:val="1"/>
                <w:color w:val="auto"/>
                <w:w w:val="94"/>
              </w:rPr>
              <w:t>RSU</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83"/>
              </w:rPr>
              <w:t>Severance</w:t>
            </w:r>
            <w:r>
              <w:rPr>
                <w:rFonts w:ascii="Arial" w:cs="Arial" w:eastAsia="Arial" w:hAnsi="Arial"/>
                <w:sz w:val="17"/>
                <w:szCs w:val="17"/>
                <w:b w:val="1"/>
                <w:bCs w:val="1"/>
                <w:color w:val="auto"/>
                <w:w w:val="83"/>
                <w:vertAlign w:val="superscript"/>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Acceleration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Acceleration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3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Termination Scenario</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center"/>
              <w:ind w:left="13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2320" w:type="dxa"/>
            <w:vAlign w:val="bottom"/>
            <w:gridSpan w:val="2"/>
          </w:tcPr>
          <w:p>
            <w:pPr>
              <w:spacing w:after="0"/>
              <w:rPr>
                <w:sz w:val="20"/>
                <w:szCs w:val="20"/>
                <w:color w:val="auto"/>
              </w:rPr>
            </w:pPr>
            <w:r>
              <w:rPr>
                <w:rFonts w:ascii="Arial" w:cs="Arial" w:eastAsia="Arial" w:hAnsi="Arial"/>
                <w:sz w:val="18"/>
                <w:szCs w:val="18"/>
                <w:color w:val="auto"/>
                <w:w w:val="98"/>
              </w:rPr>
              <w:t xml:space="preserve">Prof. Amnon Shashua, Chief </w:t>
            </w:r>
            <w:r>
              <w:rPr>
                <w:rFonts w:ascii="Arial" w:cs="Arial" w:eastAsia="Arial" w:hAnsi="Arial"/>
                <w:sz w:val="17"/>
                <w:szCs w:val="17"/>
                <w:color w:val="auto"/>
                <w:w w:val="98"/>
              </w:rPr>
              <w:t>​</w:t>
            </w: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Termination without Cause or</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200" w:type="dxa"/>
            <w:vAlign w:val="bottom"/>
            <w:vMerge w:val="restart"/>
          </w:tcPr>
          <w:p>
            <w:pPr>
              <w:ind w:left="180"/>
              <w:spacing w:after="0"/>
              <w:rPr>
                <w:sz w:val="20"/>
                <w:szCs w:val="20"/>
                <w:color w:val="auto"/>
              </w:rPr>
            </w:pPr>
            <w:r>
              <w:rPr>
                <w:rFonts w:ascii="Arial" w:cs="Arial" w:eastAsia="Arial" w:hAnsi="Arial"/>
                <w:sz w:val="18"/>
                <w:szCs w:val="18"/>
                <w:color w:val="auto"/>
              </w:rPr>
              <w:t>Executive Officer</w:t>
            </w:r>
          </w:p>
        </w:tc>
        <w:tc>
          <w:tcPr>
            <w:tcW w:w="2580" w:type="dxa"/>
            <w:vAlign w:val="bottom"/>
            <w:gridSpan w:val="3"/>
            <w:vMerge w:val="restart"/>
          </w:tcPr>
          <w:p>
            <w:pPr>
              <w:ind w:left="40"/>
              <w:spacing w:after="0"/>
              <w:rPr>
                <w:sz w:val="20"/>
                <w:szCs w:val="20"/>
                <w:color w:val="auto"/>
              </w:rPr>
            </w:pPr>
            <w:r>
              <w:rPr>
                <w:rFonts w:ascii="Arial" w:cs="Arial" w:eastAsia="Arial" w:hAnsi="Arial"/>
                <w:sz w:val="18"/>
                <w:szCs w:val="18"/>
                <w:color w:val="auto"/>
              </w:rPr>
              <w:t>​ ​a Deemed Dismissal</w:t>
            </w:r>
          </w:p>
        </w:tc>
        <w:tc>
          <w:tcPr>
            <w:tcW w:w="1160" w:type="dxa"/>
            <w:vAlign w:val="bottom"/>
            <w:gridSpan w:val="6"/>
            <w:vMerge w:val="restart"/>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1,059,799​​ ​</w:t>
            </w:r>
          </w:p>
        </w:tc>
        <w:tc>
          <w:tcPr>
            <w:tcW w:w="540" w:type="dxa"/>
            <w:vAlign w:val="bottom"/>
            <w:vMerge w:val="restart"/>
          </w:tcPr>
          <w:p>
            <w:pPr>
              <w:jc w:val="center"/>
              <w:ind w:left="138"/>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40" w:type="dxa"/>
            <w:vAlign w:val="bottom"/>
            <w:vMerge w:val="restart"/>
          </w:tcPr>
          <w:p>
            <w:pPr>
              <w:jc w:val="center"/>
              <w:ind w:lef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25"/>
              <w:spacing w:after="0" w:line="195" w:lineRule="exact"/>
              <w:rPr>
                <w:sz w:val="20"/>
                <w:szCs w:val="20"/>
                <w:color w:val="auto"/>
              </w:rPr>
            </w:pPr>
            <w:r>
              <w:rPr>
                <w:rFonts w:ascii="Arial" w:cs="Arial" w:eastAsia="Arial" w:hAnsi="Arial"/>
                <w:sz w:val="17"/>
                <w:szCs w:val="17"/>
                <w:color w:val="auto"/>
              </w:rPr>
              <w:t>154,323</w:t>
            </w:r>
            <w:r>
              <w:rPr>
                <w:rFonts w:ascii="Arial" w:cs="Arial" w:eastAsia="Arial" w:hAnsi="Arial"/>
                <w:sz w:val="22"/>
                <w:szCs w:val="22"/>
                <w:color w:val="auto"/>
                <w:vertAlign w:val="superscript"/>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1160" w:type="dxa"/>
            <w:vAlign w:val="bottom"/>
            <w:gridSpan w:val="6"/>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gridSpan w:val="3"/>
          </w:tcPr>
          <w:p>
            <w:pPr>
              <w:jc w:val="right"/>
              <w:ind w:right="60"/>
              <w:spacing w:after="0" w:line="68" w:lineRule="exact"/>
              <w:rPr>
                <w:sz w:val="20"/>
                <w:szCs w:val="20"/>
                <w:color w:val="auto"/>
              </w:rPr>
            </w:pPr>
            <w:r>
              <w:rPr>
                <w:rFonts w:ascii="Arial" w:cs="Arial" w:eastAsia="Arial" w:hAnsi="Arial"/>
                <w:sz w:val="7"/>
                <w:szCs w:val="7"/>
                <w:color w:val="auto"/>
              </w:rPr>
              <w:t>​​ ​</w:t>
            </w:r>
            <w:r>
              <w:rPr>
                <w:rFonts w:ascii="Arial" w:cs="Arial" w:eastAsia="Arial" w:hAnsi="Arial"/>
                <w:sz w:val="7"/>
                <w:szCs w:val="7"/>
                <w:b w:val="1"/>
                <w:bCs w:val="1"/>
                <w:color w:val="auto"/>
              </w:rPr>
              <w:t>​</w:t>
            </w:r>
          </w:p>
        </w:tc>
        <w:tc>
          <w:tcPr>
            <w:tcW w:w="580" w:type="dxa"/>
            <w:vAlign w:val="bottom"/>
          </w:tcPr>
          <w:p>
            <w:pPr>
              <w:spacing w:after="0"/>
              <w:rPr>
                <w:sz w:val="5"/>
                <w:szCs w:val="5"/>
                <w:color w:val="auto"/>
              </w:rPr>
            </w:pPr>
          </w:p>
        </w:tc>
        <w:tc>
          <w:tcPr>
            <w:tcW w:w="1080" w:type="dxa"/>
            <w:vAlign w:val="bottom"/>
            <w:gridSpan w:val="6"/>
          </w:tcPr>
          <w:p>
            <w:pPr>
              <w:spacing w:after="0" w:line="68" w:lineRule="exact"/>
              <w:rPr>
                <w:sz w:val="20"/>
                <w:szCs w:val="20"/>
                <w:color w:val="auto"/>
              </w:rPr>
            </w:pPr>
            <w:r>
              <w:rPr>
                <w:rFonts w:ascii="Arial" w:cs="Arial" w:eastAsia="Arial" w:hAnsi="Arial"/>
                <w:sz w:val="7"/>
                <w:szCs w:val="7"/>
                <w:color w:val="auto"/>
              </w:rPr>
              <w:t>​​ ​</w:t>
            </w:r>
            <w:r>
              <w:rPr>
                <w:rFonts w:ascii="Arial" w:cs="Arial" w:eastAsia="Arial" w:hAnsi="Arial"/>
                <w:sz w:val="7"/>
                <w:szCs w:val="7"/>
                <w:b w:val="1"/>
                <w:bCs w:val="1"/>
                <w:color w:val="auto"/>
              </w:rPr>
              <w:t>​</w:t>
            </w:r>
            <w:r>
              <w:rPr>
                <w:rFonts w:ascii="Arial" w:cs="Arial" w:eastAsia="Arial" w:hAnsi="Arial"/>
                <w:sz w:val="7"/>
                <w:szCs w:val="7"/>
                <w:color w:val="auto"/>
              </w:rPr>
              <w:t>1,214,122​​</w:t>
            </w: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​Termination as a result of</w:t>
            </w:r>
          </w:p>
        </w:tc>
        <w:tc>
          <w:tcPr>
            <w:tcW w:w="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580" w:type="dxa"/>
            <w:vAlign w:val="bottom"/>
            <w:shd w:val="clear" w:color="auto" w:fill="CCEEFF"/>
          </w:tcPr>
          <w:p>
            <w:pPr>
              <w:spacing w:after="0"/>
              <w:rPr>
                <w:sz w:val="22"/>
                <w:szCs w:val="22"/>
                <w:color w:val="auto"/>
              </w:rPr>
            </w:pP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00" w:type="dxa"/>
            <w:vAlign w:val="bottom"/>
            <w:vMerge w:val="restart"/>
          </w:tcPr>
          <w:p>
            <w:pPr>
              <w:spacing w:after="0"/>
              <w:rPr>
                <w:sz w:val="20"/>
                <w:szCs w:val="20"/>
                <w:color w:val="auto"/>
              </w:rPr>
            </w:pPr>
            <w:r>
              <w:rPr>
                <w:rFonts w:ascii="Arial" w:cs="Arial" w:eastAsia="Arial" w:hAnsi="Arial"/>
                <w:sz w:val="18"/>
                <w:szCs w:val="18"/>
                <w:color w:val="auto"/>
              </w:rPr>
              <w:t>​</w:t>
            </w:r>
          </w:p>
        </w:tc>
        <w:tc>
          <w:tcPr>
            <w:tcW w:w="2580" w:type="dxa"/>
            <w:vAlign w:val="bottom"/>
            <w:gridSpan w:val="3"/>
            <w:vMerge w:val="restart"/>
          </w:tcPr>
          <w:p>
            <w:pPr>
              <w:ind w:left="40"/>
              <w:spacing w:after="0"/>
              <w:rPr>
                <w:sz w:val="20"/>
                <w:szCs w:val="20"/>
                <w:color w:val="auto"/>
              </w:rPr>
            </w:pPr>
            <w:r>
              <w:rPr>
                <w:rFonts w:ascii="Arial" w:cs="Arial" w:eastAsia="Arial" w:hAnsi="Arial"/>
                <w:sz w:val="18"/>
                <w:szCs w:val="18"/>
                <w:color w:val="auto"/>
              </w:rPr>
              <w:t>​ ​Change in Control</w:t>
            </w:r>
          </w:p>
        </w:tc>
        <w:tc>
          <w:tcPr>
            <w:tcW w:w="1160" w:type="dxa"/>
            <w:vAlign w:val="bottom"/>
            <w:gridSpan w:val="6"/>
            <w:vMerge w:val="restart"/>
          </w:tcPr>
          <w:p>
            <w:pPr>
              <w:ind w:left="60"/>
              <w:spacing w:after="0"/>
              <w:rPr>
                <w:sz w:val="20"/>
                <w:szCs w:val="20"/>
                <w:color w:val="auto"/>
              </w:rPr>
            </w:pPr>
            <w:r>
              <w:rPr>
                <w:rFonts w:ascii="Arial" w:cs="Arial" w:eastAsia="Arial" w:hAnsi="Arial"/>
                <w:sz w:val="18"/>
                <w:szCs w:val="18"/>
                <w:color w:val="auto"/>
              </w:rPr>
              <w:t>​ ​​1,059,799​​ ​</w:t>
            </w:r>
          </w:p>
        </w:tc>
        <w:tc>
          <w:tcPr>
            <w:tcW w:w="540" w:type="dxa"/>
            <w:vAlign w:val="bottom"/>
            <w:vMerge w:val="restart"/>
          </w:tcPr>
          <w:p>
            <w:pPr>
              <w:jc w:val="center"/>
              <w:ind w:left="138"/>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40" w:type="dxa"/>
            <w:vAlign w:val="bottom"/>
            <w:vMerge w:val="restart"/>
          </w:tcPr>
          <w:p>
            <w:pPr>
              <w:jc w:val="center"/>
              <w:ind w:left="139"/>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25"/>
              <w:spacing w:after="0" w:line="189" w:lineRule="exact"/>
              <w:rPr>
                <w:sz w:val="20"/>
                <w:szCs w:val="20"/>
                <w:color w:val="auto"/>
              </w:rPr>
            </w:pPr>
            <w:r>
              <w:rPr>
                <w:rFonts w:ascii="Arial" w:cs="Arial" w:eastAsia="Arial" w:hAnsi="Arial"/>
                <w:sz w:val="17"/>
                <w:szCs w:val="17"/>
                <w:color w:val="auto"/>
              </w:rPr>
              <w:t>925,939</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vMerge w:val="continue"/>
          </w:tcPr>
          <w:p>
            <w:pPr>
              <w:spacing w:after="0"/>
              <w:rPr>
                <w:sz w:val="20"/>
                <w:szCs w:val="20"/>
                <w:color w:val="auto"/>
              </w:rPr>
            </w:pPr>
          </w:p>
        </w:tc>
        <w:tc>
          <w:tcPr>
            <w:tcW w:w="2580" w:type="dxa"/>
            <w:vAlign w:val="bottom"/>
            <w:gridSpan w:val="3"/>
            <w:vMerge w:val="continue"/>
          </w:tcPr>
          <w:p>
            <w:pPr>
              <w:spacing w:after="0"/>
              <w:rPr>
                <w:sz w:val="20"/>
                <w:szCs w:val="20"/>
                <w:color w:val="auto"/>
              </w:rPr>
            </w:pPr>
          </w:p>
        </w:tc>
        <w:tc>
          <w:tcPr>
            <w:tcW w:w="1160" w:type="dxa"/>
            <w:vAlign w:val="bottom"/>
            <w:gridSpan w:val="6"/>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20"/>
                <w:szCs w:val="20"/>
                <w:color w:val="auto"/>
              </w:rPr>
            </w:pPr>
          </w:p>
        </w:tc>
        <w:tc>
          <w:tcPr>
            <w:tcW w:w="1080" w:type="dxa"/>
            <w:vAlign w:val="bottom"/>
            <w:gridSpan w:val="6"/>
          </w:tcPr>
          <w:p>
            <w:pPr>
              <w:spacing w:after="0"/>
              <w:rPr>
                <w:sz w:val="20"/>
                <w:szCs w:val="20"/>
                <w:color w:val="auto"/>
              </w:rPr>
            </w:pPr>
            <w:r>
              <w:rPr>
                <w:rFonts w:ascii="Arial" w:cs="Arial" w:eastAsia="Arial" w:hAnsi="Arial"/>
                <w:sz w:val="18"/>
                <w:szCs w:val="18"/>
                <w:color w:val="auto"/>
              </w:rPr>
              <w:t>​​ ​​1,985,738​​</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-745490</wp:posOffset>
            </wp:positionV>
            <wp:extent cx="618934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33655</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1" w:lineRule="exact"/>
        <w:rPr>
          <w:sz w:val="20"/>
          <w:szCs w:val="20"/>
          <w:color w:val="auto"/>
        </w:rPr>
      </w:pPr>
    </w:p>
    <w:p>
      <w:pPr>
        <w:ind w:left="1620" w:right="940" w:hanging="360"/>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detailed in this column reflect the supplement payment the Company will be required to pay in case the termination is initiated by the Company. Such supplement amount, together with the amounts accumulated in the severance funds, reflect the entire severance amount Prof. Shashua would have been entitled to in case of termination on the relevant date.</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without Cause or termination in the event of Deemed Dismissal (as defined in</w:t>
      </w:r>
    </w:p>
    <w:p>
      <w:pPr>
        <w:spacing w:after="0" w:line="23" w:lineRule="exact"/>
        <w:rPr>
          <w:rFonts w:ascii="Arial" w:cs="Arial" w:eastAsia="Arial" w:hAnsi="Arial"/>
          <w:sz w:val="18"/>
          <w:szCs w:val="18"/>
          <w:color w:val="auto"/>
        </w:rPr>
      </w:pPr>
    </w:p>
    <w:p>
      <w:pPr>
        <w:ind w:left="1620" w:right="880"/>
        <w:spacing w:after="0" w:line="269" w:lineRule="auto"/>
        <w:rPr>
          <w:rFonts w:ascii="Arial" w:cs="Arial" w:eastAsia="Arial" w:hAnsi="Arial"/>
          <w:sz w:val="18"/>
          <w:szCs w:val="18"/>
          <w:color w:val="auto"/>
        </w:rPr>
      </w:pPr>
      <w:r>
        <w:rPr>
          <w:rFonts w:ascii="Arial" w:cs="Arial" w:eastAsia="Arial" w:hAnsi="Arial"/>
          <w:sz w:val="17"/>
          <w:szCs w:val="17"/>
          <w:color w:val="auto"/>
        </w:rPr>
        <w:t>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2022), but payable under these termination circumstances for only the two-month period.</w:t>
      </w:r>
    </w:p>
    <w:p>
      <w:pPr>
        <w:spacing w:after="0" w:line="45" w:lineRule="exact"/>
        <w:rPr>
          <w:rFonts w:ascii="Arial" w:cs="Arial" w:eastAsia="Arial" w:hAnsi="Arial"/>
          <w:sz w:val="18"/>
          <w:szCs w:val="18"/>
          <w:color w:val="auto"/>
        </w:rPr>
      </w:pPr>
    </w:p>
    <w:p>
      <w:pPr>
        <w:ind w:left="1620" w:right="920" w:hanging="360"/>
        <w:spacing w:after="0" w:line="25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2022), payable under these termination circumstances for a twelve-month period.</w:t>
      </w:r>
    </w:p>
    <w:p>
      <w:pPr>
        <w:spacing w:after="0" w:line="124" w:lineRule="exact"/>
        <w:rPr>
          <w:sz w:val="20"/>
          <w:szCs w:val="20"/>
          <w:color w:val="auto"/>
        </w:rPr>
      </w:pPr>
    </w:p>
    <w:p>
      <w:pPr>
        <w:ind w:left="1260" w:right="860" w:firstLine="360"/>
        <w:spacing w:after="0" w:line="270" w:lineRule="auto"/>
        <w:rPr>
          <w:sz w:val="20"/>
          <w:szCs w:val="20"/>
          <w:color w:val="auto"/>
        </w:rPr>
      </w:pPr>
      <w:r>
        <w:rPr>
          <w:rFonts w:ascii="Arial" w:cs="Arial" w:eastAsia="Arial" w:hAnsi="Arial"/>
          <w:sz w:val="17"/>
          <w:szCs w:val="17"/>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Prof. Shwartz, Dr. Hayon and Mr. Nehushtan had terminated on December 31, 2022, under circumstances that entitle them to severance under the Severance Pay Law, they would have received a payout for severance in the amount of $74,958, $476,207, $154,737, and $51,295, respectively, which amounts do not include those amounts that would be transferred to such NEO from the NEO’s severance and other funds.</w:t>
      </w:r>
    </w:p>
    <w:p>
      <w:pPr>
        <w:spacing w:after="0" w:line="3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0" w:right="10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The following table sets forth a summary of the compensation we paid to each non-employee member of our board of directors for fiscal year 2022. Other than as set forth in the table and described more fully below, during the fiscal year 2022, we did not pay any fees to, make any equity awards or non-equity awards to, or pay any other compensation to the non-employee members of our board of directors.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280" w:type="dxa"/>
            <w:vAlign w:val="bottom"/>
          </w:tcPr>
          <w:p>
            <w:pPr>
              <w:spacing w:after="0"/>
              <w:rPr>
                <w:sz w:val="14"/>
                <w:szCs w:val="14"/>
                <w:color w:val="auto"/>
              </w:rPr>
            </w:pPr>
          </w:p>
        </w:tc>
        <w:tc>
          <w:tcPr>
            <w:tcW w:w="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in cash</w:t>
            </w:r>
          </w:p>
        </w:tc>
        <w:tc>
          <w:tcPr>
            <w:tcW w:w="280" w:type="dxa"/>
            <w:vAlign w:val="bottom"/>
          </w:tcPr>
          <w:p>
            <w:pPr>
              <w:spacing w:after="0"/>
              <w:rPr>
                <w:sz w:val="12"/>
                <w:szCs w:val="12"/>
                <w:color w:val="auto"/>
              </w:rPr>
            </w:pPr>
          </w:p>
        </w:tc>
        <w:tc>
          <w:tcPr>
            <w:tcW w:w="8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239"/>
        </w:trPr>
        <w:tc>
          <w:tcPr>
            <w:tcW w:w="4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3"/>
          </w:tcPr>
          <w:p>
            <w:pPr>
              <w:ind w:left="100"/>
              <w:spacing w:after="0" w:line="23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bscript"/>
              </w:rPr>
              <w:t>​ ​</w:t>
            </w:r>
          </w:p>
        </w:tc>
        <w:tc>
          <w:tcPr>
            <w:tcW w:w="540" w:type="dxa"/>
            <w:vAlign w:val="bottom"/>
            <w:gridSpan w:val="2"/>
          </w:tcPr>
          <w:p>
            <w:pPr>
              <w:jc w:val="center"/>
              <w:ind w:left="18"/>
              <w:spacing w:after="0" w:line="23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7"/>
                <w:szCs w:val="27"/>
                <w:b w:val="1"/>
                <w:bCs w:val="1"/>
                <w:color w:val="auto"/>
                <w:vertAlign w:val="subscript"/>
              </w:rPr>
              <w:t>​</w:t>
            </w:r>
          </w:p>
        </w:tc>
      </w:tr>
      <w:tr>
        <w:trPr>
          <w:trHeight w:val="20"/>
        </w:trPr>
        <w:tc>
          <w:tcPr>
            <w:tcW w:w="4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Patrick P. Gelsinger</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N/A​​ ​</w:t>
            </w:r>
            <w:r>
              <w:rPr>
                <w:rFonts w:ascii="Arial" w:cs="Arial" w:eastAsia="Arial" w:hAnsi="Arial"/>
                <w:sz w:val="18"/>
                <w:szCs w:val="18"/>
                <w:b w:val="1"/>
                <w:bCs w:val="1"/>
                <w:color w:val="auto"/>
              </w:rPr>
              <w:t>​</w:t>
            </w:r>
          </w:p>
        </w:tc>
        <w:tc>
          <w:tcPr>
            <w:tcW w:w="48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9"/>
              </w:rPr>
              <w:t>N/A</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Eyal Desheh</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11,014</w:t>
            </w:r>
          </w:p>
        </w:tc>
        <w:tc>
          <w:tcPr>
            <w:tcW w:w="1660" w:type="dxa"/>
            <w:vAlign w:val="bottom"/>
            <w:gridSpan w:val="6"/>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199,983​​ ​</w:t>
            </w:r>
            <w:r>
              <w:rPr>
                <w:rFonts w:ascii="Arial" w:cs="Arial" w:eastAsia="Arial" w:hAnsi="Arial"/>
                <w:sz w:val="18"/>
                <w:szCs w:val="18"/>
                <w:b w:val="1"/>
                <w:bCs w:val="1"/>
                <w:color w:val="auto"/>
              </w:rPr>
              <w:t>​</w:t>
            </w:r>
            <w:r>
              <w:rPr>
                <w:rFonts w:ascii="Arial" w:cs="Arial" w:eastAsia="Arial" w:hAnsi="Arial"/>
                <w:sz w:val="18"/>
                <w:szCs w:val="18"/>
                <w:color w:val="auto"/>
              </w:rPr>
              <w:t>210,997​</w:t>
            </w:r>
          </w:p>
        </w:tc>
      </w:tr>
      <w:tr>
        <w:trPr>
          <w:trHeight w:val="27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Jon M. Hunstman, Jr.</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11,014</w:t>
            </w: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199,983​​ ​</w:t>
            </w:r>
            <w:r>
              <w:rPr>
                <w:rFonts w:ascii="Arial" w:cs="Arial" w:eastAsia="Arial" w:hAnsi="Arial"/>
                <w:sz w:val="18"/>
                <w:szCs w:val="18"/>
                <w:b w:val="1"/>
                <w:bCs w:val="1"/>
                <w:color w:val="auto"/>
              </w:rPr>
              <w:t>​</w:t>
            </w:r>
            <w:r>
              <w:rPr>
                <w:rFonts w:ascii="Arial" w:cs="Arial" w:eastAsia="Arial" w:hAnsi="Arial"/>
                <w:sz w:val="18"/>
                <w:szCs w:val="18"/>
                <w:color w:val="auto"/>
              </w:rPr>
              <w:t>210,997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Claire C. McCaskill</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11,014</w:t>
            </w:r>
          </w:p>
        </w:tc>
        <w:tc>
          <w:tcPr>
            <w:tcW w:w="1660" w:type="dxa"/>
            <w:vAlign w:val="bottom"/>
            <w:gridSpan w:val="6"/>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199,983​​ ​</w:t>
            </w:r>
            <w:r>
              <w:rPr>
                <w:rFonts w:ascii="Arial" w:cs="Arial" w:eastAsia="Arial" w:hAnsi="Arial"/>
                <w:sz w:val="18"/>
                <w:szCs w:val="18"/>
                <w:b w:val="1"/>
                <w:bCs w:val="1"/>
                <w:color w:val="auto"/>
              </w:rPr>
              <w:t>​</w:t>
            </w:r>
            <w:r>
              <w:rPr>
                <w:rFonts w:ascii="Arial" w:cs="Arial" w:eastAsia="Arial" w:hAnsi="Arial"/>
                <w:sz w:val="18"/>
                <w:szCs w:val="18"/>
                <w:color w:val="auto"/>
              </w:rPr>
              <w:t>210,997​</w:t>
            </w:r>
          </w:p>
        </w:tc>
      </w:tr>
      <w:tr>
        <w:trPr>
          <w:trHeight w:val="27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Christine Pambianchi</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N/A​​ ​</w:t>
            </w:r>
            <w:r>
              <w:rPr>
                <w:rFonts w:ascii="Arial" w:cs="Arial" w:eastAsia="Arial" w:hAnsi="Arial"/>
                <w:sz w:val="18"/>
                <w:szCs w:val="18"/>
                <w:b w:val="1"/>
                <w:bCs w:val="1"/>
                <w:color w:val="auto"/>
              </w:rPr>
              <w:t>​</w:t>
            </w:r>
          </w:p>
        </w:tc>
        <w:tc>
          <w:tcPr>
            <w:tcW w:w="48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9"/>
              </w:rPr>
              <w:t>N/A</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Frank D. Yeary</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11,014</w:t>
            </w:r>
          </w:p>
        </w:tc>
        <w:tc>
          <w:tcPr>
            <w:tcW w:w="1660" w:type="dxa"/>
            <w:vAlign w:val="bottom"/>
            <w:gridSpan w:val="6"/>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199,983​​ ​</w:t>
            </w:r>
            <w:r>
              <w:rPr>
                <w:rFonts w:ascii="Arial" w:cs="Arial" w:eastAsia="Arial" w:hAnsi="Arial"/>
                <w:sz w:val="18"/>
                <w:szCs w:val="18"/>
                <w:b w:val="1"/>
                <w:bCs w:val="1"/>
                <w:color w:val="auto"/>
              </w:rPr>
              <w:t>​</w:t>
            </w:r>
            <w:r>
              <w:rPr>
                <w:rFonts w:ascii="Arial" w:cs="Arial" w:eastAsia="Arial" w:hAnsi="Arial"/>
                <w:sz w:val="18"/>
                <w:szCs w:val="18"/>
                <w:color w:val="auto"/>
              </w:rPr>
              <w:t>210,997​</w:t>
            </w:r>
          </w:p>
        </w:tc>
      </w:tr>
      <w:tr>
        <w:trPr>
          <w:trHeight w:val="27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Saf Yeboah-Amankwah</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N/A​​ ​</w:t>
            </w:r>
            <w:r>
              <w:rPr>
                <w:rFonts w:ascii="Arial" w:cs="Arial" w:eastAsia="Arial" w:hAnsi="Arial"/>
                <w:sz w:val="18"/>
                <w:szCs w:val="18"/>
                <w:b w:val="1"/>
                <w:bCs w:val="1"/>
                <w:color w:val="auto"/>
              </w:rPr>
              <w:t>​</w:t>
            </w:r>
          </w:p>
        </w:tc>
        <w:tc>
          <w:tcPr>
            <w:tcW w:w="48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9"/>
              </w:rPr>
              <w:t>N/A</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-1199515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-1199515</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-1199515</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459" w:hanging="360"/>
        <w:spacing w:after="0" w:line="263"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aggregate dollar amount of all fees earned or paid in cash to each non-employee director in fiscal year 2022 for their service as a director, including any annual retainer fees, committee and/or chair fees.</w:t>
      </w:r>
    </w:p>
    <w:p>
      <w:pPr>
        <w:spacing w:after="0" w:line="35" w:lineRule="exact"/>
        <w:rPr>
          <w:rFonts w:ascii="Arial" w:cs="Arial" w:eastAsia="Arial" w:hAnsi="Arial"/>
          <w:sz w:val="18"/>
          <w:szCs w:val="18"/>
          <w:color w:val="auto"/>
        </w:rPr>
      </w:pPr>
    </w:p>
    <w:p>
      <w:pPr>
        <w:ind w:left="1620" w:right="459" w:hanging="360"/>
        <w:spacing w:after="0" w:line="25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2022. The ME RSUs vest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8"/>
          <w:szCs w:val="18"/>
          <w:color w:val="auto"/>
        </w:rPr>
        <w:t>In addition to the director and executive officer compensation arrangements discussed above in the section entitled “Executive and Director Compensation,” this section describes transactions, or series of related transactions, during our last three fiscal years or currently proposed, to which we were a party or will be a party, in which:</w:t>
      </w:r>
    </w:p>
    <w:p>
      <w:pPr>
        <w:spacing w:after="0" w:line="73"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jc w:val="both"/>
        <w:ind w:left="1800" w:right="75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owners of more than 5% of any class of our capital stock, or any members of the immediate family of and any entity affiliated with any such person, had or will have a direct or indirect material interest.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Related Party Transactions</w:t>
      </w:r>
    </w:p>
    <w:p>
      <w:pPr>
        <w:spacing w:after="0" w:line="158" w:lineRule="exact"/>
        <w:rPr>
          <w:sz w:val="20"/>
          <w:szCs w:val="20"/>
          <w:color w:val="auto"/>
        </w:rPr>
      </w:pPr>
    </w:p>
    <w:p>
      <w:pPr>
        <w:jc w:val="both"/>
        <w:ind w:left="1260" w:right="439" w:firstLine="360"/>
        <w:spacing w:after="0" w:line="249" w:lineRule="auto"/>
        <w:rPr>
          <w:sz w:val="20"/>
          <w:szCs w:val="20"/>
          <w:color w:val="auto"/>
        </w:rPr>
      </w:pPr>
      <w:r>
        <w:rPr>
          <w:rFonts w:ascii="Arial" w:cs="Arial" w:eastAsia="Arial" w:hAnsi="Arial"/>
          <w:sz w:val="18"/>
          <w:szCs w:val="18"/>
          <w:color w:val="auto"/>
        </w:rPr>
        <w:t>Prior to the Mobileye IPO, we operated as part of Intel’s broader corporate organization rather than as a standalone public company. Intel has performed or supported various corporate services for us, and we have engaged in various transactions with Intel. The previous arrangements we had with Intel and/or other related persons are described below.</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Conversion Arrangements for Purposes of Funding Acquisitions</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 There was no outstanding principal or interest balance as of December 31, 2022, December 25, 2021 and December 26, 2020. Interest expense recognized by us totaled $0 million, $0 million and $1 million for the years ended December 31, 2022, December 25, 2021 and December 26, 2020, respectively.</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Loan Arrangements</w:t>
      </w:r>
    </w:p>
    <w:p>
      <w:pPr>
        <w:spacing w:after="0" w:line="14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We entered into a series of bilateral lending/borrowing arrangements with Intel. The purposes of the facilities were to enable bilateral cash movements between the parties. The arrangements were denominated in U.S dollars.</w:t>
      </w:r>
    </w:p>
    <w:p>
      <w:pPr>
        <w:spacing w:after="0" w:line="107"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 2017, we and Intel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was automatically renewed to December 2022. On October 25, 2022, Arrangement 1 was terminated.</w:t>
      </w:r>
    </w:p>
    <w:p>
      <w:pPr>
        <w:spacing w:after="0" w:line="11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In 2017, we and Intel entered into a bilateral lending/borrowing arrangement (“Arrangement 2”) to make cash available to either party up to an aggregate principal amount of $750 million. Arrangement 2 has a mechanism for automatic renewal for additional periods of one year each. In March 2022, Arrangement 2 was amended to increase the aggregate principal amount from $750 million to $1.0 billion and the maturity date was extended to March 2023. On March 7, 2023, Arrangement 2 was terminated.</w:t>
      </w:r>
    </w:p>
    <w:p>
      <w:pPr>
        <w:spacing w:after="0" w:line="103"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7"/>
          <w:szCs w:val="17"/>
          <w:color w:val="auto"/>
        </w:rPr>
        <w:t>In 2021, we and Intel entered into a bilateral lending/borrowing arrangement (“Arrangement 3” and, together with Arrangement 1 and Arrangement 2, the “Bilateral Loan Arrangements”) to make cash available to either party up to an aggregate principal amount of $100 million. Arrangement 3 had a maturity date of July 2022 with a mechanism for automatic renewal for additional periods of one year. In</w:t>
      </w:r>
    </w:p>
    <w:p>
      <w:pPr>
        <w:spacing w:after="0" w:line="1"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On October 25, 2022, Arrangement 3 was terminated.</w:t>
      </w: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8"/>
          <w:szCs w:val="18"/>
          <w:color w:val="auto"/>
        </w:rPr>
        <w:t>The total outstanding balance under the Bilateral Loan Arrangements was zero and $1.3 billion as of December 31, 2022 and December 25, 2021, respectively. Interest income recognized by us related to the Bilateral Loan Arrangements totaled $18 million, $3 million and $6 million for the year ended December 31, 2022, December 25, 2021 and December 26, 2020, respectively.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Note</w:t>
      </w:r>
    </w:p>
    <w:p>
      <w:pPr>
        <w:spacing w:after="0" w:line="15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7"/>
          <w:szCs w:val="17"/>
          <w:color w:val="auto"/>
        </w:rPr>
        <w:t>On April 21, 2022, we and Intel signed a loan agreement whereby we agreed to issue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would also be payable upon any prepayment, whether in whole or in part, to the extent accrued on the amount being prepaid and upon maturity. Under the Dividend Note, we had the right, at our option, on any business day, to prepay the loan, including principal and any accrued interest thereon, in whole or in part without premium or penalty. In November 2022, we used approximately $0.9 billion out of the net proceeds from the Mobileye IPO to repay a portion of the indebtedness under the Dividend Note and Intel contributed to us the remaining portion of the Dividend Note (plus related accrued interest) in the amount of</w:t>
      </w:r>
    </w:p>
    <w:p>
      <w:pPr>
        <w:spacing w:after="0" w:line="3" w:lineRule="exact"/>
        <w:rPr>
          <w:sz w:val="20"/>
          <w:szCs w:val="20"/>
          <w:color w:val="auto"/>
        </w:rPr>
      </w:pPr>
    </w:p>
    <w:p>
      <w:pPr>
        <w:ind w:left="1260" w:right="559"/>
        <w:spacing w:after="0" w:line="306" w:lineRule="auto"/>
        <w:rPr>
          <w:sz w:val="20"/>
          <w:szCs w:val="20"/>
          <w:color w:val="auto"/>
        </w:rPr>
      </w:pPr>
      <w:r>
        <w:rPr>
          <w:rFonts w:ascii="Arial" w:cs="Arial" w:eastAsia="Arial" w:hAnsi="Arial"/>
          <w:sz w:val="17"/>
          <w:szCs w:val="17"/>
          <w:color w:val="auto"/>
        </w:rPr>
        <w:t>$2.6 billion, such that no amounts under the Dividend Note remain owed by us to Intel as of December 31, 2022. Interest expense recognized by us totaled $24 million for the year ended December 31, 2022.</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Dividend and Capital Distribution</w:t>
      </w:r>
    </w:p>
    <w:p>
      <w:pPr>
        <w:spacing w:after="0" w:line="14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8"/>
          <w:szCs w:val="18"/>
          <w:color w:val="auto"/>
        </w:rPr>
        <w:t>In connection with the Reorganization, on May 12, 2022, we declared and paid a dividend in an aggregate amount of $336 million to Intel, net of $14 million of cash paid to tax authorities to settle related tax obligations. In addition, prior to the Mobileye IPO in October 2022, we made a capital distribution to Intel in the amount of $1.1 million.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Compensation Recharge Agreement</w:t>
      </w:r>
    </w:p>
    <w:p>
      <w:pPr>
        <w:spacing w:after="0" w:line="15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7"/>
          <w:szCs w:val="17"/>
          <w:color w:val="auto"/>
        </w:rPr>
        <w:t>On August 8, 2017, we entered into a stock compensation recharge agreement with Intel, which requires us to reimburse Intel for certain amounts relating to the value of share-based compensation provided to our employees for RSUs or stock options exercisable in Intel stock. The reimbursement amounts recorded as an adjustment to additional paid-in capital in the consolidated statements of equity were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$118 million, $162 million and $78 million for 2022, 2021 and 2020, respectively.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Hedging Services</w:t>
      </w:r>
    </w:p>
    <w:p>
      <w:pPr>
        <w:spacing w:after="0" w:line="144"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color w:val="auto"/>
        </w:rPr>
        <w:t>At the beginning of 2021, we entered into a hedging services agreement with Intel, according to which we are entitled to a certain allocation of the gains and obligated to a certain allocation of the losses arising from the execution of hedging contracts entered into by Intel to hedge its forecasted cash flow exposure to changes in the U.S. Dollar / New Israeli Shekel exchange rate. In October 2022, we de-designated our outstanding hedge instruments and will no longer participate in the hedging services agreement with Intel. The payments to Intel for these services were immaterial. As of October 25, 2022, Mobileye is no longer a party to this agreement.</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Development Services</w:t>
      </w:r>
    </w:p>
    <w:p>
      <w:pPr>
        <w:spacing w:after="0" w:line="158"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8"/>
          <w:szCs w:val="18"/>
          <w:color w:val="auto"/>
        </w:rPr>
        <w:t>We have historically relied on Intel to provide certain development services, including research, technical work on technology, products and solutions, construction and ancillary administrative services. The Company paid for these services on a quarterly basis. Following our recruitment of certain employees relating to the Mobileye business from Intel during 2022, and the intercompany agreements that came into effect upon consummation of the Mobileye IPO, the agreement for development services was terminated on October 25, 2022.</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Travel Related Expenses</w:t>
      </w:r>
    </w:p>
    <w:p>
      <w:pPr>
        <w:spacing w:after="0" w:line="14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We have reimbursed our Chief Executive Officer for reasonable travel related expenses incurred while conducting business on behalf of our company. For 2022, 2021 and 2020, travel related reimbursements were $1.0 million, $1.1 million and $0.5 million,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Cross-License Agreement</w:t>
      </w:r>
    </w:p>
    <w:p>
      <w:pPr>
        <w:spacing w:after="0" w:line="158"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We are party to an agreement with Intel (which we refer to herein as the Cross-License Agreement)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w:t>
      </w:r>
    </w:p>
    <w:p>
      <w:pPr>
        <w:spacing w:after="0" w:line="7" w:lineRule="exact"/>
        <w:rPr>
          <w:sz w:val="20"/>
          <w:szCs w:val="20"/>
          <w:color w:val="auto"/>
        </w:rPr>
      </w:pPr>
    </w:p>
    <w:p>
      <w:pPr>
        <w:ind w:left="1260" w:right="439"/>
        <w:spacing w:after="0" w:line="252" w:lineRule="auto"/>
        <w:tabs>
          <w:tab w:leader="none" w:pos="15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Entered into in Connection with our Initial Public Offering</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Transfers of Assets</w:t>
      </w:r>
    </w:p>
    <w:p>
      <w:pPr>
        <w:spacing w:after="0" w:line="158"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In connection with the Reorganization, we acquired from Intel in a series of transfers in 2022 certain assets related to our business for an aggregate amount of approximately $8 million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$900 million that was paid in December 2022 to Intel using cash that we concurrently received from Intel’s payment of such amount it owes us under the Bilateral Loan Arrangements.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Facilities Arrangements</w:t>
      </w:r>
    </w:p>
    <w:p>
      <w:pPr>
        <w:spacing w:after="0" w:line="14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Under lease arrangements with Intel, we lease office space in Intel’s buildings in certain locations, including in Israel, the United States, Germany and China. The leasing costs for the years ended December 31, 2022, December 25, 2021 and December 26, 2020 were $3 million, $1.5 million and $1.5 million, respectively.</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Contribution and Subscription Agreement</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Intercompany Agreements</w:t>
      </w:r>
    </w:p>
    <w:p>
      <w:pPr>
        <w:spacing w:after="0" w:line="158"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In connection with the Mobileye IPO, we entered into the following intercompany agreements (the “Intercompany Agreements”) with Intel that provides a framework for our ongoing relationship with Intel.</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Master Transaction Agreement contains key provisions relating to our ongoing relationship with Intel. The Master Transaction Agreement also contains agreements relating to the conduct of the Mobileye IPO and future transactions, and will govern the relationship between Intel and us subsequent to the Mobileye IPO.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8"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i w:val="1"/>
          <w:iCs w:val="1"/>
          <w:color w:val="auto"/>
        </w:rPr>
        <w:t xml:space="preserve">Registration Rights. </w:t>
      </w:r>
      <w:r>
        <w:rPr>
          <w:rFonts w:ascii="Arial" w:cs="Arial" w:eastAsia="Arial" w:hAnsi="Arial"/>
          <w:sz w:val="17"/>
          <w:szCs w:val="17"/>
          <w:color w:val="auto"/>
        </w:rPr>
        <w:t>We have provided Intel, after the date that is 180 days after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Mobileye IPO or such earlier date as provided in the Master Transaction Agreement, with certain registration rights to register our common stock, because the shares of our common stock held by Intel after the Mobileye IPO are deemed “restricted securities” as defined in Rule 144 under the Securities Act of 1933, as amended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the Mobileye IPO, or subsequently acquired, for public sale under the Securities Act on a registration statement on Form S-1 or any similar long form registration statement (a “Long-Form Registration”) or on a registration statement on Form S-3 or any similar short form registration statement at such time Mobileye qualifies to use such short from registration statement (a “Short-Form Registration”). Intel may initially request up to two Long- Form Registrations in any calendar year and three Short-Form Registrations, though no Long-Form Registrations may be requested in any calendar year after such time as we are eligible to use Form S-3. This offering is being conducted pursuant to a “demand” from Intel.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13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i w:val="1"/>
          <w:iCs w:val="1"/>
          <w:color w:val="auto"/>
        </w:rPr>
        <w:t xml:space="preserve">Future Distributions. </w:t>
      </w:r>
      <w:r>
        <w:rPr>
          <w:rFonts w:ascii="Arial" w:cs="Arial" w:eastAsia="Arial" w:hAnsi="Arial"/>
          <w:sz w:val="18"/>
          <w:szCs w:val="18"/>
          <w:color w:val="auto"/>
        </w:rPr>
        <w:t>We will cooperate with Intel, at its request, to accomplish a distribution by Intel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29"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7"/>
          <w:szCs w:val="17"/>
          <w:i w:val="1"/>
          <w:iCs w:val="1"/>
          <w:color w:val="auto"/>
        </w:rPr>
        <w:t xml:space="preserve">Most Favored Status. </w:t>
      </w:r>
      <w:r>
        <w:rPr>
          <w:rFonts w:ascii="Arial" w:cs="Arial" w:eastAsia="Arial" w:hAnsi="Arial"/>
          <w:sz w:val="17"/>
          <w:szCs w:val="17"/>
          <w:color w:val="auto"/>
        </w:rPr>
        <w:t>So long as Intel beneficially owns at least 20% of our common stock,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sell Intel our commercially available products, including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benefits provided between us and Intel shall be comparable to or better than the equivalent terms being offered by the party providing the products to any single, present customer of such party.</w:t>
      </w:r>
    </w:p>
    <w:p>
      <w:pPr>
        <w:spacing w:after="0" w:line="8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i w:val="1"/>
          <w:iCs w:val="1"/>
          <w:color w:val="auto"/>
        </w:rPr>
        <w:t xml:space="preserve">Anti-Dilution Option. </w:t>
      </w:r>
      <w:r>
        <w:rPr>
          <w:rFonts w:ascii="Arial" w:cs="Arial" w:eastAsia="Arial" w:hAnsi="Arial"/>
          <w:sz w:val="17"/>
          <w:szCs w:val="17"/>
          <w:color w:val="auto"/>
        </w:rPr>
        <w:t>We have granted Intel a continuing right to purchase from us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w:t>
      </w:r>
    </w:p>
    <w:p>
      <w:pPr>
        <w:spacing w:after="0" w:line="11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 xml:space="preserve">Indemnification. </w:t>
      </w:r>
      <w:r>
        <w:rPr>
          <w:rFonts w:ascii="Arial" w:cs="Arial" w:eastAsia="Arial" w:hAnsi="Arial"/>
          <w:sz w:val="17"/>
          <w:szCs w:val="17"/>
          <w:color w:val="auto"/>
        </w:rPr>
        <w:t>We and Intel have agreed to cross-indemnities that generally place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a prospectus or the registration statement of which it is a part relating to an offering of our shares by Intel, except for misstatements or omissions of material fact relating to information that Intel provided to us specifically for inclusion in such prospectus or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the Mobileye IPO,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a prospectus or the registration statement of which it forms a part relating to an offering of our shares by Intel, to the extent that such information pertains to Intel or Intel’s business. Intel will also indemnify us against liabilities arising from information Intel provides to us specifically for inclusion in our annual or quarterly reports following the completion of the Mobileye IPO,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29"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i w:val="1"/>
          <w:iCs w:val="1"/>
          <w:color w:val="auto"/>
        </w:rPr>
        <w:t xml:space="preserve">Release. </w:t>
      </w:r>
      <w:r>
        <w:rPr>
          <w:rFonts w:ascii="Arial" w:cs="Arial" w:eastAsia="Arial" w:hAnsi="Arial"/>
          <w:sz w:val="16"/>
          <w:szCs w:val="16"/>
          <w:color w:val="auto"/>
        </w:rPr>
        <w:t>The Master Transaction Agreement contains a general release for liabilities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events occurring on or before the time of the Mobileye IPO. Under this provision, we agreed to release Intel and its subsidiaries, successors and assigns, and Intel agreed to release us and our subsidiaries, successors and assigns, from any liabilities arising from past events between us on the one hand, and Intel on the other hand, occurring on or before the time of the Mobileye IPO, including in connection with the activities to</w:t>
      </w:r>
    </w:p>
    <w:p>
      <w:pPr>
        <w:sectPr>
          <w:pgSz w:w="11900" w:h="16838" w:orient="portrait"/>
          <w:cols w:equalWidth="0" w:num="1">
            <w:col w:w="9879"/>
          </w:cols>
          <w:pgMar w:left="580" w:top="90" w:right="1440" w:bottom="1440" w:gutter="0" w:footer="0" w:header="0"/>
        </w:sectPr>
      </w:pP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implement the Mobileye IPO. The general release does not apply to liabilities allocated between the parties under the Master Transaction Agreement or other Intercompany Agreements or to specified ongoing contractual arrangements.</w:t>
      </w:r>
    </w:p>
    <w:p>
      <w:pPr>
        <w:spacing w:after="0" w:line="103"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i w:val="1"/>
          <w:iCs w:val="1"/>
          <w:color w:val="auto"/>
        </w:rPr>
        <w:t xml:space="preserve">Accounting Matters. </w:t>
      </w:r>
      <w:r>
        <w:rPr>
          <w:rFonts w:ascii="Arial" w:cs="Arial" w:eastAsia="Arial" w:hAnsi="Arial"/>
          <w:sz w:val="17"/>
          <w:szCs w:val="17"/>
          <w:color w:val="auto"/>
        </w:rPr>
        <w:t>For so long as Intel provides us with accounting and financial services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Services Agreement that we have entered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1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Legal Policies. </w:t>
      </w:r>
      <w:r>
        <w:rPr>
          <w:rFonts w:ascii="Arial" w:cs="Arial" w:eastAsia="Arial" w:hAnsi="Arial"/>
          <w:sz w:val="18"/>
          <w:szCs w:val="18"/>
          <w:color w:val="auto"/>
        </w:rPr>
        <w:t>Until the later of Intel ceasing to be a “controlling person” of us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pacing w:after="0" w:line="125"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i w:val="1"/>
          <w:iCs w:val="1"/>
          <w:color w:val="auto"/>
        </w:rPr>
        <w:t xml:space="preserve">Non-Solicitation. </w:t>
      </w:r>
      <w:r>
        <w:rPr>
          <w:rFonts w:ascii="Arial" w:cs="Arial" w:eastAsia="Arial" w:hAnsi="Arial"/>
          <w:sz w:val="17"/>
          <w:szCs w:val="17"/>
          <w:color w:val="auto"/>
        </w:rPr>
        <w:t>For a period of two years following the closing of the Mobileye IPO, we and Intel</w:t>
      </w:r>
      <w:r>
        <w:rPr>
          <w:rFonts w:ascii="Arial" w:cs="Arial" w:eastAsia="Arial" w:hAnsi="Arial"/>
          <w:sz w:val="17"/>
          <w:szCs w:val="17"/>
          <w:i w:val="1"/>
          <w:iCs w:val="1"/>
          <w:color w:val="auto"/>
        </w:rPr>
        <w:t xml:space="preserve"> </w:t>
      </w:r>
      <w:r>
        <w:rPr>
          <w:rFonts w:ascii="Arial" w:cs="Arial" w:eastAsia="Arial" w:hAnsi="Arial"/>
          <w:sz w:val="17"/>
          <w:szCs w:val="17"/>
          <w:color w:val="auto"/>
        </w:rPr>
        <w:t>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90"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i w:val="1"/>
          <w:iCs w:val="1"/>
          <w:color w:val="auto"/>
        </w:rPr>
        <w:t xml:space="preserve">Remaining Intel Awards. </w:t>
      </w:r>
      <w:r>
        <w:rPr>
          <w:rFonts w:ascii="Arial" w:cs="Arial" w:eastAsia="Arial" w:hAnsi="Arial"/>
          <w:sz w:val="18"/>
          <w:szCs w:val="18"/>
          <w:color w:val="auto"/>
        </w:rPr>
        <w:t>All outstanding options to purchase shares of Intel and all other Intel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 xml:space="preserve">Minimum Cash Requirement. </w:t>
      </w:r>
      <w:r>
        <w:rPr>
          <w:rFonts w:ascii="Arial" w:cs="Arial" w:eastAsia="Arial" w:hAnsi="Arial"/>
          <w:sz w:val="18"/>
          <w:szCs w:val="18"/>
          <w:color w:val="auto"/>
        </w:rPr>
        <w:t>Immediately after completion of the Mobileye IPO and on a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basis after all expenses of the offering have been paid (and after giving effect to any repayment of any indebtedness by us to Intel and any other transactions contemplated to occur substantially concurrently with the Mobileye IPO), Intel agreed to ensure that we would have $1.0 billion cash, cash equivalents, or marketable securities.</w:t>
      </w:r>
    </w:p>
    <w:p>
      <w:pPr>
        <w:spacing w:after="0" w:line="12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i w:val="1"/>
          <w:iCs w:val="1"/>
          <w:color w:val="auto"/>
        </w:rPr>
        <w:t xml:space="preserve">Notifiable Transactions. </w:t>
      </w:r>
      <w:r>
        <w:rPr>
          <w:rFonts w:ascii="Arial" w:cs="Arial" w:eastAsia="Arial" w:hAnsi="Arial"/>
          <w:sz w:val="17"/>
          <w:szCs w:val="17"/>
          <w:color w:val="auto"/>
        </w:rPr>
        <w:t>Intel will use commercially reasonable efforts to provide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44"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Under the Administrative Services Agreement, Intel provides us with administrative, financial, legal, tax, and other services. Intel provides such services to us with substantially the same degree of skill and care as such services have been provided to us during the twelve months prior to the date of the Mobileye IPO. We will pay fees to Intel for the services rendered based on pricing per service agreed between us and Intel.</w:t>
      </w:r>
    </w:p>
    <w:p>
      <w:pPr>
        <w:spacing w:after="0" w:line="10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initial term of the Administrative Services Agreement will expire two years from the completion of the Mobileye IPO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to Intel, or if Intel fails to perform any of its material obligations under the Administrative Services Agreement and such failure continues for at least thirty days after receipt by Intel of written notice of such failure from Mobileye.</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costs incurred under this agreement for the year ended December 31, 2022 were $3 million.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The Employee Matters Agreement allocates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Technology and Services Agreement</w:t>
      </w:r>
    </w:p>
    <w:p>
      <w:pPr>
        <w:spacing w:after="0" w:line="158"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The Technology and Services Agreement provides a framework for the collaboration on technology projects and services between us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for which the LiDAR Product Collaboration Agreement will apply. Pursuant to the Technology and Services Agreement, we and Intel will agree to statements of work with additional terms for Technology Projects.</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falls within a defined field related to Intel’s business (including technology related to certain semiconductor, radar, lidar,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w:t>
      </w:r>
    </w:p>
    <w:p>
      <w:pPr>
        <w:spacing w:after="0" w:line="11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Intel owns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the Mobileye IPO, primarily</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color w:val="auto"/>
        </w:rPr>
        <w:t>related to their work on certain radar technology. Intel will assign back to us certain intellectual property rights to a certain subset of radar technology created by our employees after the completion of the Mobileye IPO. Intel will grant us worldwide, perpetual, irrevocable, royalty-free licenses under certain intellectual property rights to certain radar technology for the purpose of our development and manufacturing of certain types of external environment-sensing radar sensor products for ADAS and AV in automobiles.</w:t>
      </w:r>
    </w:p>
    <w:p>
      <w:pPr>
        <w:spacing w:after="0" w:line="103"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has a term of two years, and will automatically renew for one-year renewal periods, unless the agreement is terminated for a party’s material breach, a party’s bankruptcy or insolvency, or advance notice of non-renewal is given.</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amount incurred under this agreement for the year ended December 31, 2022 was $0.4 million.</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LiDAR Product Collaboration Agreement</w:t>
      </w:r>
    </w:p>
    <w:p>
      <w:pPr>
        <w:spacing w:after="0" w:line="158"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The LiDAR Product Collaboration Agreement provides the terms that will apply to our collaboration with Intel for the development and manufacture of a lidar sensor system for ADAS and AV in automobiles (“LiDAR Projects”). On some of the LiDAR Projects joint funding will apply between Intel and Mobileye until the end of 2027, so Mobileye will bear its own Lidar sensor system development costs up to the first $40 million per year and Intel will bear up to $20 million per year of Mobileye’s Lidar sensor system development costs that are greater than $40 million per year.</w:t>
      </w:r>
    </w:p>
    <w:p>
      <w:pPr>
        <w:spacing w:after="0" w:line="120"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The LiDAR Product Collaboration Agreement further provides that Intel will manufacture certain components (silicon photonics integrated circuits and grating and mirrors) for us to market and sell as part of a frequency-modulated continuous wave (“FMCW”)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 The price for the components Intel will manufacture for us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Pursuant to the LiDAR Product Collaboration Agreement, Intel has granted us a worldwide, royalty-free license under certain trade secret rights and copyrights for certain identified lidar technology for internal development of an external environment- sensing FMCW lidar sensor system for ADAS and AV solely for a LiDAR Project and subject to certain project restrictions. We will own the intellectual property rights to certain new system technology for FMCW lidar sensor systems created solely by our personnel under the LiDAR Product Collaboration Agreement that is developed after the completion of the Mobileye IPO, and will grant to Intel a worldwide, royalty-free license under certain trade secret rights and copyrights for the system technology to use, copy and modify the system technology solely for a LiDAR Project. Intel will own all other new technology created during the term of the LiDAR Product Collaboration Agreement which falls into a defined category of lidar and other technology, and we will assign to Intel our intellectual property rights in this technology and certain lidar technology which our personnel created before the completion of the Mobileye IPO (primarily technology based on Intel’s own technology). Intellectual property rights in other technology developed under LiDAR Projects will be solely owned if the technology was solely created by a party, and for any jointly created intellectual property rights the parties will jointly own copyright and trade secrets, and allocate and license patent rights between them.</w:t>
      </w:r>
    </w:p>
    <w:p>
      <w:pPr>
        <w:spacing w:after="0" w:line="10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The LiDAR Product Collaboration Agreement includes confidentiality restrictions with respect to LiDAR Projects and related technology and a limited Intel non-compete with respect to certain lidar technology for a period of up to five years from the effective date of the agreement. Except with respect to claims of infringement of intellectual property rights, breaches of a license or confidentiality obligations, or</w:t>
      </w: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any liability which cannot be limited under applicable law, any liability of the parties to one another under the LiDAR Product Collaboration Agreement will be capped to the aggregate amounts paid or payable by us to Intel under the agreement for any development services. The LiDAR Product Collaboration Agreement will have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19"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There were no amounts received or receivable from Intel under this agreement for the year ended December 31, 2022.</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44"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We have been previously included in the Consolidated Group and in certain other Combined Groups. Pursuant to the Tax Sharing Agreement, we will generally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a written calculation in reasonable detail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2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Intel will be primarily responsible for controlling and contesting any audit or other tax proceeding.</w:t>
      </w:r>
    </w:p>
    <w:p>
      <w:pPr>
        <w:spacing w:after="0" w:line="12"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color w:val="auto"/>
        </w:rPr>
        <w:t>Disputes arising between the parties relating to matters covered by the Tax Sharing Agreement are subject to resolution through specific dispute resolution provisions.</w:t>
      </w:r>
    </w:p>
    <w:p>
      <w:pPr>
        <w:spacing w:after="0" w:line="106"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7"/>
          <w:szCs w:val="17"/>
          <w:color w:val="auto"/>
        </w:rPr>
        <w:t>We have been included in the Consolidated Group for the most recent annual period. It is expected that we will be included in the Consolidated Group going forward.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3"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color w:val="auto"/>
        </w:rPr>
        <w:t>We and Intel have agreed to set forth our respective rights, responsibilities and obligations with respect to any possible spin-off in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 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 -off failing to qualify as a tax-free spin-off. In addition, we generally would be responsible for, among other things, (i) any taxes resulting from the failure of a spin- off to qualify as a tax- 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w:t>
      </w:r>
    </w:p>
    <w:p>
      <w:pPr>
        <w:spacing w:after="0" w:line="111"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As of December 31, 2022, the related party payable to Intel pursuant to the tax sharing agreement was $34 million.</w:t>
      </w: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board of directors has adopted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entered into indemnification agreements with each of our directors and executive officers in connection with the Mobileye IPO, which, among other things, require us to indemnify each director and executive officer to the fullest extent permitted by applicable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PRINCIPAL AND SELLING STOCKHOLDERS</w:t>
      </w:r>
    </w:p>
    <w:p>
      <w:pPr>
        <w:spacing w:after="0" w:line="148" w:lineRule="exact"/>
        <w:rPr>
          <w:sz w:val="20"/>
          <w:szCs w:val="20"/>
          <w:color w:val="auto"/>
        </w:rPr>
      </w:pPr>
    </w:p>
    <w:p>
      <w:pPr>
        <w:ind w:left="1260" w:right="1200"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March 1, 2023 by:</w:t>
      </w:r>
    </w:p>
    <w:p>
      <w:pPr>
        <w:spacing w:after="0" w:line="62"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17" w:lineRule="exact"/>
        <w:rPr>
          <w:rFonts w:ascii="Arial" w:cs="Arial" w:eastAsia="Arial" w:hAnsi="Arial"/>
          <w:sz w:val="18"/>
          <w:szCs w:val="18"/>
          <w:color w:val="auto"/>
        </w:rPr>
      </w:pPr>
    </w:p>
    <w:p>
      <w:pPr>
        <w:ind w:left="1800" w:right="1120"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the outstanding shares of any class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individually;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ind w:left="1260" w:right="840" w:firstLine="360"/>
        <w:spacing w:after="0" w:line="253" w:lineRule="auto"/>
        <w:rPr>
          <w:sz w:val="20"/>
          <w:szCs w:val="20"/>
          <w:color w:val="auto"/>
        </w:rPr>
      </w:pPr>
      <w:r>
        <w:rPr>
          <w:rFonts w:ascii="Arial" w:cs="Arial" w:eastAsia="Arial" w:hAnsi="Arial"/>
          <w:sz w:val="18"/>
          <w:szCs w:val="18"/>
          <w:color w:val="auto"/>
        </w:rPr>
        <w:t>The number of shares of common stock outstanding before this offering and the corresponding percentage of beneficial ownership are based on 51,911,905 shares of our Class A common stock and 750,000,000 shares of our Class B common stock outstanding as of March 1, 2023. The number of shares of common stock outstanding after this offering and the corresponding percentage of beneficial ownership are based on the number of shares of common stock issued and outstanding as of March 1, 2023, and are shown assuming no exercise of the underwriters’ option to purchase additional shares. If the underwriters exercise their option to purchase additional shares from the selling stockholder in full, the selling stockholder would hold shares representing approximately       % of the voting power of our common stock following the completion of the offering.</w:t>
      </w:r>
    </w:p>
    <w:p>
      <w:pPr>
        <w:spacing w:after="0" w:line="129" w:lineRule="exact"/>
        <w:rPr>
          <w:sz w:val="20"/>
          <w:szCs w:val="20"/>
          <w:color w:val="auto"/>
        </w:rPr>
      </w:pPr>
    </w:p>
    <w:p>
      <w:pPr>
        <w:ind w:left="1260" w:right="800" w:firstLine="3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March 1, 2023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15"/>
          </w:tcPr>
          <w:p>
            <w:pPr>
              <w:jc w:val="center"/>
              <w:ind w:left="108"/>
              <w:spacing w:after="0"/>
              <w:rPr>
                <w:sz w:val="20"/>
                <w:szCs w:val="20"/>
                <w:color w:val="auto"/>
              </w:rPr>
            </w:pPr>
            <w:r>
              <w:rPr>
                <w:rFonts w:ascii="Arial" w:cs="Arial" w:eastAsia="Arial" w:hAnsi="Arial"/>
                <w:sz w:val="14"/>
                <w:szCs w:val="14"/>
                <w:b w:val="1"/>
                <w:bCs w:val="1"/>
                <w:color w:val="auto"/>
                <w:w w:val="87"/>
              </w:rPr>
              <w:t>Shares of Common Stock Beneficially Owned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16"/>
          </w:tcPr>
          <w:p>
            <w:pPr>
              <w:jc w:val="center"/>
              <w:ind w:right="8"/>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Before this Offering</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After this Offering</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Voting</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Power Pre-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PowerPost-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12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 of Class</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Common 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86"/>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 Offered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9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9"/>
                <w:szCs w:val="19"/>
                <w:color w:val="auto"/>
              </w:rPr>
            </w:pPr>
          </w:p>
        </w:tc>
        <w:tc>
          <w:tcPr>
            <w:tcW w:w="560" w:type="dxa"/>
            <w:vAlign w:val="bottom"/>
            <w:gridSpan w:val="4"/>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Class </w:t>
            </w:r>
            <w:r>
              <w:rPr>
                <w:rFonts w:ascii="Arial" w:cs="Arial" w:eastAsia="Arial" w:hAnsi="Arial"/>
                <w:sz w:val="26"/>
                <w:szCs w:val="26"/>
                <w:b w:val="1"/>
                <w:bCs w:val="1"/>
                <w:color w:val="auto"/>
                <w:vertAlign w:val="subscript"/>
              </w:rPr>
              <w:t>​​</w:t>
            </w:r>
          </w:p>
        </w:tc>
        <w:tc>
          <w:tcPr>
            <w:tcW w:w="100" w:type="dxa"/>
            <w:vAlign w:val="bottom"/>
          </w:tcPr>
          <w:p>
            <w:pPr>
              <w:spacing w:after="0"/>
              <w:rPr>
                <w:sz w:val="19"/>
                <w:szCs w:val="19"/>
                <w:color w:val="auto"/>
              </w:rPr>
            </w:pPr>
          </w:p>
        </w:tc>
        <w:tc>
          <w:tcPr>
            <w:tcW w:w="1220" w:type="dxa"/>
            <w:vAlign w:val="bottom"/>
            <w:gridSpan w:val="7"/>
          </w:tcPr>
          <w:p>
            <w:pPr>
              <w:jc w:val="right"/>
              <w:spacing w:after="0" w:line="22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p>
        </w:tc>
        <w:tc>
          <w:tcPr>
            <w:tcW w:w="4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Shares</w:t>
            </w:r>
          </w:p>
        </w:tc>
        <w:tc>
          <w:tcPr>
            <w:tcW w:w="500" w:type="dxa"/>
            <w:vAlign w:val="bottom"/>
            <w:gridSpan w:val="4"/>
          </w:tcPr>
          <w:p>
            <w:pPr>
              <w:ind w:left="2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w:t>
            </w:r>
          </w:p>
        </w:tc>
        <w:tc>
          <w:tcPr>
            <w:tcW w:w="1020" w:type="dxa"/>
            <w:vAlign w:val="bottom"/>
            <w:gridSpan w:val="8"/>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Selling Stockholder</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6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b w:val="1"/>
                <w:bCs w:val="1"/>
                <w:i w:val="1"/>
                <w:iCs w:val="1"/>
                <w:color w:val="auto"/>
              </w:rPr>
              <w:t>​</w:t>
            </w:r>
          </w:p>
        </w:tc>
        <w:tc>
          <w:tcPr>
            <w:tcW w:w="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Borders>
              <w:righ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Borders>
              <w:right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8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4"/>
                <w:szCs w:val="14"/>
                <w:color w:val="auto"/>
              </w:rPr>
              <w:t>Intel Corporation</w:t>
            </w:r>
            <w:r>
              <w:rPr>
                <w:rFonts w:ascii="Arial" w:cs="Arial" w:eastAsia="Arial" w:hAnsi="Arial"/>
                <w:sz w:val="17"/>
                <w:szCs w:val="17"/>
                <w:color w:val="auto"/>
                <w:vertAlign w:val="superscript"/>
              </w:rPr>
              <w:t>(1)</w:t>
            </w:r>
          </w:p>
        </w:tc>
        <w:tc>
          <w:tcPr>
            <w:tcW w:w="1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2"/>
              </w:rPr>
              <w:t>750,000,000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4"/>
          </w:tcPr>
          <w:p>
            <w:pPr>
              <w:ind w:left="4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99.3%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6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80" w:type="dxa"/>
            <w:vAlign w:val="bottom"/>
            <w:gridSpan w:val="4"/>
          </w:tcPr>
          <w:p>
            <w:pPr>
              <w:ind w:left="80"/>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ind w:left="200"/>
              <w:spacing w:after="0" w:line="68" w:lineRule="exact"/>
              <w:rPr>
                <w:sz w:val="20"/>
                <w:szCs w:val="20"/>
                <w:color w:val="auto"/>
              </w:rPr>
            </w:pPr>
            <w:r>
              <w:rPr>
                <w:rFonts w:ascii="Arial" w:cs="Arial" w:eastAsia="Arial" w:hAnsi="Arial"/>
                <w:sz w:val="7"/>
                <w:szCs w:val="7"/>
                <w:color w:val="auto"/>
              </w:rPr>
              <w:t>​</w:t>
            </w:r>
          </w:p>
        </w:tc>
        <w:tc>
          <w:tcPr>
            <w:tcW w:w="3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tcPr>
          <w:p>
            <w:pPr>
              <w:jc w:val="right"/>
              <w:ind w:right="40"/>
              <w:spacing w:after="0" w:line="68" w:lineRule="exact"/>
              <w:rPr>
                <w:sz w:val="20"/>
                <w:szCs w:val="20"/>
                <w:color w:val="auto"/>
              </w:rPr>
            </w:pPr>
            <w:r>
              <w:rPr>
                <w:rFonts w:ascii="Arial" w:cs="Arial" w:eastAsia="Arial" w:hAnsi="Arial"/>
                <w:sz w:val="7"/>
                <w:szCs w:val="7"/>
                <w:color w:val="auto"/>
              </w:rPr>
              <w:t>​​​</w:t>
            </w:r>
          </w:p>
        </w:tc>
        <w:tc>
          <w:tcPr>
            <w:tcW w:w="8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5% Stockholders</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6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b w:val="1"/>
                <w:bCs w:val="1"/>
                <w:i w:val="1"/>
                <w:iCs w:val="1"/>
                <w:color w:val="auto"/>
              </w:rPr>
              <w:t>​</w:t>
            </w:r>
          </w:p>
        </w:tc>
        <w:tc>
          <w:tcPr>
            <w:tcW w:w="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Borders>
              <w:right w:val="single" w:sz="8" w:color="CCEEFF"/>
            </w:tcBorders>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Borders>
              <w:right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8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4"/>
                <w:szCs w:val="14"/>
                <w:color w:val="auto"/>
              </w:rPr>
              <w:t>Baillie Gifford &amp; Co.</w:t>
            </w:r>
            <w:r>
              <w:rPr>
                <w:rFonts w:ascii="Arial" w:cs="Arial" w:eastAsia="Arial" w:hAnsi="Arial"/>
                <w:sz w:val="17"/>
                <w:szCs w:val="17"/>
                <w:color w:val="auto"/>
                <w:vertAlign w:val="superscript"/>
              </w:rPr>
              <w:t>(2)</w:t>
            </w:r>
          </w:p>
        </w:tc>
        <w:tc>
          <w:tcPr>
            <w:tcW w:w="1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6,190,476</w:t>
            </w:r>
          </w:p>
        </w:tc>
        <w:tc>
          <w:tcPr>
            <w:tcW w:w="640" w:type="dxa"/>
            <w:vAlign w:val="bottom"/>
            <w:gridSpan w:val="5"/>
          </w:tcPr>
          <w:p>
            <w:pPr>
              <w:jc w:val="right"/>
              <w:spacing w:after="0"/>
              <w:rPr>
                <w:sz w:val="20"/>
                <w:szCs w:val="20"/>
                <w:color w:val="auto"/>
              </w:rPr>
            </w:pPr>
            <w:r>
              <w:rPr>
                <w:rFonts w:ascii="Arial" w:cs="Arial" w:eastAsia="Arial" w:hAnsi="Arial"/>
                <w:sz w:val="14"/>
                <w:szCs w:val="14"/>
                <w:color w:val="auto"/>
              </w:rPr>
              <w:t>11.9%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480" w:type="dxa"/>
            <w:vAlign w:val="bottom"/>
          </w:tcPr>
          <w:p>
            <w:pPr>
              <w:spacing w:after="0"/>
              <w:rPr>
                <w:sz w:val="16"/>
                <w:szCs w:val="16"/>
                <w:color w:val="auto"/>
              </w:rPr>
            </w:pP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6,190,476</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96"/>
              </w:rPr>
              <w:t>%​</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6"/>
                <w:szCs w:val="16"/>
                <w:color w:val="auto"/>
              </w:rPr>
            </w:pP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3"/>
          </w:tcPr>
          <w:p>
            <w:pPr>
              <w:jc w:val="right"/>
              <w:spacing w:after="0" w:line="68" w:lineRule="exact"/>
              <w:rPr>
                <w:sz w:val="20"/>
                <w:szCs w:val="20"/>
                <w:color w:val="auto"/>
              </w:rPr>
            </w:pPr>
            <w:r>
              <w:rPr>
                <w:rFonts w:ascii="Arial" w:cs="Arial" w:eastAsia="Arial" w:hAnsi="Arial"/>
                <w:sz w:val="7"/>
                <w:szCs w:val="7"/>
                <w:color w:val="auto"/>
              </w:rPr>
              <w:t>​​​ ​</w:t>
            </w:r>
          </w:p>
        </w:tc>
        <w:tc>
          <w:tcPr>
            <w:tcW w:w="260" w:type="dxa"/>
            <w:vAlign w:val="bottom"/>
          </w:tcPr>
          <w:p>
            <w:pPr>
              <w:spacing w:after="0"/>
              <w:rPr>
                <w:sz w:val="5"/>
                <w:szCs w:val="5"/>
                <w:color w:val="auto"/>
              </w:rPr>
            </w:pPr>
          </w:p>
        </w:tc>
        <w:tc>
          <w:tcPr>
            <w:tcW w:w="1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tcPr>
          <w:p>
            <w:pPr>
              <w:ind w:left="420"/>
              <w:spacing w:after="0" w:line="68" w:lineRule="exact"/>
              <w:rPr>
                <w:sz w:val="20"/>
                <w:szCs w:val="20"/>
                <w:color w:val="auto"/>
              </w:rPr>
            </w:pPr>
            <w:r>
              <w:rPr>
                <w:rFonts w:ascii="Arial" w:cs="Arial" w:eastAsia="Arial" w:hAnsi="Arial"/>
                <w:sz w:val="7"/>
                <w:szCs w:val="7"/>
                <w:color w:val="auto"/>
              </w:rPr>
              <w:t>​</w:t>
            </w:r>
          </w:p>
        </w:tc>
        <w:tc>
          <w:tcPr>
            <w:tcW w:w="4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0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FMR LLC</w:t>
            </w:r>
            <w:r>
              <w:rPr>
                <w:rFonts w:ascii="Arial" w:cs="Arial" w:eastAsia="Arial" w:hAnsi="Arial"/>
                <w:sz w:val="17"/>
                <w:szCs w:val="17"/>
                <w:color w:val="auto"/>
                <w:vertAlign w:val="superscript"/>
              </w:rPr>
              <w:t>(3)</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2,631,819</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5.1%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480" w:type="dxa"/>
            <w:vAlign w:val="bottom"/>
            <w:tcBorders>
              <w:right w:val="single" w:sz="8" w:color="CCEEFF"/>
            </w:tcBorders>
            <w:shd w:val="clear" w:color="auto" w:fill="CCEEFF"/>
          </w:tcPr>
          <w:p>
            <w:pPr>
              <w:spacing w:after="0"/>
              <w:rPr>
                <w:sz w:val="16"/>
                <w:szCs w:val="16"/>
                <w:color w:val="auto"/>
              </w:rPr>
            </w:pP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2,631,819</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9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shd w:val="clear" w:color="auto" w:fill="CCEEFF"/>
          </w:tcPr>
          <w:p>
            <w:pPr>
              <w:spacing w:after="0"/>
              <w:rPr>
                <w:sz w:val="5"/>
                <w:szCs w:val="5"/>
                <w:color w:val="auto"/>
              </w:rPr>
            </w:pPr>
          </w:p>
        </w:tc>
        <w:tc>
          <w:tcPr>
            <w:tcW w:w="6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100" w:type="dxa"/>
            <w:vAlign w:val="bottom"/>
            <w:gridSpan w:val="2"/>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60" w:type="dxa"/>
            <w:vAlign w:val="bottom"/>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48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62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20" w:type="dxa"/>
            <w:vAlign w:val="bottom"/>
            <w:tcBorders>
              <w:right w:val="single" w:sz="8" w:color="CCEEFF"/>
            </w:tcBorders>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line="189" w:lineRule="exact"/>
              <w:rPr>
                <w:sz w:val="20"/>
                <w:szCs w:val="20"/>
                <w:color w:val="auto"/>
              </w:rPr>
            </w:pPr>
            <w:r>
              <w:rPr>
                <w:rFonts w:ascii="Arial" w:cs="Arial" w:eastAsia="Arial" w:hAnsi="Arial"/>
                <w:sz w:val="14"/>
                <w:szCs w:val="14"/>
                <w:color w:val="auto"/>
              </w:rPr>
              <w:t>General Atlantic, L.P.</w:t>
            </w:r>
            <w:r>
              <w:rPr>
                <w:rFonts w:ascii="Arial" w:cs="Arial" w:eastAsia="Arial" w:hAnsi="Arial"/>
                <w:sz w:val="17"/>
                <w:szCs w:val="17"/>
                <w:color w:val="auto"/>
                <w:vertAlign w:val="superscript"/>
              </w:rPr>
              <w:t>(4)</w:t>
            </w:r>
          </w:p>
        </w:tc>
        <w:tc>
          <w:tcPr>
            <w:tcW w:w="1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4,761,905</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3"/>
              </w:rPr>
              <w:t>9.2%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480" w:type="dxa"/>
            <w:vAlign w:val="bottom"/>
          </w:tcPr>
          <w:p>
            <w:pPr>
              <w:spacing w:after="0"/>
              <w:rPr>
                <w:sz w:val="16"/>
                <w:szCs w:val="16"/>
                <w:color w:val="auto"/>
              </w:rPr>
            </w:pP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4,761,905</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96"/>
              </w:rPr>
              <w:t>%​</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6"/>
                <w:szCs w:val="16"/>
                <w:color w:val="auto"/>
              </w:rPr>
            </w:pP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60" w:type="dxa"/>
            <w:vAlign w:val="bottom"/>
          </w:tcPr>
          <w:p>
            <w:pPr>
              <w:ind w:left="420"/>
              <w:spacing w:after="0" w:line="68" w:lineRule="exact"/>
              <w:rPr>
                <w:sz w:val="20"/>
                <w:szCs w:val="20"/>
                <w:color w:val="auto"/>
              </w:rPr>
            </w:pPr>
            <w:r>
              <w:rPr>
                <w:rFonts w:ascii="Arial" w:cs="Arial" w:eastAsia="Arial" w:hAnsi="Arial"/>
                <w:sz w:val="7"/>
                <w:szCs w:val="7"/>
                <w:color w:val="auto"/>
              </w:rPr>
              <w:t>​</w:t>
            </w:r>
          </w:p>
        </w:tc>
        <w:tc>
          <w:tcPr>
            <w:tcW w:w="4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0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w w:val="97"/>
              </w:rPr>
              <w:t>Norges Bank (the Central Bank</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Norway)</w:t>
            </w:r>
            <w:r>
              <w:rPr>
                <w:rFonts w:ascii="Arial" w:cs="Arial" w:eastAsia="Arial" w:hAnsi="Arial"/>
                <w:sz w:val="17"/>
                <w:szCs w:val="17"/>
                <w:color w:val="auto"/>
                <w:vertAlign w:val="superscript"/>
              </w:rPr>
              <w:t>(5)</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8"/>
              </w:rPr>
              <w:t>​12,085,900</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 ​23.3%​​​ ​</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480" w:type="dxa"/>
            <w:vAlign w:val="bottom"/>
            <w:tcBorders>
              <w:right w:val="single" w:sz="8" w:color="CCEEFF"/>
            </w:tcBorders>
            <w:shd w:val="clear" w:color="auto" w:fill="CCEEFF"/>
          </w:tcPr>
          <w:p>
            <w:pPr>
              <w:spacing w:after="0"/>
              <w:rPr>
                <w:sz w:val="19"/>
                <w:szCs w:val="19"/>
                <w:color w:val="auto"/>
              </w:rPr>
            </w:pPr>
          </w:p>
        </w:tc>
        <w:tc>
          <w:tcPr>
            <w:tcW w:w="9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​​​​12,085,900 ​​​</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4"/>
                <w:szCs w:val="14"/>
                <w:b w:val="1"/>
                <w:bCs w:val="1"/>
                <w:i w:val="1"/>
                <w:iCs w:val="1"/>
                <w:color w:val="auto"/>
                <w:w w:val="93"/>
              </w:rPr>
              <w:t>Named Executive Officers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0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Directors</w:t>
            </w:r>
            <w:r>
              <w:rPr>
                <w:rFonts w:ascii="Arial" w:cs="Arial" w:eastAsia="Arial" w:hAnsi="Arial"/>
                <w:sz w:val="17"/>
                <w:szCs w:val="17"/>
                <w:b w:val="1"/>
                <w:bCs w:val="1"/>
                <w:i w:val="1"/>
                <w:iCs w:val="1"/>
                <w:color w:val="auto"/>
                <w:vertAlign w:val="superscript"/>
              </w:rPr>
              <w:t>(6)</w:t>
            </w:r>
          </w:p>
        </w:tc>
        <w:tc>
          <w:tcPr>
            <w:tcW w:w="12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 ​</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40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560" w:type="dxa"/>
            <w:vAlign w:val="bottom"/>
          </w:tcPr>
          <w:p>
            <w:pPr>
              <w:ind w:left="420"/>
              <w:spacing w:after="0"/>
              <w:rPr>
                <w:sz w:val="20"/>
                <w:szCs w:val="20"/>
                <w:color w:val="auto"/>
              </w:rPr>
            </w:pPr>
            <w:r>
              <w:rPr>
                <w:rFonts w:ascii="Arial" w:cs="Arial" w:eastAsia="Arial" w:hAnsi="Arial"/>
                <w:sz w:val="14"/>
                <w:szCs w:val="14"/>
                <w:b w:val="1"/>
                <w:bCs w:val="1"/>
                <w:i w:val="1"/>
                <w:i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jc w:val="center"/>
              <w:ind w:right="48"/>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spacing w:after="0"/>
              <w:rPr>
                <w:sz w:val="18"/>
                <w:szCs w:val="18"/>
                <w:color w:val="auto"/>
              </w:rPr>
            </w:pPr>
          </w:p>
        </w:tc>
        <w:tc>
          <w:tcPr>
            <w:tcW w:w="1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20"/>
                <w:szCs w:val="20"/>
                <w:color w:val="auto"/>
              </w:rPr>
            </w:pPr>
            <w:r>
              <w:rPr>
                <w:rFonts w:ascii="Arial" w:cs="Arial" w:eastAsia="Arial" w:hAnsi="Arial"/>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Amnon Shashua</w:t>
            </w:r>
            <w:r>
              <w:rPr>
                <w:rFonts w:ascii="Arial" w:cs="Arial" w:eastAsia="Arial" w:hAnsi="Arial"/>
                <w:sz w:val="17"/>
                <w:szCs w:val="17"/>
                <w:color w:val="auto"/>
                <w:vertAlign w:val="superscript"/>
              </w:rPr>
              <w:t>(7)</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746,667</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1.4%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480" w:type="dxa"/>
            <w:vAlign w:val="bottom"/>
            <w:tcBorders>
              <w:right w:val="single" w:sz="8" w:color="CCEEFF"/>
            </w:tcBorders>
            <w:shd w:val="clear" w:color="auto" w:fill="CCEEFF"/>
          </w:tcPr>
          <w:p>
            <w:pPr>
              <w:spacing w:after="0"/>
              <w:rPr>
                <w:sz w:val="16"/>
                <w:szCs w:val="16"/>
                <w:color w:val="auto"/>
              </w:rPr>
            </w:pP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746,667</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8"/>
        </w:trPr>
        <w:tc>
          <w:tcPr>
            <w:tcW w:w="19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80" w:type="dxa"/>
            <w:vAlign w:val="bottom"/>
            <w:gridSpan w:val="3"/>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vMerge w:val="continue"/>
            <w:shd w:val="clear" w:color="auto" w:fill="CCEEFF"/>
          </w:tcPr>
          <w:p>
            <w:pPr>
              <w:spacing w:after="0"/>
              <w:rPr>
                <w:sz w:val="5"/>
                <w:szCs w:val="5"/>
                <w:color w:val="auto"/>
              </w:rPr>
            </w:pPr>
          </w:p>
        </w:tc>
        <w:tc>
          <w:tcPr>
            <w:tcW w:w="6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100" w:type="dxa"/>
            <w:vAlign w:val="bottom"/>
            <w:gridSpan w:val="2"/>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560" w:type="dxa"/>
            <w:vAlign w:val="bottom"/>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48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62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820" w:type="dxa"/>
            <w:vAlign w:val="bottom"/>
            <w:tcBorders>
              <w:right w:val="single" w:sz="8" w:color="CCEEFF"/>
            </w:tcBorders>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6"/>
        </w:trPr>
        <w:tc>
          <w:tcPr>
            <w:tcW w:w="1900" w:type="dxa"/>
            <w:vAlign w:val="bottom"/>
          </w:tcPr>
          <w:p>
            <w:pPr>
              <w:spacing w:after="0"/>
              <w:rPr>
                <w:sz w:val="20"/>
                <w:szCs w:val="20"/>
                <w:color w:val="auto"/>
              </w:rPr>
            </w:pPr>
            <w:r>
              <w:rPr>
                <w:rFonts w:ascii="Arial" w:cs="Arial" w:eastAsia="Arial" w:hAnsi="Arial"/>
                <w:sz w:val="14"/>
                <w:szCs w:val="14"/>
                <w:color w:val="auto"/>
              </w:rPr>
              <w:t>Patrick P. Gelsinger</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120,000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780" w:type="dxa"/>
            <w:vAlign w:val="bottom"/>
            <w:gridSpan w:val="2"/>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60" w:type="dxa"/>
            <w:vAlign w:val="bottom"/>
            <w:gridSpan w:val="2"/>
          </w:tcPr>
          <w:p>
            <w:pPr>
              <w:ind w:left="40"/>
              <w:spacing w:after="0"/>
              <w:rPr>
                <w:sz w:val="20"/>
                <w:szCs w:val="20"/>
                <w:color w:val="auto"/>
              </w:rPr>
            </w:pPr>
            <w:r>
              <w:rPr>
                <w:rFonts w:ascii="Arial" w:cs="Arial" w:eastAsia="Arial" w:hAnsi="Arial"/>
                <w:sz w:val="14"/>
                <w:szCs w:val="14"/>
                <w:color w:val="auto"/>
                <w:w w:val="88"/>
              </w:rPr>
              <w:t xml:space="preserve">​ </w:t>
            </w:r>
            <w:r>
              <w:rPr>
                <w:rFonts w:ascii="Arial" w:cs="Arial" w:eastAsia="Arial" w:hAnsi="Arial"/>
                <w:sz w:val="28"/>
                <w:szCs w:val="28"/>
                <w:color w:val="auto"/>
                <w:w w:val="88"/>
                <w:vertAlign w:val="superscript"/>
              </w:rPr>
              <w:t>—</w:t>
            </w: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20"/>
              <w:spacing w:after="0"/>
              <w:rPr>
                <w:sz w:val="20"/>
                <w:szCs w:val="20"/>
                <w:color w:val="auto"/>
              </w:rPr>
            </w:pPr>
            <w:r>
              <w:rPr>
                <w:rFonts w:ascii="Arial" w:cs="Arial" w:eastAsia="Arial" w:hAnsi="Arial"/>
                <w:sz w:val="13"/>
                <w:szCs w:val="13"/>
                <w:color w:val="auto"/>
                <w:w w:val="71"/>
              </w:rPr>
              <w:t>​</w:t>
            </w:r>
            <w:r>
              <w:rPr>
                <w:rFonts w:ascii="Arial" w:cs="Arial" w:eastAsia="Arial" w:hAnsi="Arial"/>
                <w:sz w:val="25"/>
                <w:szCs w:val="25"/>
                <w:color w:val="auto"/>
                <w:w w:val="71"/>
                <w:vertAlign w:val="superscript"/>
              </w:rPr>
              <w:t>—</w:t>
            </w:r>
          </w:p>
        </w:tc>
        <w:tc>
          <w:tcPr>
            <w:tcW w:w="48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120,000</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3"/>
                <w:szCs w:val="13"/>
                <w:color w:val="auto"/>
                <w:w w:val="71"/>
              </w:rPr>
              <w:t>​</w:t>
            </w:r>
            <w:r>
              <w:rPr>
                <w:rFonts w:ascii="Arial" w:cs="Arial" w:eastAsia="Arial" w:hAnsi="Arial"/>
                <w:sz w:val="25"/>
                <w:szCs w:val="25"/>
                <w:color w:val="auto"/>
                <w:w w:val="71"/>
                <w:vertAlign w:val="superscript"/>
              </w:rPr>
              <w:t>—</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120" w:type="dxa"/>
            <w:vAlign w:val="bottom"/>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479"/>
        <w:spacing w:after="0"/>
        <w:rPr>
          <w:sz w:val="20"/>
          <w:szCs w:val="20"/>
          <w:color w:val="auto"/>
        </w:rPr>
      </w:pPr>
      <w:r>
        <w:rPr>
          <w:rFonts w:ascii="Arial" w:cs="Arial" w:eastAsia="Arial" w:hAnsi="Arial"/>
          <w:sz w:val="15"/>
          <w:szCs w:val="15"/>
          <w:b w:val="1"/>
          <w:bCs w:val="1"/>
          <w:color w:val="auto"/>
        </w:rPr>
        <w:t>Confidential Treatment Requested by Mobileye Global Inc. Pursuant to 17 C.F.R. § 200.83.</w:t>
      </w:r>
    </w:p>
    <w:p>
      <w:pPr>
        <w:spacing w:after="0" w:line="7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0260"/>
          </w:cols>
          <w:pgMar w:left="580" w:top="90" w:right="1059" w:bottom="1440" w:gutter="0" w:footer="0" w:header="0"/>
        </w:sect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55245</wp:posOffset>
            </wp:positionV>
            <wp:extent cx="12172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Anat Heller</w:t>
      </w:r>
      <w:r>
        <w:rPr>
          <w:rFonts w:ascii="Arial" w:cs="Arial" w:eastAsia="Arial" w:hAnsi="Arial"/>
          <w:sz w:val="17"/>
          <w:szCs w:val="17"/>
          <w:color w:val="auto"/>
          <w:vertAlign w:val="superscript"/>
        </w:rPr>
        <w:t>(8)</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Gavriel Hayon</w:t>
      </w:r>
      <w:r>
        <w:rPr>
          <w:rFonts w:ascii="Arial" w:cs="Arial" w:eastAsia="Arial" w:hAnsi="Arial"/>
          <w:sz w:val="17"/>
          <w:szCs w:val="17"/>
          <w:color w:val="auto"/>
          <w:vertAlign w:val="superscript"/>
        </w:rPr>
        <w:t>(9)</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Shai Shalev-Shwartz</w:t>
      </w:r>
      <w:r>
        <w:rPr>
          <w:rFonts w:ascii="Arial" w:cs="Arial" w:eastAsia="Arial" w:hAnsi="Arial"/>
          <w:sz w:val="17"/>
          <w:szCs w:val="17"/>
          <w:color w:val="auto"/>
          <w:vertAlign w:val="superscript"/>
        </w:rPr>
        <w:t>(10)</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Nimrod Nehushtan</w:t>
      </w:r>
      <w:r>
        <w:rPr>
          <w:rFonts w:ascii="Arial" w:cs="Arial" w:eastAsia="Arial" w:hAnsi="Arial"/>
          <w:sz w:val="17"/>
          <w:szCs w:val="17"/>
          <w:color w:val="auto"/>
          <w:vertAlign w:val="superscript"/>
        </w:rPr>
        <w:t>(11)</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Eyal Desheh</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Jon M. Huntsman Jr</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Claire McCaskill</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Christine Pambianchi</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Frank D. Yeary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Saf Yeboah-Amankwah</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executive officers and</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directors as a group</w:t>
      </w:r>
    </w:p>
    <w:p>
      <w:pPr>
        <w:ind w:left="640"/>
        <w:spacing w:after="0"/>
        <w:rPr>
          <w:sz w:val="20"/>
          <w:szCs w:val="20"/>
          <w:color w:val="auto"/>
        </w:rPr>
      </w:pPr>
      <w:r>
        <w:rPr>
          <w:rFonts w:ascii="Arial" w:cs="Arial" w:eastAsia="Arial" w:hAnsi="Arial"/>
          <w:sz w:val="14"/>
          <w:szCs w:val="14"/>
          <w:color w:val="auto"/>
        </w:rPr>
        <w:t>(12 persons)</w:t>
      </w:r>
      <w:r>
        <w:rPr>
          <w:rFonts w:ascii="Arial" w:cs="Arial" w:eastAsia="Arial" w:hAnsi="Arial"/>
          <w:sz w:val="17"/>
          <w:szCs w:val="17"/>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167005</wp:posOffset>
            </wp:positionV>
            <wp:extent cx="1234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15"/>
          </w:tcPr>
          <w:p>
            <w:pPr>
              <w:jc w:val="center"/>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4"/>
          </w:tcPr>
          <w:p>
            <w:pPr>
              <w:jc w:val="center"/>
              <w:spacing w:after="0"/>
              <w:rPr>
                <w:sz w:val="20"/>
                <w:szCs w:val="20"/>
                <w:color w:val="auto"/>
              </w:rPr>
            </w:pPr>
            <w:r>
              <w:rPr>
                <w:rFonts w:ascii="Arial" w:cs="Arial" w:eastAsia="Arial" w:hAnsi="Arial"/>
                <w:sz w:val="14"/>
                <w:szCs w:val="14"/>
                <w:b w:val="1"/>
                <w:bCs w:val="1"/>
                <w:color w:val="auto"/>
                <w:w w:val="88"/>
              </w:rPr>
              <w:t>Shares of Common Stock Beneficially Owned</w:t>
            </w:r>
          </w:p>
        </w:tc>
        <w:tc>
          <w:tcPr>
            <w:tcW w:w="0" w:type="dxa"/>
            <w:vAlign w:val="bottom"/>
          </w:tcPr>
          <w:p>
            <w:pPr>
              <w:spacing w:after="0"/>
              <w:rPr>
                <w:sz w:val="1"/>
                <w:szCs w:val="1"/>
                <w:color w:val="auto"/>
              </w:rPr>
            </w:pPr>
          </w:p>
        </w:tc>
      </w:tr>
      <w:tr>
        <w:trPr>
          <w:trHeight w:val="225"/>
        </w:trPr>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8"/>
              </w:rPr>
              <w:t>Before this Offering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After this Offering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Voting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Power Pre-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PowerPost-</w:t>
            </w:r>
          </w:p>
        </w:tc>
        <w:tc>
          <w:tcPr>
            <w:tcW w:w="0" w:type="dxa"/>
            <w:vAlign w:val="bottom"/>
          </w:tcPr>
          <w:p>
            <w:pPr>
              <w:spacing w:after="0"/>
              <w:rPr>
                <w:sz w:val="1"/>
                <w:szCs w:val="1"/>
                <w:color w:val="auto"/>
              </w:rPr>
            </w:pPr>
          </w:p>
        </w:tc>
      </w:tr>
      <w:tr>
        <w:trPr>
          <w:trHeight w:val="239"/>
        </w:trPr>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Class 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60"/>
              <w:spacing w:after="0"/>
              <w:rPr>
                <w:sz w:val="20"/>
                <w:szCs w:val="20"/>
                <w:color w:val="auto"/>
              </w:rPr>
            </w:pPr>
            <w:r>
              <w:rPr>
                <w:rFonts w:ascii="Arial" w:cs="Arial" w:eastAsia="Arial" w:hAnsi="Arial"/>
                <w:sz w:val="14"/>
                <w:szCs w:val="14"/>
                <w:b w:val="1"/>
                <w:bCs w:val="1"/>
                <w:color w:val="auto"/>
                <w:w w:val="85"/>
              </w:rPr>
              <w:t>Class A</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85"/>
              </w:rPr>
              <w:t>Class B</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of Class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Common 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Stock Offered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Shares</w:t>
            </w:r>
          </w:p>
        </w:tc>
        <w:tc>
          <w:tcPr>
            <w:tcW w:w="1580" w:type="dxa"/>
            <w:vAlign w:val="bottom"/>
            <w:gridSpan w:val="12"/>
          </w:tcPr>
          <w:p>
            <w:pPr>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Class </w:t>
            </w:r>
            <w:r>
              <w:rPr>
                <w:rFonts w:ascii="Arial" w:cs="Arial" w:eastAsia="Arial" w:hAnsi="Arial"/>
                <w:sz w:val="26"/>
                <w:szCs w:val="26"/>
                <w:b w:val="1"/>
                <w:bCs w:val="1"/>
                <w:color w:val="auto"/>
                <w:vertAlign w:val="subscript"/>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Hereby</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560" w:type="dxa"/>
            <w:vAlign w:val="bottom"/>
            <w:gridSpan w:val="11"/>
          </w:tcPr>
          <w:p>
            <w:pPr>
              <w:jc w:val="center"/>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Class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Shares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Class </w:t>
            </w:r>
            <w:r>
              <w:rPr>
                <w:rFonts w:ascii="Arial" w:cs="Arial" w:eastAsia="Arial" w:hAnsi="Arial"/>
                <w:sz w:val="26"/>
                <w:szCs w:val="26"/>
                <w:b w:val="1"/>
                <w:bCs w:val="1"/>
                <w:color w:val="auto"/>
                <w:vertAlign w:val="subscript"/>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61,169</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9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98"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98"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61,169</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98"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43,515</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57"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43,515</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190,476</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5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60" w:type="dxa"/>
            <w:vAlign w:val="bottom"/>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190,476</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5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30,878</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30,878</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43"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6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60" w:type="dxa"/>
            <w:vAlign w:val="bottom"/>
            <w:gridSpan w:val="4"/>
          </w:tcPr>
          <w:p>
            <w:pPr>
              <w:jc w:val="right"/>
              <w:ind w:right="6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41,000</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43"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41,000</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70,000</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43"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70,000</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27,500</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243" w:lineRule="exact"/>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27,500</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5"/>
        </w:trPr>
        <w:tc>
          <w:tcPr>
            <w:tcW w:w="4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47,519</w:t>
            </w:r>
          </w:p>
        </w:tc>
        <w:tc>
          <w:tcPr>
            <w:tcW w:w="180" w:type="dxa"/>
            <w:vAlign w:val="bottom"/>
            <w:gridSpan w:val="2"/>
          </w:tcPr>
          <w:p>
            <w:pPr>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440" w:type="dxa"/>
            <w:vAlign w:val="bottom"/>
            <w:gridSpan w:val="3"/>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rPr>
                <w:sz w:val="20"/>
                <w:szCs w:val="20"/>
                <w:color w:val="auto"/>
              </w:rPr>
            </w:pPr>
            <w:r>
              <w:rPr>
                <w:rFonts w:ascii="Arial" w:cs="Arial" w:eastAsia="Arial" w:hAnsi="Arial"/>
                <w:sz w:val="14"/>
                <w:szCs w:val="14"/>
                <w:color w:val="auto"/>
                <w:w w:val="79"/>
              </w:rPr>
              <w:t xml:space="preserve">​ </w:t>
            </w:r>
            <w:r>
              <w:rPr>
                <w:rFonts w:ascii="Arial" w:cs="Arial" w:eastAsia="Arial" w:hAnsi="Arial"/>
                <w:sz w:val="28"/>
                <w:szCs w:val="28"/>
                <w:color w:val="auto"/>
                <w:w w:val="79"/>
                <w:vertAlign w:val="superscript"/>
              </w:rPr>
              <w:t>—</w:t>
            </w:r>
          </w:p>
        </w:tc>
        <w:tc>
          <w:tcPr>
            <w:tcW w:w="46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47,519</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4"/>
          </w:tcPr>
          <w:p>
            <w:pPr>
              <w:jc w:val="right"/>
              <w:ind w:right="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3"/>
        </w:trPr>
        <w:tc>
          <w:tcPr>
            <w:tcW w:w="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1,388,724</w:t>
            </w:r>
          </w:p>
        </w:tc>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3"/>
              </w:rPr>
              <w:t>2.6%</w:t>
            </w:r>
          </w:p>
        </w:tc>
        <w:tc>
          <w:tcPr>
            <w:tcW w:w="18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460" w:type="dxa"/>
            <w:vAlign w:val="bottom"/>
          </w:tcPr>
          <w:p>
            <w:pPr>
              <w:spacing w:after="0"/>
              <w:rPr>
                <w:sz w:val="24"/>
                <w:szCs w:val="24"/>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1,388,724</w:t>
            </w:r>
          </w:p>
        </w:tc>
        <w:tc>
          <w:tcPr>
            <w:tcW w:w="20" w:type="dxa"/>
            <w:vAlign w:val="bottom"/>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-2035810</wp:posOffset>
            </wp:positionV>
            <wp:extent cx="618934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89345" cy="16256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-1710055</wp:posOffset>
            </wp:positionV>
            <wp:extent cx="618934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-1384300</wp:posOffset>
            </wp:positionV>
            <wp:extent cx="618934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-1067435</wp:posOffset>
            </wp:positionV>
            <wp:extent cx="618934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-758825</wp:posOffset>
            </wp:positionV>
            <wp:extent cx="618934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89345" cy="154305"/>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-450215</wp:posOffset>
            </wp:positionV>
            <wp:extent cx="6189345" cy="386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89345" cy="38608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-3098800</wp:posOffset>
            </wp:positionV>
            <wp:extent cx="20491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49145" cy="8255"/>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-2618740</wp:posOffset>
            </wp:positionV>
            <wp:extent cx="5486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35" w:lineRule="exact"/>
        <w:rPr>
          <w:sz w:val="20"/>
          <w:szCs w:val="20"/>
          <w:color w:val="auto"/>
        </w:rPr>
      </w:pPr>
    </w:p>
    <w:p>
      <w:pPr>
        <w:sectPr>
          <w:pgSz w:w="11900" w:h="16838" w:orient="portrait"/>
          <w:cols w:equalWidth="0" w:num="3">
            <w:col w:w="2060" w:space="400"/>
            <w:col w:w="7680" w:space="100"/>
            <w:col w:w="20"/>
          </w:cols>
          <w:pgMar w:left="580" w:top="90" w:right="1059" w:bottom="1440" w:gutter="0" w:footer="0" w:header="0"/>
          <w:type w:val="continuous"/>
        </w:sectPr>
      </w:pPr>
    </w:p>
    <w:p>
      <w:pPr>
        <w:spacing w:after="0" w:line="48"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63" w:lineRule="exact"/>
        <w:rPr>
          <w:sz w:val="20"/>
          <w:szCs w:val="20"/>
          <w:color w:val="auto"/>
        </w:rPr>
      </w:pPr>
    </w:p>
    <w:p>
      <w:pPr>
        <w:ind w:left="1620" w:right="900" w:hanging="360"/>
        <w:spacing w:after="0" w:line="25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25" w:lineRule="exact"/>
        <w:rPr>
          <w:rFonts w:ascii="Arial" w:cs="Arial" w:eastAsia="Arial" w:hAnsi="Arial"/>
          <w:sz w:val="18"/>
          <w:szCs w:val="18"/>
          <w:color w:val="auto"/>
        </w:rPr>
      </w:pPr>
    </w:p>
    <w:p>
      <w:pPr>
        <w:ind w:left="1620" w:right="820" w:hanging="360"/>
        <w:spacing w:after="0" w:line="254"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Baillie Gifford &amp; Co. (Scottish Partnership) filed a Schedule 13G/A with the SEC on January 25, 2023 to report beneficial ownership of 6,190,476 shares of our Class A common stock. Baillie Gifford &amp; Co. (Scottish Partnership) reports that it has sole power to dispose of 6,190,476 shares and has sole power to vote with respect to 6,190,476 shares. The address of Baillie Gifford &amp; Co. (Scottish Partnership) is Calton Square, 1 Greenside Row, Edinburgh EH1 3AN, Scotland, UK. Information regarding beneficial ownership of our Class A common stock by Baillie Gifford &amp; Co. (Scottish Partnership) is included herein in reliance on the aforementioned Schedule 13G/A.</w:t>
      </w:r>
    </w:p>
    <w:p>
      <w:pPr>
        <w:spacing w:after="0" w:line="32" w:lineRule="exact"/>
        <w:rPr>
          <w:rFonts w:ascii="Arial" w:cs="Arial" w:eastAsia="Arial" w:hAnsi="Arial"/>
          <w:sz w:val="18"/>
          <w:szCs w:val="18"/>
          <w:color w:val="auto"/>
        </w:rPr>
      </w:pPr>
    </w:p>
    <w:p>
      <w:pPr>
        <w:ind w:left="1620" w:right="900" w:hanging="360"/>
        <w:spacing w:after="0" w:line="255"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FMR LLC filed a Schedule 13G with the SEC on February 9, 2023 to report beneficial ownership of 2,631,819 shares of our Class A common stock. FMR LLC reports that it has sole power to dispose of 2,631,819 shares and has sole power to vote with respect to 2,631,819 shares. The address of FMR LLC is 245 Summer Street, Boston, Massachusetts 02210. Information regarding beneficial ownership of our Class A common stock by FMR LLC is included herein in reliance on the aforementioned Schedule 13G.</w:t>
      </w:r>
    </w:p>
    <w:p>
      <w:pPr>
        <w:spacing w:after="0" w:line="30" w:lineRule="exact"/>
        <w:rPr>
          <w:rFonts w:ascii="Arial" w:cs="Arial" w:eastAsia="Arial" w:hAnsi="Arial"/>
          <w:sz w:val="18"/>
          <w:szCs w:val="18"/>
          <w:color w:val="auto"/>
        </w:rPr>
      </w:pPr>
    </w:p>
    <w:p>
      <w:pPr>
        <w:ind w:left="1620" w:right="880" w:hanging="360"/>
        <w:spacing w:after="0" w:line="269"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Atlantic, L.P. (“GA LP”), General Atlantic Partners 100, L.P. (“GAP 100”), General Atlantic Partners (Bermuda) EU, L.P. (“GAP Bermuda EU”), GAP Coinvestments III, LLC (“GAPCO III”), GAP Coinvestments IV, LLC (“GAPCO IV”), GAP Coinvestments V, LLC (“GAPCO V”), GAP Coinvestments CDA, L.P. (“GAPCO CDA”), General Atlantic (SPV) GP, LLC (“GA SPV”), General Atlantic GenPar (Bermuda), L.P. (“GenPar Bermuda”), General Atlantic GenPar, L.P. (“GA GenPar”), General Atlantic (ME), L.P. (“GA ME”), GAP (Bermuda) L.P. (“GAP Bermuda”), General Atlantic (Lux) S.à.r.l. (“GA Lux”), General Atlantic GenPar (Lux) SCSp (“GA GenPar Lux”), and General Atlantic Partners (Lux) SCSp (“GAP Lux”) (collectively, the “GA Entities”) filed a Schedule 13G with the SEC on November 7, 2022 to report beneficial ownership of 4,761,905 shares of our Class A common stock. Each of the GA Entities may be deemed to have sole voting power and sole dispositive</w:t>
      </w:r>
    </w:p>
    <w:p>
      <w:pPr>
        <w:sectPr>
          <w:pgSz w:w="11900" w:h="16838" w:orient="portrait"/>
          <w:cols w:equalWidth="0" w:num="1">
            <w:col w:w="10260"/>
          </w:cols>
          <w:pgMar w:left="580" w:top="90" w:right="1059" w:bottom="1440" w:gutter="0" w:footer="0" w:header="0"/>
          <w:type w:val="continuous"/>
        </w:sectPr>
      </w:pPr>
    </w:p>
    <w:p>
      <w:pPr>
        <w:spacing w:after="0" w:line="36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0" w:right="10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620" w:right="419"/>
        <w:spacing w:after="0" w:line="253" w:lineRule="auto"/>
        <w:rPr>
          <w:sz w:val="20"/>
          <w:szCs w:val="20"/>
          <w:color w:val="auto"/>
        </w:rPr>
      </w:pPr>
      <w:r>
        <w:rPr>
          <w:rFonts w:ascii="Arial" w:cs="Arial" w:eastAsia="Arial" w:hAnsi="Arial"/>
          <w:sz w:val="18"/>
          <w:szCs w:val="18"/>
          <w:color w:val="auto"/>
        </w:rPr>
        <w:t>power with respect to 4,761,905 shares and also shared voting power and shared dispositive power with respect to 4,761,905 shares. 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Luxembourg is 412F, Route d’Esch, L-1471 Luxembourg. Information regarding beneficial ownership of our Class A common stock by General Atlantic, L.P. and the other GA Entities is included herein in reliance on the aforementioned Schedule 13G.</w:t>
      </w:r>
    </w:p>
    <w:p>
      <w:pPr>
        <w:spacing w:after="0" w:line="48" w:lineRule="exact"/>
        <w:rPr>
          <w:sz w:val="20"/>
          <w:szCs w:val="20"/>
          <w:color w:val="auto"/>
        </w:rPr>
      </w:pPr>
    </w:p>
    <w:p>
      <w:pPr>
        <w:ind w:left="1620" w:right="519" w:hanging="360"/>
        <w:spacing w:after="0" w:line="273"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Norges Bank (the Central Bank of Norway) (“Norges Bank”) filed a Schedule 13G/A with the SEC on February 14, 2023 to report beneficial ownership of 12,085,900 shares of our Class A common stock. Norges Bank reports that it has sole power to dispose of 12,085,900 shares and has sole power to vote with respect to 12,085,900 shares. The address of Norges Bank is Bankplassen 2, PO Box 1179 Sentrum NO 0107, Oslo, Norway. Information regarding beneficial ownership of our Class A common stock by Norges Bank is included herein in reliance on the aforementioned Schedule 13G/A.</w:t>
      </w:r>
    </w:p>
    <w:p>
      <w:pPr>
        <w:spacing w:after="0" w:line="29" w:lineRule="exact"/>
        <w:rPr>
          <w:rFonts w:ascii="Arial" w:cs="Arial" w:eastAsia="Arial" w:hAnsi="Arial"/>
          <w:sz w:val="17"/>
          <w:szCs w:val="17"/>
          <w:color w:val="auto"/>
        </w:rPr>
      </w:pPr>
    </w:p>
    <w:p>
      <w:pPr>
        <w:ind w:left="1620" w:right="55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otherwise indicated, the principal business address of each person is c/o Mobileye Global Inc., Har Hotzvim, 13 Hartom Street P.O. Box 45157 Jerusalem 9777513, Israel.</w:t>
      </w:r>
    </w:p>
    <w:p>
      <w:pPr>
        <w:spacing w:after="0" w:line="35" w:lineRule="exact"/>
        <w:rPr>
          <w:rFonts w:ascii="Arial" w:cs="Arial" w:eastAsia="Arial" w:hAnsi="Arial"/>
          <w:sz w:val="18"/>
          <w:szCs w:val="18"/>
          <w:color w:val="auto"/>
        </w:rPr>
      </w:pPr>
    </w:p>
    <w:p>
      <w:pPr>
        <w:ind w:left="1620" w:right="61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476,191 shares of Class A common stock and 270,476 RSUs that will vest within 60 days of March 1, 2023.</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61,169 RSUs that will vest within 60 days of March 1, 2023.</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43,515 RSUs that will vest within 60 days of March 1, 2023.</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190,476 RSUs that will vest within 60 days of March 1, 2023.</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30,878 RSUs that will vest within 60 days of March 1, 2023.</w:t>
      </w:r>
    </w:p>
    <w:p>
      <w:pPr>
        <w:spacing w:after="0" w:line="76" w:lineRule="exact"/>
        <w:rPr>
          <w:rFonts w:ascii="Arial" w:cs="Arial" w:eastAsia="Arial" w:hAnsi="Arial"/>
          <w:sz w:val="18"/>
          <w:szCs w:val="18"/>
          <w:color w:val="auto"/>
        </w:rPr>
      </w:pPr>
    </w:p>
    <w:p>
      <w:pPr>
        <w:ind w:left="1620" w:right="619" w:hanging="36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792,210 shares of Class A common stock and 596,514 RSUs that will vest within 60 days of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4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non-U.S. holder in light of that holder’s particular circumstances or that may be applicable to holders subject to special treatment under U.S. federal income tax law (including, for example, banks and other financial institutions, dealers in securities, traders in securities that elect a mark-to-market method of tax accounting,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certain expatriates and former citizens or former long-term residents of the United States, and holders who hold shares of our Class A common stock as part of a straddle, constructive sale or conversion transaction). In addition, this discussion does not address U.S. federal tax laws other than those pertaining to the U.S. federal income tax, nor does it address any aspects of the unearned income Medicare contribution tax, the alternative minimum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11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any of the following:</w:t>
      </w:r>
    </w:p>
    <w:p>
      <w:pPr>
        <w:spacing w:after="0" w:line="62"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 or</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2" w:lineRule="exact"/>
        <w:rPr>
          <w:sz w:val="20"/>
          <w:szCs w:val="20"/>
          <w:color w:val="auto"/>
        </w:rPr>
      </w:pPr>
    </w:p>
    <w:p>
      <w:pPr>
        <w:ind w:left="1260" w:right="559" w:firstLine="360"/>
        <w:spacing w:after="0" w:line="314" w:lineRule="auto"/>
        <w:rPr>
          <w:sz w:val="20"/>
          <w:szCs w:val="20"/>
          <w:color w:val="auto"/>
        </w:rPr>
      </w:pPr>
      <w:r>
        <w:rPr>
          <w:rFonts w:ascii="Arial" w:cs="Arial" w:eastAsia="Arial" w:hAnsi="Arial"/>
          <w:sz w:val="16"/>
          <w:szCs w:val="16"/>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62"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A distribution generally will constitute a dividend for U.S. federal income tax purposes to the extent of our current or accumulated earnings and profits as determined for U.S. federal income tax purposes. To the extent any distribution exceeds our current and accumulated earnings and profits, such distribution will be treated as first reducing the adjusted basis in the non-U.S. holder’s shares of our Class A common stock, though not below zero, and, to the extent such distribution exceeds the adjusted basis in the non-U.S. holder’s shares of our Class A common stock, as gain from the sale or exchange of such shares.</w:t>
      </w:r>
    </w:p>
    <w:p>
      <w:pPr>
        <w:spacing w:after="0" w:line="11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general, subject to the discussion below under “— FATCA,” any distributions we make to a non-U.S. holder with respect to its shares of our Class A common stock that constitute dividends for U.S. federal income tax purposes will be subject to U.S. withholding tax at a rate of 30% of the gross amount (or a reduced</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59"/>
        <w:spacing w:after="0" w:line="243" w:lineRule="auto"/>
        <w:rPr>
          <w:sz w:val="20"/>
          <w:szCs w:val="20"/>
          <w:color w:val="auto"/>
        </w:rPr>
      </w:pPr>
      <w:r>
        <w:rPr>
          <w:rFonts w:ascii="Arial" w:cs="Arial" w:eastAsia="Arial" w:hAnsi="Arial"/>
          <w:sz w:val="18"/>
          <w:szCs w:val="18"/>
          <w:color w:val="auto"/>
        </w:rPr>
        <w:t>rate specified by an applicable income tax treaty), unless the dividends are effectively connected with a trade or business carried on by the non-U.S. holder within the United States (and, if required by an applicable income tax treaty, are attributable to a permanent establishment of the non-U.S. holder within the U.S.). In order to obtain a reduced rate of withholding, a non-U.S. holder will be required to provide a properly executed applicable Internal Revenue Service (“IRS”) Form W-8 certifying its entitlement to benefits under a treaty.</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Dividends effectively connected with a U.S. trade or business (and, if required by an applicable income tax treaty, attributable to a U.S. permanent establishment) of a non -U.S. holder generally will not be subject to U.S. withholding tax if the non-U.S. holder provides a properly executed IRS Form W-8ECI.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In general, a non-U.S. holder will not be subject to U.S. federal income tax on any gain recognized upon the sale or other disposition of our Class A common stock unless:</w:t>
      </w:r>
    </w:p>
    <w:p>
      <w:pPr>
        <w:spacing w:after="0" w:line="49" w:lineRule="exact"/>
        <w:rPr>
          <w:sz w:val="20"/>
          <w:szCs w:val="20"/>
          <w:color w:val="auto"/>
        </w:rPr>
      </w:pPr>
    </w:p>
    <w:p>
      <w:pPr>
        <w:ind w:left="1800" w:right="51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satisfied; or</w:t>
      </w:r>
    </w:p>
    <w:p>
      <w:pPr>
        <w:spacing w:after="0" w:line="62"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(as​ described below) for U.S. federal income tax purposes at any time within the shorter of the five-year period ending on the date of the disposition and the non-U.S. holder’s holding period and certain other conditions are satisfied.</w:t>
      </w:r>
    </w:p>
    <w:p>
      <w:pPr>
        <w:spacing w:after="0" w:line="8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 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0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w:t>
      </w:r>
    </w:p>
    <w:p>
      <w:pPr>
        <w:spacing w:after="0" w:line="162"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Provisions commonly referred to as “FATCA” impose withholding (separate and apart from, but without duplication of, the withholding tax described above) at a rate of 30% on payments of dividends on shares of our Class A common stock and sales or redemption proceeds from dispositions of shares of our Class A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Proposed U.S. Treasury regulations would eliminate the requirements under FATCA in respect of withholding on gross proceeds from sales, exchanges or dispositions of our Class A common stock, and the preamble to the proposed</w:t>
      </w:r>
    </w:p>
    <w:p>
      <w:pPr>
        <w:sectPr>
          <w:pgSz w:w="11900" w:h="16838" w:orient="portrait"/>
          <w:cols w:equalWidth="0" w:num="1">
            <w:col w:w="9879"/>
          </w:cols>
          <w:pgMar w:left="580" w:top="90"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regulations provides that taxpayers may rely on these proposed regulations pending their finalization. Prospective investors should consult their tax advisors regarding the possible implications of FATCA on their investment in our Class A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Information returns are required to be filed with the IRS in connection with payments of dividends on our Class A common stock. Unless a non-U.S. holder complies with certification procedures to establish that it is not a U.S. person, information returns may also be filed with the IRS in connection with the proceeds from a sale or other disposition of our Class A common stock. A non-U.S. holder may also be subject to backup withholding on payments on our Class A common stock or on the proceeds from a sale or other disposition of our Class A common stock unless such non-U.S. holder complies with certification procedures to establish that such non-U.S. holder is not a U.S. person or otherwise establishes an exemption. A non-U.S. holder’s provision of a properly executed applicable IRS Form W-8 certifying its non-U.S. status will permit such holder to avoid backup withholding.</w:t>
      </w:r>
    </w:p>
    <w:p>
      <w:pPr>
        <w:spacing w:after="0" w:line="129"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the selling stockholder and the underwriters named below will enter into an underwriting</w:t>
      </w:r>
    </w:p>
    <w:p>
      <w:pPr>
        <w:spacing w:after="0" w:line="23"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agreement with respect to the shares being offered. Subject to certain conditions, each underwriter will severally agree to purchase from the selling stockholder the number of shares of Class A common stock indicated in the following table. Goldman Sachs &amp; Co. LLC and Morgan Stanley &amp; Co. LLC are acting as the representatives of the underwriters.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225"/>
        </w:trPr>
        <w:tc>
          <w:tcPr>
            <w:tcW w:w="656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00" w:type="dxa"/>
            <w:vAlign w:val="bottom"/>
          </w:tcPr>
          <w:p>
            <w:pPr>
              <w:spacing w:after="0"/>
              <w:rPr>
                <w:sz w:val="19"/>
                <w:szCs w:val="19"/>
                <w:color w:val="auto"/>
              </w:rPr>
            </w:pPr>
          </w:p>
        </w:tc>
        <w:tc>
          <w:tcPr>
            <w:tcW w:w="780" w:type="dxa"/>
            <w:vAlign w:val="bottom"/>
            <w:gridSpan w:val="2"/>
          </w:tcPr>
          <w:p>
            <w:pPr>
              <w:ind w:left="180"/>
              <w:spacing w:after="0" w:line="22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6"/>
                <w:szCs w:val="26"/>
                <w:b w:val="1"/>
                <w:bCs w:val="1"/>
                <w:color w:val="auto"/>
                <w:vertAlign w:val="subscript"/>
              </w:rPr>
              <w:t>​</w:t>
            </w:r>
          </w:p>
        </w:tc>
      </w:tr>
      <w:tr>
        <w:trPr>
          <w:trHeight w:val="263"/>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00" w:type="dxa"/>
            <w:vAlign w:val="bottom"/>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65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302"/>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underwriters will be committed to take and pay for all of the shares being offered, if any are taken, other than the shares covered by the option described below unless and until this option is exercised.</w:t>
      </w:r>
    </w:p>
    <w:p>
      <w:pPr>
        <w:spacing w:after="0" w:line="65"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The underwriters will have an option to purchase up to an additional        shares of Class A common stock from the selling stockholder. They may exercise that option for 30 days. If any shares are purchased pursuant to this option, the underwriters will severally purchase shares in approximately the same proportion as set forth in the table above.</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stockholder in connection with this offering. Such amounts are shown assuming both no exercise and full exercise of the underwriters’ option to purchase        additional shares.</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3160" w:type="dxa"/>
            <w:vAlign w:val="bottom"/>
          </w:tcPr>
          <w:p>
            <w:pPr>
              <w:spacing w:after="0"/>
              <w:rPr>
                <w:sz w:val="20"/>
                <w:szCs w:val="20"/>
                <w:color w:val="auto"/>
              </w:rPr>
            </w:pPr>
            <w:r>
              <w:rPr>
                <w:rFonts w:ascii="Arial" w:cs="Arial" w:eastAsia="Arial" w:hAnsi="Arial"/>
                <w:sz w:val="14"/>
                <w:szCs w:val="14"/>
                <w:b w:val="1"/>
                <w:bCs w:val="1"/>
                <w:color w:val="auto"/>
              </w:rPr>
              <w:t>​</w:t>
            </w:r>
          </w:p>
        </w:tc>
        <w:tc>
          <w:tcPr>
            <w:tcW w:w="4380" w:type="dxa"/>
            <w:vAlign w:val="bottom"/>
            <w:gridSpan w:val="6"/>
          </w:tcPr>
          <w:p>
            <w:pPr>
              <w:ind w:left="24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No Exercise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Full Exercise</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6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xml:space="preserve">$      </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xml:space="preserve">$      </w:t>
            </w:r>
          </w:p>
        </w:tc>
        <w:tc>
          <w:tcPr>
            <w:tcW w:w="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3340" w:type="dxa"/>
            <w:vAlign w:val="bottom"/>
            <w:tcBorders>
              <w:right w:val="single" w:sz="8" w:color="CCEEFF"/>
            </w:tcBorders>
            <w:gridSpan w:val="2"/>
            <w:shd w:val="clear" w:color="auto" w:fill="CCEEFF"/>
          </w:tcPr>
          <w:p>
            <w:pPr>
              <w:ind w:left="2440"/>
              <w:spacing w:after="0" w:line="54" w:lineRule="exact"/>
              <w:rPr>
                <w:sz w:val="20"/>
                <w:szCs w:val="20"/>
                <w:color w:val="auto"/>
              </w:rPr>
            </w:pPr>
            <w:r>
              <w:rPr>
                <w:rFonts w:ascii="Arial" w:cs="Arial" w:eastAsia="Arial" w:hAnsi="Arial"/>
                <w:sz w:val="6"/>
                <w:szCs w:val="6"/>
                <w:color w:val="auto"/>
              </w:rPr>
              <w:t>​ ​ ​</w:t>
            </w:r>
          </w:p>
        </w:tc>
        <w:tc>
          <w:tcPr>
            <w:tcW w:w="22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ind w:left="60"/>
              <w:spacing w:after="0" w:line="54" w:lineRule="exact"/>
              <w:rPr>
                <w:sz w:val="20"/>
                <w:szCs w:val="20"/>
                <w:color w:val="auto"/>
              </w:rPr>
            </w:pPr>
            <w:r>
              <w:rPr>
                <w:rFonts w:ascii="Arial" w:cs="Arial" w:eastAsia="Arial" w:hAnsi="Arial"/>
                <w:sz w:val="6"/>
                <w:szCs w:val="6"/>
                <w:color w:val="auto"/>
              </w:rPr>
              <w:t>​</w:t>
            </w:r>
          </w:p>
        </w:tc>
        <w:tc>
          <w:tcPr>
            <w:tcW w:w="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70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17"/>
                <w:szCs w:val="17"/>
                <w:color w:val="auto"/>
              </w:rPr>
            </w:pPr>
          </w:p>
        </w:tc>
        <w:tc>
          <w:tcPr>
            <w:tcW w:w="3340" w:type="dxa"/>
            <w:vAlign w:val="bottom"/>
            <w:gridSpan w:val="2"/>
          </w:tcPr>
          <w:p>
            <w:pPr>
              <w:ind w:left="2440"/>
              <w:spacing w:after="0" w:line="204" w:lineRule="exact"/>
              <w:rPr>
                <w:sz w:val="20"/>
                <w:szCs w:val="20"/>
                <w:color w:val="auto"/>
              </w:rPr>
            </w:pPr>
            <w:r>
              <w:rPr>
                <w:rFonts w:ascii="Arial" w:cs="Arial" w:eastAsia="Arial" w:hAnsi="Arial"/>
                <w:sz w:val="18"/>
                <w:szCs w:val="18"/>
                <w:color w:val="auto"/>
              </w:rPr>
              <w:t>​ ​ ​</w:t>
            </w:r>
          </w:p>
        </w:tc>
        <w:tc>
          <w:tcPr>
            <w:tcW w:w="220" w:type="dxa"/>
            <w:vAlign w:val="bottom"/>
            <w:vMerge w:val="continue"/>
          </w:tcPr>
          <w:p>
            <w:pPr>
              <w:spacing w:after="0"/>
              <w:rPr>
                <w:sz w:val="17"/>
                <w:szCs w:val="17"/>
                <w:color w:val="auto"/>
              </w:rPr>
            </w:pPr>
          </w:p>
        </w:tc>
        <w:tc>
          <w:tcPr>
            <w:tcW w:w="700" w:type="dxa"/>
            <w:vAlign w:val="bottom"/>
          </w:tcPr>
          <w:p>
            <w:pPr>
              <w:ind w:left="60"/>
              <w:spacing w:after="0" w:line="20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260" w:right="419" w:firstLine="360"/>
        <w:spacing w:after="0" w:line="239"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and the selling stockholder have agreed or will agree with the underwriters that, through and including the 90th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 activity described in clauses (1), (2) or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above.</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Goldman Sachs &amp; Co. LLC and Morgan Stanley &amp; Co. LLC may, in their discretion, release any of the securities subject to these lock-up agreements at any time.</w:t>
      </w:r>
    </w:p>
    <w:p>
      <w:pPr>
        <w:spacing w:after="0" w:line="103"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We, our directors and executive officers and the selling stockholder entered into agreements containing similar lock-up restrictions in connection with the Mobileye IPO. In connection with this offering, Goldman Sachs &amp; Co. LLC and Morgan Stanley &amp; Co. LLC have agreed to release the lock-up restrictions entered into in connection with the Mobileye IPO that are applicable to us and the selling stockholder to the extent necessary to permit this offering. The release of such lock-up restrictions relates only to the sale of shares in this offering and will become effective at the time of pricing of this offering. The lock-up restrictions entered into in connection with the Mobileye IPO, including those applicable to the selling stockholder, will otherwise continue for the original 180-day period provided for pursuant to such restrictions, and shares subject to such restrictions will become eligible to be sold beginning on April 23, 2023 (except to the extent restricted by the lock-up restrictions, described above, entered into in connection with this offering).</w:t>
      </w:r>
    </w:p>
    <w:p>
      <w:pPr>
        <w:spacing w:after="0" w:line="113"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closing of this offering.</w:t>
      </w:r>
    </w:p>
    <w:p>
      <w:pPr>
        <w:spacing w:after="0" w:line="121"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105"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$      million.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also agree to reimburse the underwriters for expenses in an amount not to exceed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$      relating to clearance of this offering with the Financial Industry Regulatory Authority. We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selling stockholders will also agree to indemnify the several underwriters against certain liabilities,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liabilities under the Securities Act.</w:t>
      </w:r>
    </w:p>
    <w:p>
      <w:pPr>
        <w:spacing w:after="0" w:line="130"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4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In relation to each EEA Member State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Class A common stock may be offered to the public in that Relevant Member State at any time:</w:t>
      </w:r>
    </w:p>
    <w:p>
      <w:pPr>
        <w:spacing w:after="0" w:line="108" w:lineRule="exact"/>
        <w:rPr>
          <w:sz w:val="20"/>
          <w:szCs w:val="20"/>
          <w:color w:val="auto"/>
        </w:rPr>
      </w:pPr>
    </w:p>
    <w:p>
      <w:pPr>
        <w:ind w:left="1980" w:right="999" w:hanging="360"/>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02"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provided that no such offer of the shares of Class A common stock shall require the Company and/or Selling Shareholders or any Bank to publish a prospectus pursuant to Article 3 of the Prospectus Regulation or supplement a prospectus pursuant to Article 23 of the Prospectus Regulation.</w:t>
      </w:r>
    </w:p>
    <w:p>
      <w:pPr>
        <w:spacing w:after="0" w:line="116"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10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of Class A common stock under, the Offering contemplated hereby will be deemed to have represented, warranted and agreed to and with each of the Underwriters and their affiliates and the Company that:</w:t>
      </w:r>
    </w:p>
    <w:p>
      <w:pPr>
        <w:spacing w:after="0" w:line="119" w:lineRule="exact"/>
        <w:rPr>
          <w:sz w:val="20"/>
          <w:szCs w:val="20"/>
          <w:color w:val="auto"/>
        </w:rPr>
      </w:pPr>
    </w:p>
    <w:p>
      <w:pPr>
        <w:ind w:left="1980" w:hanging="360"/>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44" w:lineRule="exact"/>
        <w:rPr>
          <w:rFonts w:ascii="Arial" w:cs="Arial" w:eastAsia="Arial" w:hAnsi="Arial"/>
          <w:sz w:val="18"/>
          <w:szCs w:val="18"/>
          <w:color w:val="auto"/>
        </w:rPr>
      </w:pPr>
    </w:p>
    <w:p>
      <w:pPr>
        <w:ind w:left="1980" w:right="419" w:hanging="360"/>
        <w:spacing w:after="0" w:line="270" w:lineRule="auto"/>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any shares of Class A common stock acquired by it as a financial intermediary, as that term is used in Article 5 of the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of Class A common stock have been acquired by it on behalf of persons in any Relevant Member State other than qualified investors, the offer of</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980" w:right="919"/>
        <w:spacing w:after="0" w:line="261" w:lineRule="auto"/>
        <w:rPr>
          <w:sz w:val="20"/>
          <w:szCs w:val="20"/>
          <w:color w:val="auto"/>
        </w:rPr>
      </w:pPr>
      <w:r>
        <w:rPr>
          <w:rFonts w:ascii="Arial" w:cs="Arial" w:eastAsia="Arial" w:hAnsi="Arial"/>
          <w:sz w:val="18"/>
          <w:szCs w:val="18"/>
          <w:color w:val="auto"/>
        </w:rPr>
        <w:t>those shares of Class A common stock to it is not treated under the Prospectus Regulation as having been made to such persons.</w:t>
      </w:r>
    </w:p>
    <w:p>
      <w:pPr>
        <w:spacing w:after="0" w:line="103" w:lineRule="exact"/>
        <w:rPr>
          <w:sz w:val="20"/>
          <w:szCs w:val="20"/>
          <w:color w:val="auto"/>
        </w:rPr>
      </w:pPr>
    </w:p>
    <w:p>
      <w:pPr>
        <w:jc w:val="both"/>
        <w:ind w:left="1260" w:right="459" w:firstLine="360"/>
        <w:spacing w:after="0" w:line="245" w:lineRule="auto"/>
        <w:rPr>
          <w:sz w:val="20"/>
          <w:szCs w:val="20"/>
          <w:color w:val="auto"/>
        </w:rPr>
      </w:pPr>
      <w:r>
        <w:rPr>
          <w:rFonts w:ascii="Arial" w:cs="Arial" w:eastAsia="Arial" w:hAnsi="Arial"/>
          <w:sz w:val="18"/>
          <w:szCs w:val="18"/>
          <w:color w:val="auto"/>
        </w:rPr>
        <w:t>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of Class A common stock in the Offering.</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6"/>
          <w:szCs w:val="16"/>
          <w:color w:val="auto"/>
        </w:rPr>
        <w:t>This Prospectus and any other material in relation to the shares of Class A common stock described herein is only being distributed to, and is only directed at, and any investment or investment activity to which this Prospectus relates is available only to, and will be engaged in only with persons who are</w:t>
      </w:r>
    </w:p>
    <w:p>
      <w:pPr>
        <w:spacing w:after="0" w:line="2" w:lineRule="exact"/>
        <w:rPr>
          <w:sz w:val="20"/>
          <w:szCs w:val="20"/>
          <w:color w:val="auto"/>
        </w:rPr>
      </w:pPr>
    </w:p>
    <w:p>
      <w:pPr>
        <w:ind w:left="1260" w:right="459"/>
        <w:spacing w:after="0" w:line="257" w:lineRule="auto"/>
        <w:tabs>
          <w:tab w:leader="none" w:pos="14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of Class A common stock may otherwise lawfully be communicated or caused to be communicated, (all such persons together being referred to as “</w:t>
      </w:r>
      <w:r>
        <w:rPr>
          <w:rFonts w:ascii="Arial" w:cs="Arial" w:eastAsia="Arial" w:hAnsi="Arial"/>
          <w:sz w:val="17"/>
          <w:szCs w:val="17"/>
          <w:b w:val="1"/>
          <w:bCs w:val="1"/>
          <w:color w:val="auto"/>
        </w:rPr>
        <w:t>Relevant Persons</w:t>
      </w:r>
      <w:r>
        <w:rPr>
          <w:rFonts w:ascii="Arial" w:cs="Arial" w:eastAsia="Arial" w:hAnsi="Arial"/>
          <w:sz w:val="17"/>
          <w:szCs w:val="17"/>
          <w:color w:val="auto"/>
        </w:rPr>
        <w:t>”). The shares of Class A common stock are only available in the UK to, and any invitation, offer or agreement to purchase or otherwise acquire the shares of Class A common stock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11"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100" w:lineRule="exact"/>
        <w:rPr>
          <w:sz w:val="20"/>
          <w:szCs w:val="20"/>
          <w:color w:val="auto"/>
        </w:rPr>
      </w:pPr>
    </w:p>
    <w:p>
      <w:pPr>
        <w:ind w:left="1980" w:right="679" w:hanging="360"/>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02"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Global Coordinators for any such offer; or</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provided that no such offer of the shares of Class A common stock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w:t>
      </w:r>
    </w:p>
    <w:p>
      <w:pPr>
        <w:spacing w:after="0" w:line="11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Each person in the UK who acquires any shares of Class A common stock in the Offer or to whom any offer is made will be deemed to have represented, acknowledged and agreed to and with the Company, the Underwriters and their affiliates that it meets the criteria outlined in this section.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ind w:left="1260" w:right="839" w:firstLine="360"/>
        <w:spacing w:after="0" w:line="278" w:lineRule="auto"/>
        <w:rPr>
          <w:sz w:val="20"/>
          <w:szCs w:val="20"/>
          <w:color w:val="auto"/>
        </w:rPr>
      </w:pPr>
      <w:r>
        <w:rPr>
          <w:rFonts w:ascii="Arial" w:cs="Arial" w:eastAsia="Arial" w:hAnsi="Arial"/>
          <w:sz w:val="17"/>
          <w:szCs w:val="17"/>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w:t>
      </w: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directed only at, (i) a limited number of persons in accordance with the Israeli Securities Law and</w:t>
      </w:r>
    </w:p>
    <w:p>
      <w:pPr>
        <w:spacing w:after="0" w:line="12" w:lineRule="exact"/>
        <w:rPr>
          <w:sz w:val="20"/>
          <w:szCs w:val="20"/>
          <w:color w:val="auto"/>
        </w:rPr>
      </w:pPr>
    </w:p>
    <w:p>
      <w:pPr>
        <w:ind w:left="1260" w:right="459"/>
        <w:spacing w:after="0" w:line="256" w:lineRule="auto"/>
        <w:tabs>
          <w:tab w:leader="none" w:pos="15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05"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5" w:lineRule="exact"/>
        <w:rPr>
          <w:sz w:val="20"/>
          <w:szCs w:val="20"/>
          <w:color w:val="auto"/>
        </w:rPr>
      </w:pPr>
    </w:p>
    <w:p>
      <w:pPr>
        <w:ind w:left="1260" w:right="979" w:firstLine="360"/>
        <w:spacing w:after="0" w:line="24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w:t>
      </w:r>
    </w:p>
    <w:p>
      <w:pPr>
        <w:spacing w:after="0" w:line="2" w:lineRule="exact"/>
        <w:rPr>
          <w:sz w:val="20"/>
          <w:szCs w:val="20"/>
          <w:color w:val="auto"/>
        </w:rPr>
      </w:pPr>
    </w:p>
    <w:p>
      <w:pPr>
        <w:ind w:left="1260" w:right="539"/>
        <w:spacing w:after="0" w:line="241" w:lineRule="auto"/>
        <w:rPr>
          <w:sz w:val="20"/>
          <w:szCs w:val="20"/>
          <w:color w:val="auto"/>
        </w:rPr>
      </w:pPr>
      <w:r>
        <w:rPr>
          <w:rFonts w:ascii="Arial" w:cs="Arial" w:eastAsia="Arial" w:hAnsi="Arial"/>
          <w:sz w:val="18"/>
          <w:szCs w:val="18"/>
          <w:color w:val="auto"/>
        </w:rPr>
        <w:t>(Winding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w:t>
      </w: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2" w:lineRule="exact"/>
        <w:rPr>
          <w:sz w:val="20"/>
          <w:szCs w:val="20"/>
          <w:color w:val="auto"/>
        </w:rPr>
      </w:pPr>
    </w:p>
    <w:p>
      <w:pPr>
        <w:ind w:left="1520" w:hanging="260"/>
        <w:spacing w:after="0"/>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(4) where the transfer is by operation of law,</w:t>
      </w:r>
    </w:p>
    <w:p>
      <w:pPr>
        <w:spacing w:after="0" w:line="7" w:lineRule="exact"/>
        <w:rPr>
          <w:rFonts w:ascii="Arial" w:cs="Arial" w:eastAsia="Arial" w:hAnsi="Arial"/>
          <w:sz w:val="17"/>
          <w:szCs w:val="17"/>
          <w:color w:val="auto"/>
        </w:rPr>
      </w:pPr>
    </w:p>
    <w:p>
      <w:pPr>
        <w:ind w:left="1260" w:right="659"/>
        <w:spacing w:after="0" w:line="288" w:lineRule="auto"/>
        <w:tabs>
          <w:tab w:leader="none" w:pos="152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specified in Section 276(7) of the SFA, or (6) as specified in Regulation 32 of the Securities and Futures (Offers of Investments) (Shares and Debentures) Regulations 2005 of Singapore (Regulation 32).</w:t>
      </w:r>
    </w:p>
    <w:p>
      <w:pPr>
        <w:spacing w:after="0" w:line="8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1" w:lineRule="exact"/>
        <w:rPr>
          <w:sz w:val="20"/>
          <w:szCs w:val="20"/>
          <w:color w:val="auto"/>
        </w:rPr>
      </w:pPr>
    </w:p>
    <w:p>
      <w:pPr>
        <w:ind w:left="1520" w:hanging="260"/>
        <w:spacing w:after="0"/>
        <w:tabs>
          <w:tab w:leader="none" w:pos="1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(4) where the transfer is by operation of law,</w:t>
      </w:r>
    </w:p>
    <w:p>
      <w:pPr>
        <w:spacing w:after="0" w:line="8" w:lineRule="exact"/>
        <w:rPr>
          <w:rFonts w:ascii="Arial" w:cs="Arial" w:eastAsia="Arial" w:hAnsi="Arial"/>
          <w:sz w:val="17"/>
          <w:szCs w:val="17"/>
          <w:color w:val="auto"/>
        </w:rPr>
      </w:pPr>
    </w:p>
    <w:p>
      <w:pPr>
        <w:ind w:left="1520" w:hanging="260"/>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Japan</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58"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Switzerland</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nor any other offering or marketing material relating to the Class A common stock or the offering may be publicly distributed or otherwise made publicly available in Switzerland.</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Australia</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our Class A common stock may only be made to persons, or Exempt</w:t>
      </w:r>
    </w:p>
    <w:p>
      <w:pPr>
        <w:spacing w:after="0" w:line="23"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95"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8"/>
          <w:szCs w:val="18"/>
          <w:color w:val="auto"/>
        </w:rPr>
        <w:t>The validity of the shares of our Class A common stock offered by this prospectus will be passed upon for us by Davis Polk &amp; Wardwell LLP, New York, New York, and for the underwriters by Sullivan &amp; Cromwell LLP, Palo Alto, California.</w:t>
      </w:r>
    </w:p>
    <w:p>
      <w:pPr>
        <w:spacing w:after="0" w:line="16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The financial statements incorporated in this Prospectus by reference to the Annual Report on Form 10-K for the year ended December 31, 2022 have been so incorporated in reliance on the report of Kesselman</w:t>
      </w:r>
    </w:p>
    <w:p>
      <w:pPr>
        <w:jc w:val="both"/>
        <w:ind w:left="1260" w:right="539"/>
        <w:spacing w:after="0" w:line="255" w:lineRule="auto"/>
        <w:tabs>
          <w:tab w:leader="none" w:pos="1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Kesselman, Certified Public Accountants (Isr.), a member firm of PricewaterhouseCoopers International Limited, an independent registered public accounting firm, given on the authority of said firm as experts in auditing and accounting.</w:t>
      </w:r>
    </w:p>
    <w:p>
      <w:pPr>
        <w:spacing w:after="0" w:line="122"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31, 2022.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88" w:lineRule="exact"/>
        <w:rPr>
          <w:sz w:val="20"/>
          <w:szCs w:val="20"/>
          <w:color w:val="auto"/>
        </w:rPr>
      </w:pPr>
    </w:p>
    <w:p>
      <w:pPr>
        <w:ind w:left="1800" w:right="419" w:hanging="180"/>
        <w:spacing w:after="0" w:line="272"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2"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From July 2020 through December 2021, a PwC member firm provided services pursuant to a contingent fee arrangement.</w:t>
      </w:r>
    </w:p>
    <w:p>
      <w:pPr>
        <w:spacing w:after="0" w:line="62"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92"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9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31, 2022 and December 25, 2021 and for the years ended December 31, 2022, December 25, 2021 and December 26, 2020 and (2) no reasonable investor would conclude otherwise.</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jc w:val="both"/>
        <w:ind w:left="1260" w:right="1059" w:firstLine="360"/>
        <w:spacing w:after="0" w:line="263" w:lineRule="auto"/>
        <w:rPr>
          <w:sz w:val="20"/>
          <w:szCs w:val="20"/>
          <w:color w:val="auto"/>
        </w:rPr>
      </w:pPr>
      <w:r>
        <w:rPr>
          <w:rFonts w:ascii="Arial" w:cs="Arial" w:eastAsia="Arial" w:hAnsi="Arial"/>
          <w:sz w:val="18"/>
          <w:szCs w:val="18"/>
          <w:color w:val="auto"/>
        </w:rPr>
        <w:t>The rules of the SEC allow us to incorporate information into this prospectus by reference. The information incorporated by reference is considered to be a part of this prospectus. This prospectus incorporates by reference the documents listed below.</w:t>
      </w:r>
    </w:p>
    <w:p>
      <w:pPr>
        <w:spacing w:after="0" w:line="76" w:lineRule="exact"/>
        <w:rPr>
          <w:sz w:val="20"/>
          <w:szCs w:val="20"/>
          <w:color w:val="auto"/>
        </w:rPr>
      </w:pPr>
    </w:p>
    <w:p>
      <w:pPr>
        <w:ind w:left="1800" w:right="7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2022, filed on March 9, 2023; and</w:t>
      </w:r>
    </w:p>
    <w:p>
      <w:pPr>
        <w:spacing w:after="0" w:line="62" w:lineRule="exact"/>
        <w:rPr>
          <w:rFonts w:ascii="Arial" w:cs="Arial" w:eastAsia="Arial" w:hAnsi="Arial"/>
          <w:sz w:val="18"/>
          <w:szCs w:val="18"/>
          <w:color w:val="auto"/>
        </w:rPr>
      </w:pPr>
    </w:p>
    <w:p>
      <w:pPr>
        <w:ind w:left="1800" w:right="419" w:hanging="180"/>
        <w:spacing w:after="0" w:line="275" w:lineRule="auto"/>
        <w:tabs>
          <w:tab w:leader="none" w:pos="1800" w:val="left"/>
        </w:tabs>
        <w:numPr>
          <w:ilvl w:val="0"/>
          <w:numId w:val="48"/>
        </w:numPr>
        <w:rPr>
          <w:rFonts w:ascii="Arial" w:cs="Arial" w:eastAsia="Arial" w:hAnsi="Arial"/>
          <w:sz w:val="17"/>
          <w:szCs w:val="17"/>
          <w:color w:val="0000EE"/>
        </w:rPr>
      </w:pPr>
      <w:hyperlink r:id="rId139">
        <w:r>
          <w:rPr>
            <w:rFonts w:ascii="Arial" w:cs="Arial" w:eastAsia="Arial" w:hAnsi="Arial"/>
            <w:sz w:val="17"/>
            <w:szCs w:val="17"/>
            <w:color w:val="auto"/>
          </w:rPr>
          <w:t xml:space="preserve">the description of our common stock contained in </w:t>
        </w:r>
        <w:r>
          <w:rPr>
            <w:rFonts w:ascii="Arial" w:cs="Arial" w:eastAsia="Arial" w:hAnsi="Arial"/>
            <w:sz w:val="17"/>
            <w:szCs w:val="17"/>
            <w:u w:val="single" w:color="auto"/>
            <w:color w:val="0000EE"/>
          </w:rPr>
          <w:t>our Registration Statement on Form 8-A, filed</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EE"/>
          </w:rPr>
          <w:t>with the SEC on October 26, 2022 (File No. 001-41541),</w:t>
        </w:r>
        <w:r>
          <w:rPr>
            <w:rFonts w:ascii="Arial" w:cs="Arial" w:eastAsia="Arial" w:hAnsi="Arial"/>
            <w:sz w:val="17"/>
            <w:szCs w:val="17"/>
            <w:color w:val="0000EE"/>
          </w:rPr>
          <w:t xml:space="preserve"> </w:t>
        </w:r>
        <w:r>
          <w:rPr>
            <w:rFonts w:ascii="Arial" w:cs="Arial" w:eastAsia="Arial" w:hAnsi="Arial"/>
            <w:sz w:val="17"/>
            <w:szCs w:val="17"/>
            <w:color w:val="000000"/>
          </w:rPr>
          <w:t>pursuant to Section 12(b) of the Securities</w:t>
        </w:r>
      </w:hyperlink>
      <w:r>
        <w:rPr>
          <w:rFonts w:ascii="Arial" w:cs="Arial" w:eastAsia="Arial" w:hAnsi="Arial"/>
          <w:sz w:val="17"/>
          <w:szCs w:val="17"/>
          <w:color w:val="0000EE"/>
        </w:rPr>
        <w:t xml:space="preserve"> </w:t>
      </w:r>
      <w:r>
        <w:rPr>
          <w:rFonts w:ascii="Arial" w:cs="Arial" w:eastAsia="Arial" w:hAnsi="Arial"/>
          <w:sz w:val="17"/>
          <w:szCs w:val="17"/>
          <w:color w:val="000000"/>
        </w:rPr>
        <w:t>Exchange Act of 1934, as amended (the “Exchange Act”), including any amendments or reports filed for the purpose of updating such description, including the description of our common stock included as Exhibit 4.1 to our Annual Report on Form 10-K filed with the SEC on March 9, 2023.</w:t>
      </w:r>
    </w:p>
    <w:p>
      <w:pPr>
        <w:spacing w:after="0" w:line="109" w:lineRule="exact"/>
        <w:rPr>
          <w:rFonts w:ascii="Arial" w:cs="Arial" w:eastAsia="Arial" w:hAnsi="Arial"/>
          <w:sz w:val="17"/>
          <w:szCs w:val="17"/>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Any statement made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20" w:lineRule="exact"/>
        <w:rPr>
          <w:rFonts w:ascii="Arial" w:cs="Arial" w:eastAsia="Arial" w:hAnsi="Arial"/>
          <w:sz w:val="17"/>
          <w:szCs w:val="17"/>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 xml:space="preserve">You can obtain any of the filings incorporated by reference into this prospectus through us or from the SEC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Mobileye Investor Relations; investors@mobileye.com; telephone: +1 (917) 960-1525.</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2" w:lineRule="exact"/>
        <w:rPr>
          <w:rFonts w:ascii="Arial" w:cs="Arial" w:eastAsia="Arial" w:hAnsi="Arial"/>
          <w:sz w:val="17"/>
          <w:szCs w:val="17"/>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30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have filed a registration statement on Form S-1 with the SEC with respect to the registration of the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1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 xml:space="preserve">We are required to file periodic reports, proxy statements and other information with the SEC. These periodic reports, proxy statements and other information are available for inspection and copying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We also maintain a website at www.mobileye.com at which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1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Confidential Treatment Requested by Mobileye Global Inc. Pursuant to 17 C.F.R. § 200.83.</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20"/>
        <w:spacing w:after="0"/>
        <w:rPr>
          <w:sz w:val="20"/>
          <w:szCs w:val="20"/>
          <w:color w:val="auto"/>
        </w:rPr>
      </w:pPr>
      <w:r>
        <w:rPr>
          <w:rFonts w:ascii="Arial" w:cs="Arial" w:eastAsia="Arial" w:hAnsi="Arial"/>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474980</wp:posOffset>
            </wp:positionV>
            <wp:extent cx="2726055" cy="419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72605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40"/>
        <w:spacing w:after="0"/>
        <w:rPr>
          <w:sz w:val="20"/>
          <w:szCs w:val="20"/>
          <w:color w:val="auto"/>
        </w:rPr>
      </w:pPr>
      <w:r>
        <w:rPr>
          <w:rFonts w:ascii="Arial" w:cs="Arial" w:eastAsia="Arial" w:hAnsi="Arial"/>
          <w:sz w:val="29"/>
          <w:szCs w:val="29"/>
          <w:b w:val="1"/>
          <w:bCs w:val="1"/>
          <w:color w:val="auto"/>
        </w:rPr>
        <w:t>Mobileye Global Inc.</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1246505</wp:posOffset>
            </wp:positionV>
            <wp:extent cx="1234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399"/>
        <w:spacing w:after="0"/>
        <w:tabs>
          <w:tab w:leader="none" w:pos="2120" w:val="left"/>
        </w:tabs>
        <w:rPr>
          <w:sz w:val="20"/>
          <w:szCs w:val="20"/>
          <w:color w:val="auto"/>
        </w:rPr>
      </w:pPr>
      <w:r>
        <w:rPr>
          <w:rFonts w:ascii="Arial" w:cs="Arial" w:eastAsia="Arial" w:hAnsi="Arial"/>
          <w:sz w:val="32"/>
          <w:szCs w:val="32"/>
          <w:b w:val="1"/>
          <w:bCs w:val="1"/>
          <w:color w:val="auto"/>
        </w:rPr>
        <w:t>Goldman Sachs &amp; Co. LLC</w:t>
      </w:r>
      <w:r>
        <w:rPr>
          <w:sz w:val="20"/>
          <w:szCs w:val="20"/>
          <w:color w:val="auto"/>
        </w:rPr>
        <w:tab/>
      </w:r>
      <w:r>
        <w:rPr>
          <w:rFonts w:ascii="Arial" w:cs="Arial" w:eastAsia="Arial" w:hAnsi="Arial"/>
          <w:sz w:val="28"/>
          <w:szCs w:val="28"/>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2115820</wp:posOffset>
            </wp:positionV>
            <wp:extent cx="52120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260" w:right="2459" w:firstLine="2046"/>
        <w:spacing w:after="0" w:line="440" w:lineRule="auto"/>
        <w:rPr>
          <w:sz w:val="20"/>
          <w:szCs w:val="20"/>
          <w:color w:val="auto"/>
        </w:rPr>
      </w:pPr>
      <w:r>
        <w:rPr>
          <w:rFonts w:ascii="Arial" w:cs="Arial" w:eastAsia="Arial" w:hAnsi="Arial"/>
          <w:sz w:val="18"/>
          <w:szCs w:val="18"/>
          <w:b w:val="1"/>
          <w:bCs w:val="1"/>
          <w:color w:val="auto"/>
        </w:rPr>
        <w:t>INFORMATION NOT REQUIRED IN PROSPECTUS Item 13. Other Expenses of Issuance and Distribution.</w:t>
      </w:r>
    </w:p>
    <w:p>
      <w:pPr>
        <w:spacing w:after="0" w:line="1" w:lineRule="exact"/>
        <w:rPr>
          <w:sz w:val="20"/>
          <w:szCs w:val="20"/>
          <w:color w:val="auto"/>
        </w:rPr>
      </w:pPr>
    </w:p>
    <w:p>
      <w:pPr>
        <w:jc w:val="both"/>
        <w:ind w:left="1260" w:right="839" w:firstLine="360"/>
        <w:spacing w:after="0" w:line="249" w:lineRule="auto"/>
        <w:rPr>
          <w:sz w:val="20"/>
          <w:szCs w:val="20"/>
          <w:color w:val="auto"/>
        </w:rPr>
      </w:pPr>
      <w:r>
        <w:rPr>
          <w:rFonts w:ascii="Arial" w:cs="Arial" w:eastAsia="Arial" w:hAnsi="Arial"/>
          <w:sz w:val="18"/>
          <w:szCs w:val="18"/>
          <w:color w:val="auto"/>
        </w:rPr>
        <w:t>The following table sets forth all costs and expenses to be paid by us, other than the underwriting discounts and commissions, in connection with the offer and sale of the securities being registered. All amounts shown are estimates except for the SEC registration fee and the Financial Industry Regulatory Authority, Inc. (“FINRA”) filing fee.</w:t>
      </w:r>
    </w:p>
    <w:p>
      <w:pPr>
        <w:spacing w:after="0" w:line="1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ind w:left="160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spacing w:after="0" w:line="225" w:lineRule="exact"/>
              <w:rPr>
                <w:sz w:val="20"/>
                <w:szCs w:val="20"/>
                <w:color w:val="auto"/>
              </w:rPr>
            </w:pPr>
            <w:r>
              <w:rPr>
                <w:rFonts w:ascii="Arial" w:cs="Arial" w:eastAsia="Arial" w:hAnsi="Arial"/>
                <w:sz w:val="14"/>
                <w:szCs w:val="14"/>
                <w:b w:val="1"/>
                <w:bCs w:val="1"/>
                <w:color w:val="auto"/>
                <w:w w:val="93"/>
              </w:rPr>
              <w:t>To Be Paid</w:t>
            </w:r>
            <w:r>
              <w:rPr>
                <w:rFonts w:ascii="Arial" w:cs="Arial" w:eastAsia="Arial" w:hAnsi="Arial"/>
                <w:sz w:val="26"/>
                <w:szCs w:val="26"/>
                <w:b w:val="1"/>
                <w:bCs w:val="1"/>
                <w:color w:val="auto"/>
                <w:w w:val="93"/>
                <w:vertAlign w:val="subscript"/>
              </w:rPr>
              <w:t>​</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760" w:type="dxa"/>
            <w:vAlign w:val="bottom"/>
            <w:vMerge w:val="restart"/>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000" w:type="dxa"/>
            <w:vAlign w:val="bottom"/>
            <w:shd w:val="clear" w:color="auto" w:fill="CCEEFF"/>
          </w:tcPr>
          <w:p>
            <w:pPr>
              <w:spacing w:after="0"/>
              <w:rPr>
                <w:sz w:val="4"/>
                <w:szCs w:val="4"/>
                <w:color w:val="auto"/>
              </w:rPr>
            </w:pPr>
          </w:p>
        </w:tc>
        <w:tc>
          <w:tcPr>
            <w:tcW w:w="1760" w:type="dxa"/>
            <w:vAlign w:val="bottom"/>
            <w:vMerge w:val="continue"/>
            <w:shd w:val="clear" w:color="auto" w:fill="CCEEFF"/>
          </w:tcPr>
          <w:p>
            <w:pPr>
              <w:spacing w:after="0"/>
              <w:rPr>
                <w:sz w:val="4"/>
                <w:szCs w:val="4"/>
                <w:color w:val="auto"/>
              </w:rPr>
            </w:pPr>
          </w:p>
        </w:tc>
        <w:tc>
          <w:tcPr>
            <w:tcW w:w="720" w:type="dxa"/>
            <w:vAlign w:val="bottom"/>
            <w:gridSpan w:val="4"/>
            <w:shd w:val="clear" w:color="auto" w:fill="CCEEFF"/>
          </w:tcPr>
          <w:p>
            <w:pPr>
              <w:ind w:left="20"/>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FINRA filing fee</w:t>
            </w:r>
          </w:p>
        </w:tc>
        <w:tc>
          <w:tcPr>
            <w:tcW w:w="2480" w:type="dxa"/>
            <w:vAlign w:val="bottom"/>
            <w:gridSpan w:val="5"/>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Listing fees</w:t>
            </w:r>
          </w:p>
        </w:tc>
        <w:tc>
          <w:tcPr>
            <w:tcW w:w="2480" w:type="dxa"/>
            <w:vAlign w:val="bottom"/>
            <w:gridSpan w:val="5"/>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Printing expenses</w:t>
            </w:r>
          </w:p>
        </w:tc>
        <w:tc>
          <w:tcPr>
            <w:tcW w:w="2480" w:type="dxa"/>
            <w:vAlign w:val="bottom"/>
            <w:gridSpan w:val="5"/>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80" w:type="dxa"/>
            <w:vAlign w:val="bottom"/>
            <w:gridSpan w:val="5"/>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80" w:type="dxa"/>
            <w:vAlign w:val="bottom"/>
            <w:gridSpan w:val="5"/>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w:t>
            </w:r>
          </w:p>
        </w:tc>
        <w:tc>
          <w:tcPr>
            <w:tcW w:w="2480" w:type="dxa"/>
            <w:vAlign w:val="bottom"/>
            <w:gridSpan w:val="5"/>
            <w:shd w:val="clear" w:color="auto" w:fill="CCEEFF"/>
          </w:tcPr>
          <w:p>
            <w:pPr>
              <w:ind w:left="1660"/>
              <w:spacing w:after="0"/>
              <w:rPr>
                <w:sz w:val="20"/>
                <w:szCs w:val="20"/>
                <w:color w:val="auto"/>
              </w:rPr>
            </w:pPr>
            <w:r>
              <w:rPr>
                <w:rFonts w:ascii="Arial" w:cs="Arial" w:eastAsia="Arial" w:hAnsi="Arial"/>
                <w:sz w:val="18"/>
                <w:szCs w:val="18"/>
                <w:color w:val="auto"/>
              </w:rPr>
              <w:t>​ ​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000" w:type="dxa"/>
            <w:vAlign w:val="bottom"/>
          </w:tcPr>
          <w:p>
            <w:pPr>
              <w:spacing w:after="0"/>
              <w:rPr>
                <w:sz w:val="20"/>
                <w:szCs w:val="20"/>
                <w:color w:val="auto"/>
              </w:rPr>
            </w:pPr>
            <w:r>
              <w:rPr>
                <w:rFonts w:ascii="Arial" w:cs="Arial" w:eastAsia="Arial" w:hAnsi="Arial"/>
                <w:sz w:val="18"/>
                <w:szCs w:val="18"/>
                <w:color w:val="auto"/>
              </w:rPr>
              <w:t>Miscellaneous</w:t>
            </w:r>
          </w:p>
        </w:tc>
        <w:tc>
          <w:tcPr>
            <w:tcW w:w="2480" w:type="dxa"/>
            <w:vAlign w:val="bottom"/>
            <w:gridSpan w:val="5"/>
          </w:tcPr>
          <w:p>
            <w:pPr>
              <w:ind w:left="1660"/>
              <w:spacing w:after="0" w:line="28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2"/>
                <w:szCs w:val="32"/>
                <w:color w:val="auto"/>
                <w:vertAlign w:val="superscript"/>
              </w:rPr>
              <w:t>​</w:t>
            </w:r>
          </w:p>
        </w:tc>
        <w:tc>
          <w:tcPr>
            <w:tcW w:w="60" w:type="dxa"/>
            <w:vAlign w:val="bottom"/>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vMerge w:val="restart"/>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5000" w:type="dxa"/>
            <w:vAlign w:val="bottom"/>
            <w:shd w:val="clear" w:color="auto" w:fill="CCEEFF"/>
          </w:tcPr>
          <w:p>
            <w:pPr>
              <w:spacing w:after="0"/>
              <w:rPr>
                <w:sz w:val="7"/>
                <w:szCs w:val="7"/>
                <w:color w:val="auto"/>
              </w:rPr>
            </w:pPr>
          </w:p>
        </w:tc>
        <w:tc>
          <w:tcPr>
            <w:tcW w:w="1760" w:type="dxa"/>
            <w:vAlign w:val="bottom"/>
            <w:vMerge w:val="continue"/>
            <w:shd w:val="clear" w:color="auto" w:fill="CCEEFF"/>
          </w:tcPr>
          <w:p>
            <w:pPr>
              <w:spacing w:after="0"/>
              <w:rPr>
                <w:sz w:val="7"/>
                <w:szCs w:val="7"/>
                <w:color w:val="auto"/>
              </w:rPr>
            </w:pPr>
          </w:p>
        </w:tc>
        <w:tc>
          <w:tcPr>
            <w:tcW w:w="720" w:type="dxa"/>
            <w:vAlign w:val="bottom"/>
            <w:gridSpan w:val="4"/>
            <w:shd w:val="clear" w:color="auto" w:fill="CCEEFF"/>
          </w:tcPr>
          <w:p>
            <w:pPr>
              <w:ind w:left="20"/>
              <w:spacing w:after="0"/>
              <w:rPr>
                <w:sz w:val="20"/>
                <w:szCs w:val="20"/>
                <w:color w:val="auto"/>
              </w:rPr>
            </w:pPr>
            <w:r>
              <w:rPr>
                <w:rFonts w:ascii="Arial" w:cs="Arial" w:eastAsia="Arial" w:hAnsi="Arial"/>
                <w:sz w:val="4"/>
                <w:szCs w:val="4"/>
                <w:color w:val="auto"/>
              </w:rPr>
              <w:t>​ ​</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-1259840</wp:posOffset>
            </wp:positionV>
            <wp:extent cx="474916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-916940</wp:posOffset>
            </wp:positionV>
            <wp:extent cx="474916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59"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119" w:lineRule="exact"/>
        <w:rPr>
          <w:sz w:val="20"/>
          <w:szCs w:val="20"/>
          <w:color w:val="auto"/>
        </w:rPr>
      </w:pPr>
    </w:p>
    <w:p>
      <w:pPr>
        <w:ind w:left="1260" w:right="499" w:firstLine="360"/>
        <w:spacing w:after="0" w:line="245" w:lineRule="auto"/>
        <w:rPr>
          <w:sz w:val="20"/>
          <w:szCs w:val="20"/>
          <w:color w:val="auto"/>
        </w:rPr>
      </w:pPr>
      <w:r>
        <w:rPr>
          <w:rFonts w:ascii="Arial" w:cs="Arial" w:eastAsia="Arial" w:hAnsi="Arial"/>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 Registrant to advance any expenses incurred by its directors and officers as a result of any proceeding against them as to which they could be indemnified and to obtain and maintain directors’ and officers’ insurance.</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9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99"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78"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162"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w:t>
      </w:r>
    </w:p>
    <w:p>
      <w:pPr>
        <w:spacing w:after="0" w:line="113" w:lineRule="exact"/>
        <w:rPr>
          <w:sz w:val="20"/>
          <w:szCs w:val="20"/>
          <w:color w:val="auto"/>
        </w:rPr>
      </w:pPr>
    </w:p>
    <w:p>
      <w:pPr>
        <w:ind w:left="1260" w:right="799" w:firstLine="360"/>
        <w:spacing w:after="0" w:line="249" w:lineRule="auto"/>
        <w:rPr>
          <w:sz w:val="20"/>
          <w:szCs w:val="20"/>
          <w:color w:val="auto"/>
        </w:rPr>
      </w:pPr>
      <w:r>
        <w:rPr>
          <w:rFonts w:ascii="Arial" w:cs="Arial" w:eastAsia="Arial" w:hAnsi="Arial"/>
          <w:sz w:val="18"/>
          <w:szCs w:val="18"/>
          <w:color w:val="auto"/>
        </w:rPr>
        <w:t>Concurrently with the closing of the Mobileye IPO, we closed the sale of 4,761,905 shares of our Class A common stock to General Atlantic (ME), L.P., a Delaware limited partnership, at $21 per share, pursuant to a private placement exempt from registration under Section 4(a)(2) of the Securities Act of 1933, as amended, for gross proceeds of $100 million.</w:t>
      </w:r>
    </w:p>
    <w:p>
      <w:pPr>
        <w:spacing w:after="0" w:line="177"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2" w:lineRule="exact"/>
        <w:rPr>
          <w:sz w:val="20"/>
          <w:szCs w:val="20"/>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applicable or is shown in the financial statements or notes thereto.</w:t>
      </w:r>
    </w:p>
    <w:p>
      <w:pPr>
        <w:spacing w:after="0" w:line="153"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980" w:right="599" w:hanging="360"/>
        <w:spacing w:after="0" w:line="25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06" w:lineRule="exact"/>
        <w:rPr>
          <w:rFonts w:ascii="Arial" w:cs="Arial" w:eastAsia="Arial" w:hAnsi="Arial"/>
          <w:sz w:val="18"/>
          <w:szCs w:val="18"/>
          <w:color w:val="auto"/>
        </w:rPr>
      </w:pPr>
    </w:p>
    <w:p>
      <w:pPr>
        <w:ind w:left="1980" w:right="559" w:hanging="360"/>
        <w:spacing w:after="0" w:line="259"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7"/>
              </w:rPr>
              <w:t>Confidential Treatment Requested by Mobileye Global Inc. Pursuant to 17 C.F.R. § 200.83.</w:t>
            </w:r>
          </w:p>
        </w:tc>
      </w:tr>
      <w:tr>
        <w:trPr>
          <w:trHeight w:val="243"/>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40" w:type="dxa"/>
            <w:vAlign w:val="bottom"/>
            <w:gridSpan w:val="3"/>
          </w:tcPr>
          <w:p>
            <w:pPr>
              <w:jc w:val="center"/>
              <w:ind w:right="760"/>
              <w:spacing w:after="0"/>
              <w:rPr>
                <w:sz w:val="20"/>
                <w:szCs w:val="20"/>
                <w:color w:val="auto"/>
              </w:rPr>
            </w:pPr>
            <w:r>
              <w:rPr>
                <w:rFonts w:ascii="Arial" w:cs="Arial" w:eastAsia="Arial" w:hAnsi="Arial"/>
                <w:sz w:val="18"/>
                <w:szCs w:val="18"/>
                <w:color w:val="auto"/>
                <w:w w:val="79"/>
              </w:rPr>
              <w:t> </w:t>
            </w:r>
          </w:p>
        </w:tc>
      </w:tr>
      <w:tr>
        <w:trPr>
          <w:trHeight w:val="297"/>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rPr>
              <w:t>EXHIBIT INDEX</w:t>
            </w:r>
          </w:p>
        </w:tc>
      </w:tr>
      <w:tr>
        <w:trPr>
          <w:trHeight w:val="315"/>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5"/>
        </w:trPr>
        <w:tc>
          <w:tcPr>
            <w:tcW w:w="500" w:type="dxa"/>
            <w:vAlign w:val="bottom"/>
            <w:tcBorders>
              <w:bottom w:val="single" w:sz="8" w:color="auto"/>
            </w:tcBorders>
          </w:tcPr>
          <w:p>
            <w:pPr>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No.</w:t>
            </w:r>
          </w:p>
        </w:tc>
        <w:tc>
          <w:tcPr>
            <w:tcW w:w="20" w:type="dxa"/>
            <w:vAlign w:val="bottom"/>
            <w:tcBorders>
              <w:bottom w:val="single" w:sz="8" w:color="auto"/>
            </w:tcBorders>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7440" w:type="dxa"/>
            <w:vAlign w:val="bottom"/>
            <w:tcBorders>
              <w:bottom w:val="single" w:sz="8" w:color="auto"/>
            </w:tcBorders>
            <w:gridSpan w:val="3"/>
          </w:tcPr>
          <w:p>
            <w:pPr>
              <w:ind w:left="3380"/>
              <w:spacing w:after="0"/>
              <w:rPr>
                <w:sz w:val="20"/>
                <w:szCs w:val="20"/>
                <w:color w:val="auto"/>
              </w:rPr>
            </w:pPr>
            <w:r>
              <w:rPr>
                <w:rFonts w:ascii="Arial" w:cs="Arial" w:eastAsia="Arial" w:hAnsi="Arial"/>
                <w:sz w:val="14"/>
                <w:szCs w:val="14"/>
                <w:b w:val="1"/>
                <w:bCs w:val="1"/>
                <w:color w:val="auto"/>
              </w:rPr>
              <w:t>Description</w:t>
            </w:r>
          </w:p>
        </w:tc>
      </w:tr>
      <w:tr>
        <w:trPr>
          <w:trHeight w:val="249"/>
        </w:trPr>
        <w:tc>
          <w:tcPr>
            <w:tcW w:w="500" w:type="dxa"/>
            <w:vAlign w:val="bottom"/>
          </w:tcPr>
          <w:p>
            <w:pPr>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1.1*</w:t>
            </w:r>
          </w:p>
        </w:tc>
        <w:tc>
          <w:tcPr>
            <w:tcW w:w="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744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r>
      <w:tr>
        <w:trPr>
          <w:trHeight w:val="230"/>
        </w:trPr>
        <w:tc>
          <w:tcPr>
            <w:tcW w:w="50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3.1</w:t>
            </w:r>
          </w:p>
        </w:tc>
        <w:tc>
          <w:tcPr>
            <w:tcW w:w="7700" w:type="dxa"/>
            <w:vAlign w:val="bottom"/>
            <w:gridSpan w:val="5"/>
          </w:tcPr>
          <w:p>
            <w:pPr>
              <w:ind w:left="20"/>
              <w:spacing w:after="0" w:line="230" w:lineRule="exact"/>
              <w:rPr>
                <w:rFonts w:ascii="Arial" w:cs="Arial" w:eastAsia="Arial" w:hAnsi="Arial"/>
                <w:sz w:val="15"/>
                <w:szCs w:val="15"/>
                <w:color w:val="0000EE"/>
              </w:rPr>
            </w:pPr>
            <w:hyperlink r:id="rId153"/>
            <w:r>
              <w:rPr>
                <w:rFonts w:ascii="Arial" w:cs="Arial" w:eastAsia="Arial" w:hAnsi="Arial"/>
                <w:sz w:val="26"/>
                <w:szCs w:val="26"/>
                <w:color w:val="000000"/>
                <w:vertAlign w:val="superscript"/>
              </w:rPr>
              <w:t>​</w:t>
            </w:r>
            <w:r>
              <w:rPr>
                <w:rFonts w:ascii="Arial" w:cs="Arial" w:eastAsia="Arial" w:hAnsi="Arial"/>
                <w:sz w:val="15"/>
                <w:szCs w:val="15"/>
                <w:color w:val="0000EE"/>
              </w:rPr>
              <w:t xml:space="preserve"> </w:t>
            </w:r>
            <w:r>
              <w:rPr>
                <w:rFonts w:ascii="Arial" w:cs="Arial" w:eastAsia="Arial" w:hAnsi="Arial"/>
                <w:sz w:val="26"/>
                <w:szCs w:val="26"/>
                <w:color w:val="000000"/>
                <w:vertAlign w:val="superscript"/>
              </w:rPr>
              <w:t>​</w:t>
            </w:r>
            <w:r>
              <w:rPr>
                <w:rFonts w:ascii="Arial" w:cs="Arial" w:eastAsia="Arial" w:hAnsi="Arial"/>
                <w:sz w:val="15"/>
                <w:szCs w:val="15"/>
                <w:color w:val="0000EE"/>
              </w:rPr>
              <w:t xml:space="preserve"> </w:t>
            </w:r>
            <w:hyperlink r:id="rId153">
              <w:r>
                <w:rPr>
                  <w:rFonts w:ascii="Arial" w:cs="Arial" w:eastAsia="Arial" w:hAnsi="Arial"/>
                  <w:sz w:val="15"/>
                  <w:szCs w:val="15"/>
                  <w:color w:val="0000EE"/>
                </w:rPr>
                <w:t>Amended and Restated Certificate of Incorporation of Mobileye Global Inc. (incorporated by</w:t>
              </w:r>
            </w:hyperlink>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reference to Exhibit 3.1 to the Company’s Form 8-K filed on October 28, 2022)</w:t>
              </w:r>
            </w:hyperlink>
          </w:p>
        </w:tc>
        <w:tc>
          <w:tcPr>
            <w:tcW w:w="4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9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720"/>
          </w:cols>
          <w:pgMar w:left="580" w:top="90" w:right="599" w:bottom="1440" w:gutter="0" w:footer="0" w:header="0"/>
        </w:sectPr>
      </w:pPr>
    </w:p>
    <w:p>
      <w:pPr>
        <w:ind w:left="1360" w:hanging="100"/>
        <w:spacing w:after="0" w:line="182" w:lineRule="auto"/>
        <w:tabs>
          <w:tab w:leader="none" w:pos="1360" w:val="left"/>
        </w:tabs>
        <w:numPr>
          <w:ilvl w:val="0"/>
          <w:numId w:val="52"/>
        </w:numPr>
        <w:rPr>
          <w:rFonts w:ascii="Arial" w:cs="Arial" w:eastAsia="Arial" w:hAnsi="Arial"/>
          <w:sz w:val="34"/>
          <w:szCs w:val="34"/>
          <w:color w:val="auto"/>
          <w:vertAlign w:val="superscript"/>
        </w:rPr>
      </w:pPr>
      <w:r>
        <w:rPr>
          <w:rFonts w:ascii="Arial" w:cs="Arial" w:eastAsia="Arial" w:hAnsi="Arial"/>
          <w:sz w:val="17"/>
          <w:szCs w:val="17"/>
          <w:color w:val="auto"/>
        </w:rPr>
        <w:t>3.2</w:t>
      </w:r>
    </w:p>
    <w:p>
      <w:pPr>
        <w:spacing w:after="0" w:line="256" w:lineRule="exact"/>
        <w:rPr>
          <w:rFonts w:ascii="Arial" w:cs="Arial" w:eastAsia="Arial" w:hAnsi="Arial"/>
          <w:sz w:val="34"/>
          <w:szCs w:val="34"/>
          <w:color w:val="auto"/>
          <w:vertAlign w:val="superscript"/>
        </w:rPr>
      </w:pPr>
    </w:p>
    <w:p>
      <w:pPr>
        <w:ind w:left="1260" w:right="20"/>
        <w:spacing w:after="0" w:line="188" w:lineRule="auto"/>
        <w:tabs>
          <w:tab w:leader="none" w:pos="1350" w:val="left"/>
        </w:tabs>
        <w:numPr>
          <w:ilvl w:val="0"/>
          <w:numId w:val="52"/>
        </w:numPr>
        <w:rPr>
          <w:rFonts w:ascii="Arial" w:cs="Arial" w:eastAsia="Arial" w:hAnsi="Arial"/>
          <w:sz w:val="36"/>
          <w:szCs w:val="36"/>
          <w:color w:val="auto"/>
          <w:vertAlign w:val="superscript"/>
        </w:rPr>
      </w:pPr>
      <w:r>
        <w:rPr>
          <w:rFonts w:ascii="Arial" w:cs="Arial" w:eastAsia="Arial" w:hAnsi="Arial"/>
          <w:sz w:val="18"/>
          <w:szCs w:val="18"/>
          <w:color w:val="auto"/>
        </w:rPr>
        <w:t>5.1* ​10.1</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​10.2+</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​10.3+</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​10.4+</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​10.5+</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​10.6+</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18" w:right="1380" w:hanging="218"/>
        <w:spacing w:after="0" w:line="188" w:lineRule="auto"/>
        <w:tabs>
          <w:tab w:leader="none" w:pos="110" w:val="left"/>
        </w:tabs>
        <w:numPr>
          <w:ilvl w:val="0"/>
          <w:numId w:val="53"/>
        </w:numPr>
        <w:rPr>
          <w:rFonts w:ascii="Arial" w:cs="Arial" w:eastAsia="Arial" w:hAnsi="Arial"/>
          <w:sz w:val="18"/>
          <w:szCs w:val="18"/>
          <w:u w:val="single" w:color="auto"/>
          <w:color w:val="0000EE"/>
        </w:rPr>
      </w:pPr>
      <w:hyperlink r:id="rId154"/>
      <w:r>
        <w:rPr>
          <w:rFonts w:ascii="Arial" w:cs="Arial" w:eastAsia="Arial" w:hAnsi="Arial"/>
          <w:sz w:val="35"/>
          <w:szCs w:val="35"/>
          <w:color w:val="000000"/>
          <w:vertAlign w:val="superscript"/>
        </w:rPr>
        <w:t>​</w:t>
      </w:r>
      <w:r>
        <w:rPr>
          <w:rFonts w:ascii="Arial" w:cs="Arial" w:eastAsia="Arial" w:hAnsi="Arial"/>
          <w:sz w:val="18"/>
          <w:szCs w:val="18"/>
          <w:color w:val="0000EE"/>
        </w:rPr>
        <w:t xml:space="preserve"> </w:t>
      </w:r>
      <w:hyperlink r:id="rId154">
        <w:r>
          <w:rPr>
            <w:rFonts w:ascii="Arial" w:cs="Arial" w:eastAsia="Arial" w:hAnsi="Arial"/>
            <w:sz w:val="18"/>
            <w:szCs w:val="18"/>
            <w:u w:val="single" w:color="auto"/>
            <w:color w:val="0000EE"/>
          </w:rPr>
          <w:t>Amended and Restated Bylaws of Mobileye Global Inc. (incorporated by reference to Exhibit 3.2</w:t>
        </w:r>
      </w:hyperlink>
      <w:r>
        <w:rPr>
          <w:rFonts w:ascii="Arial" w:cs="Arial" w:eastAsia="Arial" w:hAnsi="Arial"/>
          <w:sz w:val="18"/>
          <w:szCs w:val="18"/>
          <w:color w:val="0000EE"/>
        </w:rPr>
        <w:t xml:space="preserve"> </w:t>
      </w:r>
      <w:hyperlink r:id="rId154">
        <w:r>
          <w:rPr>
            <w:rFonts w:ascii="Arial" w:cs="Arial" w:eastAsia="Arial" w:hAnsi="Arial"/>
            <w:sz w:val="18"/>
            <w:szCs w:val="18"/>
            <w:u w:val="single" w:color="auto"/>
            <w:color w:val="0000EE"/>
          </w:rPr>
          <w:t>to the Company’s Form 8-K filed on October 28, 2022)</w:t>
        </w:r>
      </w:hyperlink>
    </w:p>
    <w:p>
      <w:pPr>
        <w:ind w:left="118" w:hanging="118"/>
        <w:spacing w:after="0" w:line="180" w:lineRule="auto"/>
        <w:tabs>
          <w:tab w:leader="none" w:pos="118" w:val="left"/>
        </w:tabs>
        <w:numPr>
          <w:ilvl w:val="0"/>
          <w:numId w:val="53"/>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Opinion of Davis Polk &amp; Wardwell LLP</w:t>
      </w:r>
    </w:p>
    <w:p>
      <w:pPr>
        <w:spacing w:after="0" w:line="1" w:lineRule="exact"/>
        <w:rPr>
          <w:rFonts w:ascii="Arial" w:cs="Arial" w:eastAsia="Arial" w:hAnsi="Arial"/>
          <w:sz w:val="36"/>
          <w:szCs w:val="36"/>
          <w:color w:val="auto"/>
          <w:vertAlign w:val="superscript"/>
        </w:rPr>
      </w:pPr>
    </w:p>
    <w:p>
      <w:pPr>
        <w:ind w:left="218" w:right="1360" w:hanging="218"/>
        <w:spacing w:after="0" w:line="256"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Director and Officer Indemnification Agreement (incorporated by reference to Exhibit 10.1 to the Company’s Annual Report on Form 10-K filed on March 9, 2023)</w:t>
      </w:r>
    </w:p>
    <w:p>
      <w:pPr>
        <w:spacing w:after="0" w:line="1" w:lineRule="exact"/>
        <w:rPr>
          <w:rFonts w:ascii="Arial" w:cs="Arial" w:eastAsia="Arial" w:hAnsi="Arial"/>
          <w:sz w:val="18"/>
          <w:szCs w:val="18"/>
          <w:color w:val="auto"/>
        </w:rPr>
      </w:pPr>
    </w:p>
    <w:p>
      <w:pPr>
        <w:ind w:left="218" w:right="1800" w:hanging="218"/>
        <w:spacing w:after="0" w:line="281"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Master Transaction Agreement (incorporated by reference to Exhibit 10.2 to the Company’s Annual Report on Form 10-K filed on March 9, 2023)</w:t>
      </w:r>
    </w:p>
    <w:p>
      <w:pPr>
        <w:spacing w:after="0" w:line="1" w:lineRule="exact"/>
        <w:rPr>
          <w:rFonts w:ascii="Arial" w:cs="Arial" w:eastAsia="Arial" w:hAnsi="Arial"/>
          <w:sz w:val="18"/>
          <w:szCs w:val="18"/>
          <w:color w:val="auto"/>
        </w:rPr>
      </w:pPr>
    </w:p>
    <w:p>
      <w:pPr>
        <w:ind w:left="218" w:right="1440" w:hanging="218"/>
        <w:spacing w:after="0" w:line="281"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Administrative Services Agreement (incorporated by reference to Exhibit 10.3 to the Company’s Annual Report on Form 10-K filed on March 9, 2023)</w:t>
      </w:r>
    </w:p>
    <w:p>
      <w:pPr>
        <w:spacing w:after="0" w:line="1" w:lineRule="exact"/>
        <w:rPr>
          <w:rFonts w:ascii="Arial" w:cs="Arial" w:eastAsia="Arial" w:hAnsi="Arial"/>
          <w:sz w:val="18"/>
          <w:szCs w:val="18"/>
          <w:color w:val="auto"/>
        </w:rPr>
      </w:pPr>
    </w:p>
    <w:p>
      <w:pPr>
        <w:ind w:left="218" w:right="1280" w:hanging="218"/>
        <w:spacing w:after="0" w:line="281"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Employee Matters Agreement (incorporated by reference to Exhibit 10.4 to the Company’s Annual Report on Form 10-K filed on March 9, 2023)</w:t>
      </w:r>
    </w:p>
    <w:p>
      <w:pPr>
        <w:spacing w:after="0" w:line="1" w:lineRule="exact"/>
        <w:rPr>
          <w:rFonts w:ascii="Arial" w:cs="Arial" w:eastAsia="Arial" w:hAnsi="Arial"/>
          <w:sz w:val="18"/>
          <w:szCs w:val="18"/>
          <w:color w:val="auto"/>
        </w:rPr>
      </w:pPr>
    </w:p>
    <w:p>
      <w:pPr>
        <w:ind w:left="218" w:right="1360" w:hanging="218"/>
        <w:spacing w:after="0" w:line="281"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Technology and Services Agreement (incorporated by reference to Exhibit 10.5 to the Company’s Annual Report on Form 10-K filed on March 9, 2023)</w:t>
      </w:r>
    </w:p>
    <w:p>
      <w:pPr>
        <w:spacing w:after="0" w:line="1" w:lineRule="exact"/>
        <w:rPr>
          <w:rFonts w:ascii="Arial" w:cs="Arial" w:eastAsia="Arial" w:hAnsi="Arial"/>
          <w:sz w:val="18"/>
          <w:szCs w:val="18"/>
          <w:color w:val="auto"/>
        </w:rPr>
      </w:pPr>
    </w:p>
    <w:p>
      <w:pPr>
        <w:ind w:left="218" w:right="1880" w:hanging="218"/>
        <w:spacing w:after="0" w:line="281"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LiDAR Product Collaboration Agreement (incorporated by reference to Exhibit 10.6 to the Company’s Annual Report on Form 10-K filed on March 9, 2023)</w:t>
      </w:r>
    </w:p>
    <w:p>
      <w:pPr>
        <w:spacing w:after="0" w:line="1" w:lineRule="exact"/>
        <w:rPr>
          <w:rFonts w:ascii="Arial" w:cs="Arial" w:eastAsia="Arial" w:hAnsi="Arial"/>
          <w:sz w:val="18"/>
          <w:szCs w:val="18"/>
          <w:color w:val="auto"/>
        </w:rPr>
      </w:pPr>
    </w:p>
    <w:p>
      <w:pPr>
        <w:ind w:left="218" w:right="1620" w:hanging="218"/>
        <w:spacing w:after="0" w:line="274" w:lineRule="auto"/>
        <w:tabs>
          <w:tab w:leader="none" w:pos="1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Tax Sharing Agreement (incorporated by reference to Exhibit 10.7 to Amendment No. 1 to the Company’s Annual Report on Form 10-K filed on March 9, 2023)</w:t>
      </w:r>
    </w:p>
    <w:p>
      <w:pPr>
        <w:spacing w:after="0" w:line="1" w:lineRule="exact"/>
        <w:rPr>
          <w:rFonts w:ascii="Arial" w:cs="Arial" w:eastAsia="Arial" w:hAnsi="Arial"/>
          <w:sz w:val="18"/>
          <w:szCs w:val="18"/>
          <w:color w:val="0000EE"/>
        </w:rPr>
      </w:pPr>
    </w:p>
    <w:p>
      <w:pPr>
        <w:sectPr>
          <w:pgSz w:w="11900" w:h="16838" w:orient="portrait"/>
          <w:cols w:equalWidth="0" w:num="2">
            <w:col w:w="1700" w:space="82"/>
            <w:col w:w="8938"/>
          </w:cols>
          <w:pgMar w:left="580" w:top="90" w:right="59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780" w:type="dxa"/>
            <w:vAlign w:val="bottom"/>
          </w:tcPr>
          <w:p>
            <w:pPr>
              <w:ind w:left="1260"/>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176" w:lineRule="exact"/>
              <w:rPr>
                <w:sz w:val="20"/>
                <w:szCs w:val="20"/>
                <w:color w:val="auto"/>
              </w:rPr>
            </w:pPr>
            <w:r>
              <w:rPr>
                <w:rFonts w:ascii="Arial" w:cs="Arial" w:eastAsia="Arial" w:hAnsi="Arial"/>
                <w:sz w:val="18"/>
                <w:szCs w:val="18"/>
                <w:color w:val="auto"/>
              </w:rPr>
              <w:t>​ ​</w:t>
            </w:r>
          </w:p>
        </w:tc>
        <w:tc>
          <w:tcPr>
            <w:tcW w:w="8720" w:type="dxa"/>
            <w:vAlign w:val="bottom"/>
            <w:gridSpan w:val="13"/>
            <w:vMerge w:val="restart"/>
          </w:tcPr>
          <w:p>
            <w:pPr>
              <w:spacing w:after="0"/>
              <w:rPr>
                <w:sz w:val="20"/>
                <w:szCs w:val="20"/>
                <w:color w:val="auto"/>
              </w:rPr>
            </w:pPr>
            <w:r>
              <w:rPr>
                <w:rFonts w:ascii="Arial" w:cs="Arial" w:eastAsia="Arial" w:hAnsi="Arial"/>
                <w:sz w:val="18"/>
                <w:szCs w:val="18"/>
                <w:color w:val="auto"/>
              </w:rPr>
              <w:t>Contribution and Subscription Agreement (incorporated by reference to Exhibit 10.8 to the</w:t>
            </w:r>
          </w:p>
        </w:tc>
        <w:tc>
          <w:tcPr>
            <w:tcW w:w="0" w:type="dxa"/>
            <w:vAlign w:val="bottom"/>
          </w:tcPr>
          <w:p>
            <w:pPr>
              <w:spacing w:after="0"/>
              <w:rPr>
                <w:sz w:val="1"/>
                <w:szCs w:val="1"/>
                <w:color w:val="auto"/>
              </w:rPr>
            </w:pPr>
          </w:p>
        </w:tc>
      </w:tr>
      <w:tr>
        <w:trPr>
          <w:trHeight w:val="80"/>
        </w:trPr>
        <w:tc>
          <w:tcPr>
            <w:tcW w:w="1780" w:type="dxa"/>
            <w:vAlign w:val="bottom"/>
          </w:tcPr>
          <w:p>
            <w:pPr>
              <w:ind w:left="1260"/>
              <w:spacing w:after="0" w:line="80" w:lineRule="exact"/>
              <w:rPr>
                <w:sz w:val="20"/>
                <w:szCs w:val="20"/>
                <w:color w:val="auto"/>
              </w:rPr>
            </w:pPr>
            <w:r>
              <w:rPr>
                <w:rFonts w:ascii="Arial" w:cs="Arial" w:eastAsia="Arial" w:hAnsi="Arial"/>
                <w:sz w:val="9"/>
                <w:szCs w:val="9"/>
                <w:color w:val="auto"/>
              </w:rPr>
              <w:t>10.8</w:t>
            </w:r>
          </w:p>
        </w:tc>
        <w:tc>
          <w:tcPr>
            <w:tcW w:w="220" w:type="dxa"/>
            <w:vAlign w:val="bottom"/>
          </w:tcPr>
          <w:p>
            <w:pPr>
              <w:spacing w:after="0"/>
              <w:rPr>
                <w:sz w:val="6"/>
                <w:szCs w:val="6"/>
                <w:color w:val="auto"/>
              </w:rPr>
            </w:pPr>
          </w:p>
        </w:tc>
        <w:tc>
          <w:tcPr>
            <w:tcW w:w="872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8720" w:type="dxa"/>
            <w:vAlign w:val="bottom"/>
            <w:gridSpan w:val="13"/>
          </w:tcPr>
          <w:p>
            <w:pPr>
              <w:spacing w:after="0"/>
              <w:rPr>
                <w:sz w:val="20"/>
                <w:szCs w:val="20"/>
                <w:color w:val="auto"/>
              </w:rPr>
            </w:pPr>
            <w:r>
              <w:rPr>
                <w:rFonts w:ascii="Arial" w:cs="Arial" w:eastAsia="Arial" w:hAnsi="Arial"/>
                <w:sz w:val="18"/>
                <w:szCs w:val="18"/>
                <w:color w:val="auto"/>
              </w:rPr>
              <w:t>Company’s Annual Report on Form 10-K filed on March 9, 2023)</w:t>
            </w:r>
          </w:p>
        </w:tc>
        <w:tc>
          <w:tcPr>
            <w:tcW w:w="0" w:type="dxa"/>
            <w:vAlign w:val="bottom"/>
          </w:tcPr>
          <w:p>
            <w:pPr>
              <w:spacing w:after="0"/>
              <w:rPr>
                <w:sz w:val="1"/>
                <w:szCs w:val="1"/>
                <w:color w:val="auto"/>
              </w:rPr>
            </w:pPr>
          </w:p>
        </w:tc>
      </w:tr>
      <w:tr>
        <w:trPr>
          <w:trHeight w:val="175"/>
        </w:trPr>
        <w:tc>
          <w:tcPr>
            <w:tcW w:w="1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140" w:type="dxa"/>
            <w:vAlign w:val="bottom"/>
            <w:gridSpan w:val="9"/>
            <w:vMerge w:val="restart"/>
          </w:tcPr>
          <w:p>
            <w:pPr>
              <w:spacing w:after="0"/>
              <w:rPr>
                <w:rFonts w:ascii="Arial" w:cs="Arial" w:eastAsia="Arial" w:hAnsi="Arial"/>
                <w:sz w:val="18"/>
                <w:szCs w:val="18"/>
                <w:color w:val="0000EE"/>
                <w:w w:val="96"/>
              </w:rPr>
            </w:pPr>
            <w:hyperlink r:id="rId155">
              <w:r>
                <w:rPr>
                  <w:rFonts w:ascii="Arial" w:cs="Arial" w:eastAsia="Arial" w:hAnsi="Arial"/>
                  <w:sz w:val="18"/>
                  <w:szCs w:val="18"/>
                  <w:color w:val="0000EE"/>
                  <w:w w:val="96"/>
                </w:rPr>
                <w:t>Mobileye Global Inc. 2022 Equity Incentive Plan (incorporated by reference to Exhibit 10.9 to</w:t>
              </w:r>
            </w:hyperlink>
          </w:p>
        </w:tc>
        <w:tc>
          <w:tcPr>
            <w:tcW w:w="1580" w:type="dxa"/>
            <w:vAlign w:val="bottom"/>
            <w:gridSpan w:val="4"/>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10.9†</w:t>
            </w:r>
          </w:p>
        </w:tc>
        <w:tc>
          <w:tcPr>
            <w:tcW w:w="220" w:type="dxa"/>
            <w:vAlign w:val="bottom"/>
          </w:tcPr>
          <w:p>
            <w:pPr>
              <w:spacing w:after="0"/>
              <w:rPr>
                <w:sz w:val="4"/>
                <w:szCs w:val="4"/>
                <w:color w:val="auto"/>
              </w:rPr>
            </w:pPr>
          </w:p>
        </w:tc>
        <w:tc>
          <w:tcPr>
            <w:tcW w:w="7140" w:type="dxa"/>
            <w:vAlign w:val="bottom"/>
            <w:tcBorders>
              <w:bottom w:val="single" w:sz="8" w:color="0000EE"/>
            </w:tcBorders>
            <w:gridSpan w:val="9"/>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1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Amendment No. 1 to the Company’s registration statement on Form S-1 filed on October 18,</w:t>
              </w:r>
            </w:hyperlink>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2022)</w:t>
              </w:r>
            </w:hyperlink>
          </w:p>
        </w:tc>
        <w:tc>
          <w:tcPr>
            <w:tcW w:w="354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720" w:type="dxa"/>
            <w:vAlign w:val="bottom"/>
            <w:gridSpan w:val="13"/>
            <w:vMerge w:val="restart"/>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Restricted Stock Unit Agreement (incorporated by reference to Exhibit 10.10 to</w:t>
              </w:r>
            </w:hyperlink>
          </w:p>
        </w:tc>
        <w:tc>
          <w:tcPr>
            <w:tcW w:w="0" w:type="dxa"/>
            <w:vAlign w:val="bottom"/>
          </w:tcPr>
          <w:p>
            <w:pPr>
              <w:spacing w:after="0"/>
              <w:rPr>
                <w:sz w:val="1"/>
                <w:szCs w:val="1"/>
                <w:color w:val="auto"/>
              </w:rPr>
            </w:pPr>
          </w:p>
        </w:tc>
      </w:tr>
      <w:tr>
        <w:trPr>
          <w:trHeight w:val="54"/>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10.10†</w:t>
            </w:r>
          </w:p>
        </w:tc>
        <w:tc>
          <w:tcPr>
            <w:tcW w:w="220" w:type="dxa"/>
            <w:vAlign w:val="bottom"/>
          </w:tcPr>
          <w:p>
            <w:pPr>
              <w:spacing w:after="0"/>
              <w:rPr>
                <w:sz w:val="4"/>
                <w:szCs w:val="4"/>
                <w:color w:val="auto"/>
              </w:rPr>
            </w:pPr>
          </w:p>
        </w:tc>
        <w:tc>
          <w:tcPr>
            <w:tcW w:w="872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1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Amendment No. 1 to the Company’s registration statement on Form S-1 filed on September 30,</w:t>
              </w:r>
            </w:hyperlink>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2022)</w:t>
              </w:r>
            </w:hyperlink>
          </w:p>
        </w:tc>
        <w:tc>
          <w:tcPr>
            <w:tcW w:w="354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60" w:type="dxa"/>
            <w:vAlign w:val="bottom"/>
            <w:gridSpan w:val="12"/>
            <w:vMerge w:val="restart"/>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Form of Option Agreement (incorporated by reference to Exhibit 10.11 to Amendment No. 1 to the</w:t>
              </w:r>
            </w:hyperlink>
          </w:p>
        </w:tc>
        <w:tc>
          <w:tcPr>
            <w:tcW w:w="12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10.11†</w:t>
            </w:r>
          </w:p>
        </w:tc>
        <w:tc>
          <w:tcPr>
            <w:tcW w:w="220" w:type="dxa"/>
            <w:vAlign w:val="bottom"/>
          </w:tcPr>
          <w:p>
            <w:pPr>
              <w:spacing w:after="0"/>
              <w:rPr>
                <w:sz w:val="4"/>
                <w:szCs w:val="4"/>
                <w:color w:val="auto"/>
              </w:rPr>
            </w:pPr>
          </w:p>
        </w:tc>
        <w:tc>
          <w:tcPr>
            <w:tcW w:w="7460" w:type="dxa"/>
            <w:vAlign w:val="bottom"/>
            <w:tcBorders>
              <w:bottom w:val="single" w:sz="8" w:color="0000EE"/>
            </w:tcBorders>
            <w:gridSpan w:val="1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57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Company’s registration statement on Form S-1 filed on September 30, 2022)</w:t>
              </w:r>
            </w:hyperlink>
          </w:p>
        </w:tc>
        <w:tc>
          <w:tcPr>
            <w:tcW w:w="29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780" w:type="dxa"/>
            <w:vAlign w:val="bottom"/>
            <w:gridSpan w:val="6"/>
            <w:vMerge w:val="restart"/>
          </w:tcPr>
          <w:p>
            <w:pPr>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Employment Agreement between the Registrant and Amnon Shashua, dated July 24, 2014</w:t>
              </w:r>
            </w:hyperlink>
          </w:p>
        </w:tc>
        <w:tc>
          <w:tcPr>
            <w:tcW w:w="1940" w:type="dxa"/>
            <w:vAlign w:val="bottom"/>
            <w:gridSpan w:val="7"/>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10.12†</w:t>
            </w:r>
          </w:p>
        </w:tc>
        <w:tc>
          <w:tcPr>
            <w:tcW w:w="220" w:type="dxa"/>
            <w:vAlign w:val="bottom"/>
          </w:tcPr>
          <w:p>
            <w:pPr>
              <w:spacing w:after="0"/>
              <w:rPr>
                <w:sz w:val="4"/>
                <w:szCs w:val="4"/>
                <w:color w:val="auto"/>
              </w:rPr>
            </w:pPr>
          </w:p>
        </w:tc>
        <w:tc>
          <w:tcPr>
            <w:tcW w:w="6780" w:type="dxa"/>
            <w:vAlign w:val="bottom"/>
            <w:tcBorders>
              <w:bottom w:val="single" w:sz="8" w:color="0000EE"/>
            </w:tcBorders>
            <w:gridSpan w:val="6"/>
            <w:vMerge w:val="continue"/>
          </w:tcPr>
          <w:p>
            <w:pPr>
              <w:spacing w:after="0"/>
              <w:rPr>
                <w:sz w:val="4"/>
                <w:szCs w:val="4"/>
                <w:color w:val="auto"/>
              </w:rPr>
            </w:pPr>
          </w:p>
        </w:tc>
        <w:tc>
          <w:tcPr>
            <w:tcW w:w="1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(incorporated by reference to Exhibit 10.12 to Amendment No. 1 to the Company’s registration</w:t>
              </w:r>
            </w:hyperlink>
          </w:p>
        </w:tc>
        <w:tc>
          <w:tcPr>
            <w:tcW w:w="1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statement on Form S-1 filed on September 30, 2022)</w:t>
              </w:r>
            </w:hyperlink>
          </w:p>
        </w:tc>
        <w:tc>
          <w:tcPr>
            <w:tcW w:w="4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500" w:type="dxa"/>
            <w:vAlign w:val="bottom"/>
            <w:gridSpan w:val="4"/>
            <w:vMerge w:val="restart"/>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Employment Letter Agreement between Amnon Shashua and Intel, dated June 1, 2022</w:t>
              </w:r>
            </w:hyperlink>
          </w:p>
        </w:tc>
        <w:tc>
          <w:tcPr>
            <w:tcW w:w="2220" w:type="dxa"/>
            <w:vAlign w:val="bottom"/>
            <w:gridSpan w:val="9"/>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10.13†</w:t>
            </w:r>
          </w:p>
        </w:tc>
        <w:tc>
          <w:tcPr>
            <w:tcW w:w="220" w:type="dxa"/>
            <w:vAlign w:val="bottom"/>
          </w:tcPr>
          <w:p>
            <w:pPr>
              <w:spacing w:after="0"/>
              <w:rPr>
                <w:sz w:val="4"/>
                <w:szCs w:val="4"/>
                <w:color w:val="auto"/>
              </w:rPr>
            </w:pPr>
          </w:p>
        </w:tc>
        <w:tc>
          <w:tcPr>
            <w:tcW w:w="6500" w:type="dxa"/>
            <w:vAlign w:val="bottom"/>
            <w:tcBorders>
              <w:bottom w:val="single" w:sz="8" w:color="0000EE"/>
            </w:tcBorders>
            <w:gridSpan w:val="4"/>
            <w:vMerge w:val="continue"/>
          </w:tcPr>
          <w:p>
            <w:pPr>
              <w:spacing w:after="0"/>
              <w:rPr>
                <w:sz w:val="4"/>
                <w:szCs w:val="4"/>
                <w:color w:val="auto"/>
              </w:rPr>
            </w:pPr>
          </w:p>
        </w:tc>
        <w:tc>
          <w:tcPr>
            <w:tcW w:w="22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(incorporated by reference to Exhibit 10.13 to Amendment No. 1 to the Company’s registration</w:t>
              </w:r>
            </w:hyperlink>
          </w:p>
        </w:tc>
        <w:tc>
          <w:tcPr>
            <w:tcW w:w="1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statement on Form S-1 filed on September 30, 2022)</w:t>
              </w:r>
            </w:hyperlink>
          </w:p>
        </w:tc>
        <w:tc>
          <w:tcPr>
            <w:tcW w:w="4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820" w:type="dxa"/>
            <w:vAlign w:val="bottom"/>
            <w:gridSpan w:val="7"/>
            <w:vMerge w:val="restart"/>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Employment Agreement between the Registrant and Anat Heller, dated September 1, 2015</w:t>
              </w:r>
            </w:hyperlink>
          </w:p>
        </w:tc>
        <w:tc>
          <w:tcPr>
            <w:tcW w:w="1900" w:type="dxa"/>
            <w:vAlign w:val="bottom"/>
            <w:gridSpan w:val="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10.14†</w:t>
            </w:r>
          </w:p>
        </w:tc>
        <w:tc>
          <w:tcPr>
            <w:tcW w:w="220" w:type="dxa"/>
            <w:vAlign w:val="bottom"/>
          </w:tcPr>
          <w:p>
            <w:pPr>
              <w:spacing w:after="0"/>
              <w:rPr>
                <w:sz w:val="4"/>
                <w:szCs w:val="4"/>
                <w:color w:val="auto"/>
              </w:rPr>
            </w:pPr>
          </w:p>
        </w:tc>
        <w:tc>
          <w:tcPr>
            <w:tcW w:w="6820" w:type="dxa"/>
            <w:vAlign w:val="bottom"/>
            <w:tcBorders>
              <w:bottom w:val="single" w:sz="8" w:color="0000EE"/>
            </w:tcBorders>
            <w:gridSpan w:val="7"/>
            <w:vMerge w:val="continue"/>
          </w:tcPr>
          <w:p>
            <w:pPr>
              <w:spacing w:after="0"/>
              <w:rPr>
                <w:sz w:val="4"/>
                <w:szCs w:val="4"/>
                <w:color w:val="auto"/>
              </w:rPr>
            </w:pPr>
          </w:p>
        </w:tc>
        <w:tc>
          <w:tcPr>
            <w:tcW w:w="19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60">
              <w:r>
                <w:rPr>
                  <w:rFonts w:ascii="Arial" w:cs="Arial" w:eastAsia="Arial" w:hAnsi="Arial"/>
                  <w:sz w:val="18"/>
                  <w:szCs w:val="18"/>
                  <w:color w:val="0000EE"/>
                  <w:w w:val="95"/>
                </w:rPr>
                <w:t>(incorporated by reference to Exhibit 10.14 to Amendment No. 1 to the Company’s registration</w:t>
              </w:r>
            </w:hyperlink>
          </w:p>
        </w:tc>
        <w:tc>
          <w:tcPr>
            <w:tcW w:w="1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statement on Form S-1 filed on September 30, 2022)</w:t>
              </w:r>
            </w:hyperlink>
          </w:p>
        </w:tc>
        <w:tc>
          <w:tcPr>
            <w:tcW w:w="4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660" w:type="dxa"/>
            <w:vAlign w:val="bottom"/>
            <w:gridSpan w:val="5"/>
            <w:vMerge w:val="restart"/>
          </w:tcPr>
          <w:p>
            <w:pPr>
              <w:spacing w:after="0"/>
              <w:rPr>
                <w:rFonts w:ascii="Arial" w:cs="Arial" w:eastAsia="Arial" w:hAnsi="Arial"/>
                <w:sz w:val="18"/>
                <w:szCs w:val="18"/>
                <w:color w:val="0000EE"/>
                <w:w w:val="93"/>
              </w:rPr>
            </w:pPr>
            <w:hyperlink r:id="rId161">
              <w:r>
                <w:rPr>
                  <w:rFonts w:ascii="Arial" w:cs="Arial" w:eastAsia="Arial" w:hAnsi="Arial"/>
                  <w:sz w:val="18"/>
                  <w:szCs w:val="18"/>
                  <w:color w:val="0000EE"/>
                  <w:w w:val="93"/>
                </w:rPr>
                <w:t>Employment Agreement between the Registrant and Erez Dagan, dated October 1, 2016</w:t>
              </w:r>
            </w:hyperlink>
          </w:p>
        </w:tc>
        <w:tc>
          <w:tcPr>
            <w:tcW w:w="206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10.15†</w:t>
            </w:r>
          </w:p>
        </w:tc>
        <w:tc>
          <w:tcPr>
            <w:tcW w:w="220" w:type="dxa"/>
            <w:vAlign w:val="bottom"/>
          </w:tcPr>
          <w:p>
            <w:pPr>
              <w:spacing w:after="0"/>
              <w:rPr>
                <w:sz w:val="4"/>
                <w:szCs w:val="4"/>
                <w:color w:val="auto"/>
              </w:rPr>
            </w:pPr>
          </w:p>
        </w:tc>
        <w:tc>
          <w:tcPr>
            <w:tcW w:w="6660" w:type="dxa"/>
            <w:vAlign w:val="bottom"/>
            <w:tcBorders>
              <w:bottom w:val="single" w:sz="8" w:color="0000EE"/>
            </w:tcBorders>
            <w:gridSpan w:val="5"/>
            <w:vMerge w:val="continue"/>
          </w:tcPr>
          <w:p>
            <w:pPr>
              <w:spacing w:after="0"/>
              <w:rPr>
                <w:sz w:val="4"/>
                <w:szCs w:val="4"/>
                <w:color w:val="auto"/>
              </w:rPr>
            </w:pPr>
          </w:p>
        </w:tc>
        <w:tc>
          <w:tcPr>
            <w:tcW w:w="20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(incorporated by reference to Exhibit 10.15 to Amendment No. 1 to the Company’s registration</w:t>
              </w:r>
            </w:hyperlink>
          </w:p>
        </w:tc>
        <w:tc>
          <w:tcPr>
            <w:tcW w:w="1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restart"/>
          </w:tcPr>
          <w:p>
            <w:pPr>
              <w:ind w:left="126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statement on Form S-1 filed on September 30, 2022)</w:t>
              </w:r>
            </w:hyperlink>
          </w:p>
        </w:tc>
        <w:tc>
          <w:tcPr>
            <w:tcW w:w="4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720" w:type="dxa"/>
            <w:vAlign w:val="bottom"/>
            <w:gridSpan w:val="13"/>
            <w:vMerge w:val="restart"/>
          </w:tcPr>
          <w:p>
            <w:pPr>
              <w:spacing w:after="0"/>
              <w:rPr>
                <w:rFonts w:ascii="Arial" w:cs="Arial" w:eastAsia="Arial" w:hAnsi="Arial"/>
                <w:sz w:val="18"/>
                <w:szCs w:val="18"/>
                <w:color w:val="0000EE"/>
              </w:rPr>
            </w:pPr>
            <w:hyperlink r:id="rId162">
              <w:r>
                <w:rPr>
                  <w:rFonts w:ascii="Arial" w:cs="Arial" w:eastAsia="Arial" w:hAnsi="Arial"/>
                  <w:sz w:val="18"/>
                  <w:szCs w:val="18"/>
                  <w:color w:val="0000EE"/>
                </w:rPr>
                <w:t>Employment Agreement between the Registrant and Gavriel Hayon, dated August 1, 1999</w:t>
              </w:r>
            </w:hyperlink>
          </w:p>
        </w:tc>
        <w:tc>
          <w:tcPr>
            <w:tcW w:w="0" w:type="dxa"/>
            <w:vAlign w:val="bottom"/>
          </w:tcPr>
          <w:p>
            <w:pPr>
              <w:spacing w:after="0"/>
              <w:rPr>
                <w:sz w:val="1"/>
                <w:szCs w:val="1"/>
                <w:color w:val="auto"/>
              </w:rPr>
            </w:pPr>
          </w:p>
        </w:tc>
      </w:tr>
      <w:tr>
        <w:trPr>
          <w:trHeight w:val="54"/>
        </w:trPr>
        <w:tc>
          <w:tcPr>
            <w:tcW w:w="1780" w:type="dxa"/>
            <w:vAlign w:val="bottom"/>
          </w:tcPr>
          <w:p>
            <w:pPr>
              <w:ind w:left="1260"/>
              <w:spacing w:after="0" w:line="54" w:lineRule="exact"/>
              <w:rPr>
                <w:sz w:val="20"/>
                <w:szCs w:val="20"/>
                <w:color w:val="auto"/>
              </w:rPr>
            </w:pPr>
            <w:r>
              <w:rPr>
                <w:rFonts w:ascii="Arial" w:cs="Arial" w:eastAsia="Arial" w:hAnsi="Arial"/>
                <w:sz w:val="6"/>
                <w:szCs w:val="6"/>
                <w:color w:val="auto"/>
              </w:rPr>
              <w:t>10.16†</w:t>
            </w:r>
          </w:p>
        </w:tc>
        <w:tc>
          <w:tcPr>
            <w:tcW w:w="220" w:type="dxa"/>
            <w:vAlign w:val="bottom"/>
          </w:tcPr>
          <w:p>
            <w:pPr>
              <w:spacing w:after="0"/>
              <w:rPr>
                <w:sz w:val="4"/>
                <w:szCs w:val="4"/>
                <w:color w:val="auto"/>
              </w:rPr>
            </w:pPr>
          </w:p>
        </w:tc>
        <w:tc>
          <w:tcPr>
            <w:tcW w:w="872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80" w:type="dxa"/>
            <w:vAlign w:val="bottom"/>
            <w:gridSpan w:val="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62">
              <w:r>
                <w:rPr>
                  <w:rFonts w:ascii="Arial" w:cs="Arial" w:eastAsia="Arial" w:hAnsi="Arial"/>
                  <w:sz w:val="18"/>
                  <w:szCs w:val="18"/>
                  <w:color w:val="0000EE"/>
                  <w:w w:val="95"/>
                </w:rPr>
                <w:t>(incorporated by reference to Exhibit 10.16 to Amendment No. 1 to the Company’s registration</w:t>
              </w:r>
            </w:hyperlink>
          </w:p>
        </w:tc>
        <w:tc>
          <w:tcPr>
            <w:tcW w:w="1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statement on Form S-1 filed on September 30, 2022)</w:t>
              </w:r>
            </w:hyperlink>
          </w:p>
        </w:tc>
        <w:tc>
          <w:tcPr>
            <w:tcW w:w="4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80" w:type="dxa"/>
            <w:vAlign w:val="bottom"/>
            <w:gridSpan w:val="12"/>
          </w:tcPr>
          <w:p>
            <w:pPr>
              <w:ind w:left="278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r>
        <w:trPr>
          <w:trHeight w:val="399"/>
        </w:trPr>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20"/>
          </w:cols>
          <w:pgMar w:left="580" w:top="90" w:right="5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5"/>
          <w:szCs w:val="15"/>
          <w:b w:val="1"/>
          <w:bCs w:val="1"/>
          <w:color w:val="auto"/>
        </w:rPr>
        <w:t>Confidential Treatment Requested by Mobileye Global Inc. Pursuant to 17 C.F.R. § 200.83.</w:t>
      </w:r>
    </w:p>
    <w:p>
      <w:pPr>
        <w:spacing w:after="0" w:line="7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ind w:left="1260"/>
        <w:spacing w:after="0"/>
        <w:tabs>
          <w:tab w:leader="none" w:pos="1400" w:val="left"/>
          <w:tab w:leader="none" w:pos="1820" w:val="left"/>
          <w:tab w:leader="none" w:pos="5380" w:val="left"/>
        </w:tabs>
        <w:rPr>
          <w:sz w:val="20"/>
          <w:szCs w:val="20"/>
          <w:color w:val="auto"/>
        </w:rPr>
      </w:pPr>
      <w:r>
        <w:rPr>
          <w:rFonts w:ascii="Arial" w:cs="Arial" w:eastAsia="Arial" w:hAnsi="Arial"/>
          <w:sz w:val="26"/>
          <w:szCs w:val="26"/>
          <w:b w:val="1"/>
          <w:bCs w:val="1"/>
          <w:color w:val="auto"/>
          <w:vertAlign w:val="subscript"/>
        </w:rPr>
        <w:t>​</w:t>
      </w:r>
      <w:r>
        <w:rPr>
          <w:sz w:val="20"/>
          <w:szCs w:val="20"/>
          <w:color w:val="auto"/>
        </w:rPr>
        <w:tab/>
      </w:r>
      <w:r>
        <w:rPr>
          <w:rFonts w:ascii="Arial" w:cs="Arial" w:eastAsia="Arial" w:hAnsi="Arial"/>
          <w:sz w:val="14"/>
          <w:szCs w:val="14"/>
          <w:b w:val="1"/>
          <w:bCs w:val="1"/>
          <w:color w:val="auto"/>
        </w:rPr>
        <w:t>No.</w:t>
      </w:r>
      <w:r>
        <w:rPr>
          <w:sz w:val="20"/>
          <w:szCs w:val="20"/>
          <w:color w:val="auto"/>
        </w:rPr>
        <w:tab/>
      </w:r>
      <w:r>
        <w:rPr>
          <w:rFonts w:ascii="Arial" w:cs="Arial" w:eastAsia="Arial" w:hAnsi="Arial"/>
          <w:sz w:val="26"/>
          <w:szCs w:val="26"/>
          <w:b w:val="1"/>
          <w:bCs w:val="1"/>
          <w:color w:val="auto"/>
          <w:vertAlign w:val="subscript"/>
        </w:rPr>
        <w:t>​ ​</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10.18†</w:t>
      </w:r>
      <w:r>
        <w:rPr>
          <w:rFonts w:ascii="Arial" w:cs="Arial" w:eastAsia="Arial" w:hAnsi="Arial"/>
          <w:sz w:val="35"/>
          <w:szCs w:val="35"/>
          <w:color w:val="auto"/>
          <w:vertAlign w:val="superscript"/>
        </w:rPr>
        <w:t>​</w:t>
      </w:r>
    </w:p>
    <w:p>
      <w:pPr>
        <w:spacing w:after="0" w:line="300"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10.19 </w:t>
      </w:r>
      <w:r>
        <w:rPr>
          <w:rFonts w:ascii="Arial" w:cs="Arial" w:eastAsia="Arial" w:hAnsi="Arial"/>
          <w:sz w:val="35"/>
          <w:szCs w:val="35"/>
          <w:color w:val="auto"/>
          <w:vertAlign w:val="superscript"/>
        </w:rPr>
        <w:t>​</w:t>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10.20 </w:t>
      </w:r>
      <w:r>
        <w:rPr>
          <w:rFonts w:ascii="Arial" w:cs="Arial" w:eastAsia="Arial" w:hAnsi="Arial"/>
          <w:sz w:val="35"/>
          <w:szCs w:val="35"/>
          <w:color w:val="auto"/>
          <w:vertAlign w:val="superscript"/>
        </w:rPr>
        <w:t>​</w:t>
      </w:r>
    </w:p>
    <w:p>
      <w:pPr>
        <w:spacing w:after="0" w:line="300"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10.21 </w:t>
      </w:r>
      <w:r>
        <w:rPr>
          <w:rFonts w:ascii="Arial" w:cs="Arial" w:eastAsia="Arial" w:hAnsi="Arial"/>
          <w:sz w:val="35"/>
          <w:szCs w:val="35"/>
          <w:color w:val="auto"/>
          <w:vertAlign w:val="superscript"/>
        </w:rPr>
        <w:t>​</w:t>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10.22 </w:t>
      </w:r>
      <w:r>
        <w:rPr>
          <w:rFonts w:ascii="Arial" w:cs="Arial" w:eastAsia="Arial" w:hAnsi="Arial"/>
          <w:sz w:val="35"/>
          <w:szCs w:val="35"/>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10.23 </w:t>
      </w:r>
      <w:r>
        <w:rPr>
          <w:rFonts w:ascii="Arial" w:cs="Arial" w:eastAsia="Arial" w:hAnsi="Arial"/>
          <w:sz w:val="35"/>
          <w:szCs w:val="35"/>
          <w:color w:val="auto"/>
          <w:vertAlign w:val="superscript"/>
        </w:rPr>
        <w:t>​</w:t>
      </w:r>
    </w:p>
    <w:p>
      <w:pPr>
        <w:spacing w:after="0" w:line="300"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21.1</w:t>
      </w:r>
      <w:r>
        <w:rPr>
          <w:sz w:val="20"/>
          <w:szCs w:val="20"/>
          <w:color w:val="auto"/>
        </w:rPr>
        <w:tab/>
      </w:r>
      <w:r>
        <w:rPr>
          <w:rFonts w:ascii="Arial" w:cs="Arial" w:eastAsia="Arial" w:hAnsi="Arial"/>
          <w:sz w:val="36"/>
          <w:szCs w:val="36"/>
          <w:color w:val="auto"/>
          <w:vertAlign w:val="superscript"/>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10" w:right="639" w:hanging="110"/>
        <w:spacing w:after="0" w:line="255" w:lineRule="auto"/>
        <w:tabs>
          <w:tab w:leader="none" w:pos="110" w:val="left"/>
        </w:tabs>
        <w:numPr>
          <w:ilvl w:val="0"/>
          <w:numId w:val="54"/>
        </w:numPr>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Employment Agreement between the Registrant and Shai Shalev-Shwartz, dated August 2, 2010</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(incorporated by reference to Exhibit 10.17 to Amendment No. 1 to the Company’s registration</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statement on Form S-1 filed on September 30, 2022)</w:t>
        </w:r>
      </w:hyperlink>
    </w:p>
    <w:p>
      <w:pPr>
        <w:spacing w:after="0" w:line="42" w:lineRule="exact"/>
        <w:rPr>
          <w:rFonts w:ascii="Arial" w:cs="Arial" w:eastAsia="Arial" w:hAnsi="Arial"/>
          <w:sz w:val="18"/>
          <w:szCs w:val="18"/>
          <w:u w:val="single" w:color="auto"/>
          <w:color w:val="0000EE"/>
        </w:rPr>
      </w:pPr>
    </w:p>
    <w:p>
      <w:pPr>
        <w:ind w:left="110" w:right="559" w:hanging="110"/>
        <w:spacing w:after="0" w:line="191" w:lineRule="auto"/>
        <w:tabs>
          <w:tab w:leader="none" w:pos="110" w:val="left"/>
        </w:tabs>
        <w:numPr>
          <w:ilvl w:val="0"/>
          <w:numId w:val="54"/>
        </w:numPr>
        <w:rPr>
          <w:rFonts w:ascii="Arial" w:cs="Arial" w:eastAsia="Arial" w:hAnsi="Arial"/>
          <w:sz w:val="36"/>
          <w:szCs w:val="36"/>
          <w:color w:val="auto"/>
          <w:vertAlign w:val="superscript"/>
        </w:rPr>
      </w:pPr>
      <w:r>
        <w:rPr>
          <w:rFonts w:ascii="Arial" w:cs="Arial" w:eastAsia="Arial" w:hAnsi="Arial"/>
          <w:sz w:val="18"/>
          <w:szCs w:val="18"/>
          <w:color w:val="auto"/>
        </w:rPr>
        <w:t>Employment Agreement between the Registrant and Nimrod Nehushtan, dated May 2, 2017 (incorporated by reference to Exhibit 10.18 to the Company’s Annual Report on Form 10-K filed on March 9, 2023)</w:t>
      </w:r>
    </w:p>
    <w:p>
      <w:pPr>
        <w:spacing w:after="0" w:line="43" w:lineRule="exact"/>
        <w:rPr>
          <w:rFonts w:ascii="Arial" w:cs="Arial" w:eastAsia="Arial" w:hAnsi="Arial"/>
          <w:sz w:val="36"/>
          <w:szCs w:val="36"/>
          <w:color w:val="auto"/>
          <w:vertAlign w:val="superscript"/>
        </w:rPr>
      </w:pPr>
    </w:p>
    <w:p>
      <w:pPr>
        <w:ind w:left="110" w:right="539" w:hanging="110"/>
        <w:spacing w:after="0" w:line="203" w:lineRule="auto"/>
        <w:tabs>
          <w:tab w:leader="none" w:pos="110" w:val="left"/>
        </w:tabs>
        <w:numPr>
          <w:ilvl w:val="0"/>
          <w:numId w:val="54"/>
        </w:numPr>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Stock Compensation Recharge Agreement, dated August 8, 2017, between Mobileye B.V. and its</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subsidiaries, on the one hand, and Intel, on the other hand (incorporated by reference to</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Exhibit 10.18 to Amendment No. 1 to the Company’s registration statement on Form S-1 filed on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September 30, 2022)</w:t>
        </w:r>
      </w:hyperlink>
    </w:p>
    <w:p>
      <w:pPr>
        <w:spacing w:after="0" w:line="42" w:lineRule="exact"/>
        <w:rPr>
          <w:rFonts w:ascii="Arial" w:cs="Arial" w:eastAsia="Arial" w:hAnsi="Arial"/>
          <w:sz w:val="18"/>
          <w:szCs w:val="18"/>
          <w:u w:val="single" w:color="auto"/>
          <w:color w:val="0000EE"/>
        </w:rPr>
      </w:pPr>
    </w:p>
    <w:p>
      <w:pPr>
        <w:ind w:left="110" w:right="459" w:hanging="110"/>
        <w:spacing w:after="0" w:line="191" w:lineRule="auto"/>
        <w:tabs>
          <w:tab w:leader="none" w:pos="110" w:val="left"/>
        </w:tabs>
        <w:numPr>
          <w:ilvl w:val="0"/>
          <w:numId w:val="54"/>
        </w:numPr>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Loan Agreement, dated April 21, 2022, between Cyclops Holdings Corporation and Intel Overseas</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Funding Corporation. (incorporated by reference to Exhibit 10.1 to Amendment No. 19 to the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Company’s registration statement on Form S-1 filed on September 30, 2022)</w:t>
        </w:r>
      </w:hyperlink>
    </w:p>
    <w:p>
      <w:pPr>
        <w:spacing w:after="0" w:line="43" w:lineRule="exact"/>
        <w:rPr>
          <w:rFonts w:ascii="Arial" w:cs="Arial" w:eastAsia="Arial" w:hAnsi="Arial"/>
          <w:sz w:val="18"/>
          <w:szCs w:val="18"/>
          <w:u w:val="single" w:color="auto"/>
          <w:color w:val="0000EE"/>
        </w:rPr>
      </w:pPr>
    </w:p>
    <w:p>
      <w:pPr>
        <w:ind w:left="110" w:right="639" w:hanging="110"/>
        <w:spacing w:after="0" w:line="203" w:lineRule="auto"/>
        <w:tabs>
          <w:tab w:leader="none" w:pos="110" w:val="left"/>
        </w:tabs>
        <w:numPr>
          <w:ilvl w:val="0"/>
          <w:numId w:val="54"/>
        </w:numPr>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Memorandum of Understanding, dated October 17, 2006, between STMicroelectronics N.V.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Mobileye Technologies Limited, as amended (incorporated by reference to Exhibit 10.20 to</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Amendment No. 1 to the Company’s registration statement on Form S-1 filed on September 30,</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2022)</w:t>
        </w:r>
      </w:hyperlink>
    </w:p>
    <w:p>
      <w:pPr>
        <w:spacing w:after="0" w:line="42" w:lineRule="exact"/>
        <w:rPr>
          <w:rFonts w:ascii="Arial" w:cs="Arial" w:eastAsia="Arial" w:hAnsi="Arial"/>
          <w:sz w:val="18"/>
          <w:szCs w:val="18"/>
          <w:u w:val="single" w:color="auto"/>
          <w:color w:val="0000EE"/>
        </w:rPr>
      </w:pPr>
    </w:p>
    <w:p>
      <w:pPr>
        <w:ind w:left="110" w:right="599" w:hanging="110"/>
        <w:spacing w:after="0" w:line="211" w:lineRule="auto"/>
        <w:tabs>
          <w:tab w:leader="none" w:pos="110" w:val="left"/>
        </w:tabs>
        <w:numPr>
          <w:ilvl w:val="0"/>
          <w:numId w:val="54"/>
        </w:numPr>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Agreement between Intel Corporation and Intel Subsidiaries, dated August 8, 2017, between</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Mobileye B.V. and its subsidiaries, on the one hand, and Intel, on the other hand, which we refer</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to herein as the Cross-License Agreement (incorporated by reference to Exhibit 10.21 to</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Amendment No. 1 to the Company’s registration statement on Form S-1 filed on September 30,</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2022)</w:t>
        </w:r>
      </w:hyperlink>
    </w:p>
    <w:p>
      <w:pPr>
        <w:spacing w:after="0" w:line="42" w:lineRule="exact"/>
        <w:rPr>
          <w:rFonts w:ascii="Arial" w:cs="Arial" w:eastAsia="Arial" w:hAnsi="Arial"/>
          <w:sz w:val="18"/>
          <w:szCs w:val="18"/>
          <w:u w:val="single" w:color="auto"/>
          <w:color w:val="0000EE"/>
        </w:rPr>
      </w:pPr>
    </w:p>
    <w:p>
      <w:pPr>
        <w:jc w:val="both"/>
        <w:ind w:left="110" w:right="459" w:hanging="110"/>
        <w:spacing w:after="0" w:line="191" w:lineRule="auto"/>
        <w:tabs>
          <w:tab w:leader="none" w:pos="110" w:val="left"/>
        </w:tabs>
        <w:numPr>
          <w:ilvl w:val="0"/>
          <w:numId w:val="54"/>
        </w:numPr>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Share &amp; Note Sale and Purchase Agreement, dated May 31, 2022, between Intel Finance B.V. and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Mobileye B.V. (incorporated by reference to Exhibit 10.22 to Amendment No. 1 to the Company’s</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registration statement on Form S-1 filed on September 30, 2022)</w:t>
        </w:r>
      </w:hyperlink>
    </w:p>
    <w:p>
      <w:pPr>
        <w:spacing w:after="0" w:line="43" w:lineRule="exact"/>
        <w:rPr>
          <w:rFonts w:ascii="Arial" w:cs="Arial" w:eastAsia="Arial" w:hAnsi="Arial"/>
          <w:sz w:val="18"/>
          <w:szCs w:val="18"/>
          <w:u w:val="single" w:color="auto"/>
          <w:color w:val="0000EE"/>
        </w:rPr>
      </w:pPr>
    </w:p>
    <w:p>
      <w:pPr>
        <w:ind w:left="110" w:right="499" w:hanging="110"/>
        <w:spacing w:after="0" w:line="182" w:lineRule="auto"/>
        <w:tabs>
          <w:tab w:leader="none" w:pos="110" w:val="left"/>
        </w:tabs>
        <w:numPr>
          <w:ilvl w:val="0"/>
          <w:numId w:val="54"/>
        </w:numPr>
        <w:rPr>
          <w:rFonts w:ascii="Arial" w:cs="Arial" w:eastAsia="Arial" w:hAnsi="Arial"/>
          <w:sz w:val="34"/>
          <w:szCs w:val="34"/>
          <w:color w:val="auto"/>
          <w:vertAlign w:val="superscript"/>
        </w:rPr>
      </w:pPr>
      <w:r>
        <w:rPr>
          <w:rFonts w:ascii="Arial" w:cs="Arial" w:eastAsia="Arial" w:hAnsi="Arial"/>
          <w:sz w:val="17"/>
          <w:szCs w:val="17"/>
          <w:color w:val="auto"/>
        </w:rPr>
        <w:t>List of Subsidiaries of the Registrant (incorporated by reference to Exhibit 21.1 to the Company’s Annual Report on Form 10-K for the year ended December 31, 2022 filed on March 9, 2023)</w:t>
      </w:r>
    </w:p>
    <w:p>
      <w:pPr>
        <w:spacing w:after="0" w:line="1" w:lineRule="exact"/>
        <w:rPr>
          <w:rFonts w:ascii="Arial" w:cs="Arial" w:eastAsia="Arial" w:hAnsi="Arial"/>
          <w:sz w:val="18"/>
          <w:szCs w:val="18"/>
          <w:u w:val="single" w:color="auto"/>
          <w:color w:val="0000EE"/>
        </w:rPr>
      </w:pPr>
    </w:p>
    <w:p>
      <w:pPr>
        <w:sectPr>
          <w:pgSz w:w="11900" w:h="16838" w:orient="portrait"/>
          <w:cols w:equalWidth="0" w:num="2">
            <w:col w:w="1820" w:space="70"/>
            <w:col w:w="7989"/>
          </w:cols>
          <w:pgMar w:left="580" w:top="90" w:right="1440" w:bottom="1440" w:gutter="0" w:footer="0" w:header="0"/>
          <w:type w:val="continuous"/>
        </w:sectPr>
      </w:pPr>
    </w:p>
    <w:p>
      <w:pPr>
        <w:ind w:left="1260"/>
        <w:spacing w:after="0" w:line="207"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23.1*</w:t>
      </w:r>
    </w:p>
    <w:p>
      <w:pPr>
        <w:ind w:left="1260"/>
        <w:spacing w:after="0" w:line="223" w:lineRule="auto"/>
        <w:rPr>
          <w:sz w:val="20"/>
          <w:szCs w:val="20"/>
          <w:color w:val="auto"/>
        </w:rPr>
      </w:pPr>
      <w:r>
        <w:rPr>
          <w:rFonts w:ascii="Arial" w:cs="Arial" w:eastAsia="Arial" w:hAnsi="Arial"/>
          <w:sz w:val="17"/>
          <w:szCs w:val="17"/>
          <w:color w:val="auto"/>
        </w:rPr>
        <w:t>23.2*</w:t>
      </w:r>
      <w:r>
        <w:rPr>
          <w:rFonts w:ascii="Arial" w:cs="Arial" w:eastAsia="Arial" w:hAnsi="Arial"/>
          <w:sz w:val="33"/>
          <w:szCs w:val="33"/>
          <w:color w:val="auto"/>
          <w:vertAlign w:val="superscript"/>
        </w:rPr>
        <w:t>​</w:t>
      </w:r>
    </w:p>
    <w:p>
      <w:pPr>
        <w:spacing w:after="0" w:line="37" w:lineRule="exact"/>
        <w:rPr>
          <w:rFonts w:ascii="Arial" w:cs="Arial" w:eastAsia="Arial" w:hAnsi="Arial"/>
          <w:sz w:val="18"/>
          <w:szCs w:val="18"/>
          <w:u w:val="single" w:color="auto"/>
          <w:color w:val="0000EE"/>
        </w:rPr>
      </w:pPr>
    </w:p>
    <w:p>
      <w:pPr>
        <w:ind w:left="1260"/>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24.1*</w:t>
      </w:r>
    </w:p>
    <w:p>
      <w:pPr>
        <w:ind w:left="1260"/>
        <w:spacing w:after="0" w:line="180" w:lineRule="auto"/>
        <w:rPr>
          <w:sz w:val="20"/>
          <w:szCs w:val="20"/>
          <w:color w:val="auto"/>
        </w:rPr>
      </w:pPr>
      <w:r>
        <w:rPr>
          <w:rFonts w:ascii="Arial" w:cs="Arial" w:eastAsia="Arial" w:hAnsi="Arial"/>
          <w:sz w:val="17"/>
          <w:szCs w:val="17"/>
          <w:color w:val="auto"/>
        </w:rPr>
        <w:t>107*</w:t>
      </w:r>
      <w:r>
        <w:rPr>
          <w:rFonts w:ascii="Arial" w:cs="Arial" w:eastAsia="Arial" w:hAnsi="Arial"/>
          <w:sz w:val="33"/>
          <w:szCs w:val="33"/>
          <w:color w:val="auto"/>
          <w:vertAlign w:val="superscript"/>
        </w:rPr>
        <w: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left="118" w:hanging="118"/>
        <w:spacing w:after="0" w:line="189" w:lineRule="auto"/>
        <w:tabs>
          <w:tab w:leader="none" w:pos="118" w:val="left"/>
        </w:tabs>
        <w:numPr>
          <w:ilvl w:val="0"/>
          <w:numId w:val="55"/>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Consent of Davis Polk &amp; Wardwell LLP (included in Exhibit 5.1)</w:t>
      </w:r>
    </w:p>
    <w:p>
      <w:pPr>
        <w:spacing w:after="0" w:line="1" w:lineRule="exact"/>
        <w:rPr>
          <w:rFonts w:ascii="Arial" w:cs="Arial" w:eastAsia="Arial" w:hAnsi="Arial"/>
          <w:sz w:val="36"/>
          <w:szCs w:val="36"/>
          <w:color w:val="auto"/>
          <w:vertAlign w:val="superscript"/>
        </w:rPr>
      </w:pPr>
    </w:p>
    <w:p>
      <w:pPr>
        <w:ind w:left="218" w:right="499" w:hanging="218"/>
        <w:spacing w:after="0" w:line="183" w:lineRule="auto"/>
        <w:tabs>
          <w:tab w:leader="none" w:pos="110" w:val="left"/>
        </w:tabs>
        <w:numPr>
          <w:ilvl w:val="0"/>
          <w:numId w:val="55"/>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Consent of Kesselman &amp; Kesselman, Certified Public Accountants (Isr.), a member firm of PricewaterhouseCoopers International Limited, an independent registered public accounting firm.</w:t>
      </w:r>
    </w:p>
    <w:p>
      <w:pPr>
        <w:ind w:left="118" w:hanging="118"/>
        <w:spacing w:after="0" w:line="196" w:lineRule="auto"/>
        <w:tabs>
          <w:tab w:leader="none" w:pos="118" w:val="left"/>
        </w:tabs>
        <w:numPr>
          <w:ilvl w:val="0"/>
          <w:numId w:val="55"/>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Powers of Attorney (included on the signature pages)</w:t>
      </w:r>
    </w:p>
    <w:p>
      <w:pPr>
        <w:spacing w:after="0" w:line="1" w:lineRule="exact"/>
        <w:rPr>
          <w:rFonts w:ascii="Arial" w:cs="Arial" w:eastAsia="Arial" w:hAnsi="Arial"/>
          <w:sz w:val="36"/>
          <w:szCs w:val="36"/>
          <w:color w:val="auto"/>
          <w:vertAlign w:val="superscript"/>
        </w:rPr>
      </w:pPr>
    </w:p>
    <w:p>
      <w:pPr>
        <w:ind w:left="118" w:hanging="118"/>
        <w:spacing w:after="0" w:line="224" w:lineRule="auto"/>
        <w:tabs>
          <w:tab w:leader="none" w:pos="118" w:val="left"/>
        </w:tabs>
        <w:numPr>
          <w:ilvl w:val="0"/>
          <w:numId w:val="55"/>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Filing Fee Table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-330835</wp:posOffset>
            </wp:positionH>
            <wp:positionV relativeFrom="paragraph">
              <wp:posOffset>36195</wp:posOffset>
            </wp:positionV>
            <wp:extent cx="123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2" w:lineRule="exact"/>
        <w:rPr>
          <w:rFonts w:ascii="Arial" w:cs="Arial" w:eastAsia="Arial" w:hAnsi="Arial"/>
          <w:sz w:val="18"/>
          <w:szCs w:val="18"/>
          <w:u w:val="single" w:color="auto"/>
          <w:color w:val="0000EE"/>
        </w:rPr>
      </w:pPr>
    </w:p>
    <w:p>
      <w:pPr>
        <w:sectPr>
          <w:pgSz w:w="11900" w:h="16838" w:orient="portrait"/>
          <w:cols w:equalWidth="0" w:num="2">
            <w:col w:w="1680" w:space="102"/>
            <w:col w:w="8097"/>
          </w:cols>
          <w:pgMar w:left="580" w:top="90" w:right="1440" w:bottom="1440" w:gutter="0" w:footer="0" w:header="0"/>
          <w:type w:val="continuous"/>
        </w:sectPr>
      </w:pPr>
    </w:p>
    <w:p>
      <w:pPr>
        <w:ind w:left="1620" w:hanging="360"/>
        <w:spacing w:after="0"/>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0" w:lineRule="exact"/>
        <w:rPr>
          <w:rFonts w:ascii="Arial" w:cs="Arial" w:eastAsia="Arial" w:hAnsi="Arial"/>
          <w:sz w:val="18"/>
          <w:szCs w:val="18"/>
          <w:u w:val="single" w:color="auto"/>
          <w:color w:val="0000EE"/>
        </w:rPr>
      </w:pPr>
    </w:p>
    <w:p>
      <w:pPr>
        <w:ind w:left="1620" w:hanging="360"/>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77" w:lineRule="exact"/>
        <w:rPr>
          <w:rFonts w:ascii="Arial" w:cs="Arial" w:eastAsia="Arial" w:hAnsi="Arial"/>
          <w:sz w:val="18"/>
          <w:szCs w:val="18"/>
          <w:u w:val="single" w:color="auto"/>
          <w:color w:val="0000EE"/>
        </w:rPr>
      </w:pPr>
    </w:p>
    <w:p>
      <w:pPr>
        <w:ind w:left="1620" w:right="519" w:hanging="360"/>
        <w:spacing w:after="0" w:line="263"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1" w:lineRule="exact"/>
        <w:rPr>
          <w:rFonts w:ascii="Arial" w:cs="Arial" w:eastAsia="Arial" w:hAnsi="Arial"/>
          <w:sz w:val="18"/>
          <w:szCs w:val="18"/>
          <w:u w:val="single" w:color="auto"/>
          <w:color w:val="0000EE"/>
        </w:rPr>
      </w:pPr>
    </w:p>
    <w:p>
      <w:pPr>
        <w:ind w:left="5220"/>
        <w:spacing w:after="0"/>
        <w:rPr>
          <w:sz w:val="20"/>
          <w:szCs w:val="20"/>
          <w:color w:val="auto"/>
        </w:rPr>
      </w:pPr>
      <w:r>
        <w:rPr>
          <w:rFonts w:ascii="Arial" w:cs="Arial" w:eastAsia="Arial" w:hAnsi="Arial"/>
          <w:sz w:val="18"/>
          <w:szCs w:val="18"/>
          <w:color w:val="auto"/>
        </w:rPr>
        <w:t>II-4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Confidential Treatment Requested by Mobileye Global Inc. Pursuant to 17 C.F.R. § 200.83.</w:t>
      </w:r>
    </w:p>
    <w:p>
      <w:pPr>
        <w:spacing w:after="0" w:line="4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8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Jerusalem, Israel on         , 2023.</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MOBILEYE GLOBAL INC.</w:t>
      </w:r>
    </w:p>
    <w:p>
      <w:pPr>
        <w:spacing w:after="0" w:line="3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Professor Amnon Shashua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Executive Officer and President</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      (As Principal Executive Officer)</w:t>
      </w: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Anat Heller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      (As Principal Financial and Accounting</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      Officer)</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KNOW ALL BY THESE PRESENT, that each person whose signature appears below constitutes and appoints Professor Amnon Shashua and Anat Heller,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2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 2023.</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ind w:left="480"/>
              <w:spacing w:after="0"/>
              <w:rPr>
                <w:sz w:val="20"/>
                <w:szCs w:val="20"/>
                <w:color w:val="auto"/>
              </w:rPr>
            </w:pPr>
            <w:r>
              <w:rPr>
                <w:rFonts w:ascii="Arial" w:cs="Arial" w:eastAsia="Arial" w:hAnsi="Arial"/>
                <w:sz w:val="14"/>
                <w:szCs w:val="14"/>
                <w:b w:val="1"/>
                <w:bCs w:val="1"/>
                <w:color w:val="auto"/>
              </w:rPr>
              <w:t>Signature</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3700" w:type="dxa"/>
            <w:vAlign w:val="bottom"/>
          </w:tcPr>
          <w:p>
            <w:pPr>
              <w:ind w:left="1720"/>
              <w:spacing w:after="0"/>
              <w:rPr>
                <w:sz w:val="20"/>
                <w:szCs w:val="20"/>
                <w:color w:val="auto"/>
              </w:rPr>
            </w:pPr>
            <w:r>
              <w:rPr>
                <w:rFonts w:ascii="Arial" w:cs="Arial" w:eastAsia="Arial" w:hAnsi="Arial"/>
                <w:sz w:val="14"/>
                <w:szCs w:val="14"/>
                <w:b w:val="1"/>
                <w:bCs w:val="1"/>
                <w:color w:val="auto"/>
              </w:rPr>
              <w:t>Title</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1180" w:type="dxa"/>
            <w:vAlign w:val="bottom"/>
          </w:tcPr>
          <w:p>
            <w:pPr>
              <w:ind w:left="600"/>
              <w:spacing w:after="0"/>
              <w:rPr>
                <w:sz w:val="20"/>
                <w:szCs w:val="20"/>
                <w:color w:val="auto"/>
              </w:rPr>
            </w:pPr>
            <w:r>
              <w:rPr>
                <w:rFonts w:ascii="Arial" w:cs="Arial" w:eastAsia="Arial" w:hAnsi="Arial"/>
                <w:sz w:val="14"/>
                <w:szCs w:val="14"/>
                <w:b w:val="1"/>
                <w:bCs w:val="1"/>
                <w:color w:val="auto"/>
              </w:rPr>
              <w:t>Date</w:t>
            </w:r>
          </w:p>
        </w:tc>
        <w:tc>
          <w:tcPr>
            <w:tcW w:w="300" w:type="dxa"/>
            <w:vAlign w:val="bottom"/>
            <w:vMerge w:val="restart"/>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540" w:type="dxa"/>
            <w:vAlign w:val="bottom"/>
            <w:tcBorders>
              <w:bottom w:val="single" w:sz="8" w:color="auto"/>
            </w:tcBorders>
            <w:vMerge w:val="continue"/>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1260" w:type="dxa"/>
        <w:tblCellMar>
          <w:top w:w="0" w:type="dxa"/>
          <w:left w:w="0" w:type="dxa"/>
          <w:bottom w:w="0" w:type="dxa"/>
          <w:right w:w="0" w:type="dxa"/>
        </w:tblCellMar>
      </w:tblPr>
      <w:tr>
        <w:trPr>
          <w:trHeight w:val="271"/>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3920" w:type="dxa"/>
            <w:vAlign w:val="bottom"/>
            <w:gridSpan w:val="2"/>
          </w:tcPr>
          <w:p>
            <w:pPr>
              <w:ind w:left="80"/>
              <w:spacing w:after="0"/>
              <w:rPr>
                <w:sz w:val="20"/>
                <w:szCs w:val="20"/>
                <w:color w:val="auto"/>
              </w:rPr>
            </w:pPr>
            <w:r>
              <w:rPr>
                <w:rFonts w:ascii="Arial" w:cs="Arial" w:eastAsia="Arial" w:hAnsi="Arial"/>
                <w:sz w:val="18"/>
                <w:szCs w:val="18"/>
                <w:color w:val="auto"/>
                <w:w w:val="99"/>
              </w:rPr>
              <w:t>​ ​ Chief Executive Officer, President and Director</w:t>
            </w:r>
          </w:p>
        </w:tc>
        <w:tc>
          <w:tcPr>
            <w:tcW w:w="940" w:type="dxa"/>
            <w:vAlign w:val="bottom"/>
          </w:tcPr>
          <w:p>
            <w:pPr>
              <w:ind w:left="60"/>
              <w:spacing w:after="0"/>
              <w:rPr>
                <w:sz w:val="20"/>
                <w:szCs w:val="20"/>
                <w:color w:val="auto"/>
              </w:rPr>
            </w:pPr>
            <w:r>
              <w:rPr>
                <w:rFonts w:ascii="Arial" w:cs="Arial" w:eastAsia="Arial" w:hAnsi="Arial"/>
                <w:sz w:val="18"/>
                <w:szCs w:val="18"/>
                <w:color w:val="auto"/>
              </w:rPr>
              <w:t>​ ​</w:t>
            </w:r>
          </w:p>
        </w:tc>
        <w:tc>
          <w:tcPr>
            <w:tcW w:w="8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Professor Amnon Shashua</w:t>
            </w:r>
          </w:p>
        </w:tc>
        <w:tc>
          <w:tcPr>
            <w:tcW w:w="360" w:type="dxa"/>
            <w:vAlign w:val="bottom"/>
          </w:tcPr>
          <w:p>
            <w:pPr>
              <w:spacing w:after="0"/>
              <w:rPr>
                <w:sz w:val="21"/>
                <w:szCs w:val="21"/>
                <w:color w:val="auto"/>
              </w:rPr>
            </w:pPr>
          </w:p>
        </w:tc>
        <w:tc>
          <w:tcPr>
            <w:tcW w:w="3560" w:type="dxa"/>
            <w:vAlign w:val="bottom"/>
          </w:tcPr>
          <w:p>
            <w:pPr>
              <w:jc w:val="center"/>
              <w:ind w:right="51"/>
              <w:spacing w:after="0"/>
              <w:rPr>
                <w:sz w:val="20"/>
                <w:szCs w:val="20"/>
                <w:color w:val="auto"/>
              </w:rPr>
            </w:pPr>
            <w:r>
              <w:rPr>
                <w:rFonts w:ascii="Arial" w:cs="Arial" w:eastAsia="Arial" w:hAnsi="Arial"/>
                <w:sz w:val="18"/>
                <w:szCs w:val="18"/>
                <w:color w:val="auto"/>
                <w:w w:val="98"/>
              </w:rPr>
              <w:t>(Principal Executive Officer)</w:t>
            </w: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582"/>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4"/>
                <w:szCs w:val="24"/>
                <w:color w:val="auto"/>
              </w:rPr>
            </w:pPr>
          </w:p>
        </w:tc>
        <w:tc>
          <w:tcPr>
            <w:tcW w:w="3560" w:type="dxa"/>
            <w:vAlign w:val="bottom"/>
          </w:tcPr>
          <w:p>
            <w:pPr>
              <w:jc w:val="center"/>
              <w:ind w:right="51"/>
              <w:spacing w:after="0"/>
              <w:rPr>
                <w:sz w:val="20"/>
                <w:szCs w:val="20"/>
                <w:color w:val="auto"/>
              </w:rPr>
            </w:pPr>
            <w:r>
              <w:rPr>
                <w:rFonts w:ascii="Arial" w:cs="Arial" w:eastAsia="Arial" w:hAnsi="Arial"/>
                <w:sz w:val="18"/>
                <w:szCs w:val="18"/>
                <w:color w:val="auto"/>
                <w:w w:val="98"/>
              </w:rPr>
              <w:t>Chief Financial Officer</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0"/>
        </w:trPr>
        <w:tc>
          <w:tcPr>
            <w:tcW w:w="2600" w:type="dxa"/>
            <w:vAlign w:val="bottom"/>
          </w:tcPr>
          <w:p>
            <w:pPr>
              <w:spacing w:after="0" w:line="160" w:lineRule="exact"/>
              <w:rPr>
                <w:sz w:val="20"/>
                <w:szCs w:val="20"/>
                <w:color w:val="auto"/>
              </w:rPr>
            </w:pPr>
            <w:r>
              <w:rPr>
                <w:rFonts w:ascii="Arial" w:cs="Arial" w:eastAsia="Arial" w:hAnsi="Arial"/>
                <w:sz w:val="18"/>
                <w:szCs w:val="18"/>
                <w:color w:val="auto"/>
              </w:rPr>
              <w:t>​</w:t>
            </w:r>
          </w:p>
        </w:tc>
        <w:tc>
          <w:tcPr>
            <w:tcW w:w="360" w:type="dxa"/>
            <w:vAlign w:val="bottom"/>
          </w:tcPr>
          <w:p>
            <w:pPr>
              <w:ind w:left="80"/>
              <w:spacing w:after="0" w:line="160" w:lineRule="exact"/>
              <w:rPr>
                <w:sz w:val="20"/>
                <w:szCs w:val="20"/>
                <w:color w:val="auto"/>
              </w:rPr>
            </w:pPr>
            <w:r>
              <w:rPr>
                <w:rFonts w:ascii="Arial" w:cs="Arial" w:eastAsia="Arial" w:hAnsi="Arial"/>
                <w:sz w:val="18"/>
                <w:szCs w:val="18"/>
                <w:color w:val="auto"/>
              </w:rPr>
              <w:t>​ ​</w:t>
            </w:r>
          </w:p>
        </w:tc>
        <w:tc>
          <w:tcPr>
            <w:tcW w:w="3560" w:type="dxa"/>
            <w:vAlign w:val="bottom"/>
          </w:tcPr>
          <w:p>
            <w:pPr>
              <w:jc w:val="center"/>
              <w:ind w:right="51"/>
              <w:spacing w:after="0" w:line="160" w:lineRule="exact"/>
              <w:rPr>
                <w:sz w:val="20"/>
                <w:szCs w:val="20"/>
                <w:color w:val="auto"/>
              </w:rPr>
            </w:pPr>
            <w:r>
              <w:rPr>
                <w:rFonts w:ascii="Arial" w:cs="Arial" w:eastAsia="Arial" w:hAnsi="Arial"/>
                <w:sz w:val="18"/>
                <w:szCs w:val="18"/>
                <w:color w:val="auto"/>
                <w:w w:val="98"/>
              </w:rPr>
              <w:t>(Principal Financial Officer and Principal</w:t>
            </w:r>
          </w:p>
        </w:tc>
        <w:tc>
          <w:tcPr>
            <w:tcW w:w="940" w:type="dxa"/>
            <w:vAlign w:val="bottom"/>
          </w:tcPr>
          <w:p>
            <w:pPr>
              <w:ind w:left="60"/>
              <w:spacing w:after="0" w:line="160" w:lineRule="exact"/>
              <w:rPr>
                <w:sz w:val="20"/>
                <w:szCs w:val="20"/>
                <w:color w:val="auto"/>
              </w:rPr>
            </w:pPr>
            <w:r>
              <w:rPr>
                <w:rFonts w:ascii="Arial" w:cs="Arial" w:eastAsia="Arial" w:hAnsi="Arial"/>
                <w:sz w:val="18"/>
                <w:szCs w:val="18"/>
                <w:color w:val="auto"/>
              </w:rPr>
              <w:t>​ ​</w:t>
            </w:r>
          </w:p>
        </w:tc>
        <w:tc>
          <w:tcPr>
            <w:tcW w:w="800" w:type="dxa"/>
            <w:vAlign w:val="bottom"/>
          </w:tcPr>
          <w:p>
            <w:pPr>
              <w:ind w:left="740"/>
              <w:spacing w:after="0" w:line="160" w:lineRule="exact"/>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Anat Heller</w:t>
            </w:r>
          </w:p>
        </w:tc>
        <w:tc>
          <w:tcPr>
            <w:tcW w:w="360" w:type="dxa"/>
            <w:vAlign w:val="bottom"/>
          </w:tcPr>
          <w:p>
            <w:pPr>
              <w:spacing w:after="0"/>
              <w:rPr>
                <w:sz w:val="23"/>
                <w:szCs w:val="23"/>
                <w:color w:val="auto"/>
              </w:rPr>
            </w:pPr>
          </w:p>
        </w:tc>
        <w:tc>
          <w:tcPr>
            <w:tcW w:w="3560" w:type="dxa"/>
            <w:vAlign w:val="bottom"/>
          </w:tcPr>
          <w:p>
            <w:pPr>
              <w:jc w:val="center"/>
              <w:ind w:right="51"/>
              <w:spacing w:after="0"/>
              <w:rPr>
                <w:sz w:val="20"/>
                <w:szCs w:val="20"/>
                <w:color w:val="auto"/>
              </w:rPr>
            </w:pPr>
            <w:r>
              <w:rPr>
                <w:rFonts w:ascii="Arial" w:cs="Arial" w:eastAsia="Arial" w:hAnsi="Arial"/>
                <w:sz w:val="18"/>
                <w:szCs w:val="18"/>
                <w:color w:val="auto"/>
              </w:rPr>
              <w:t>Accounting Officer)</w:t>
            </w: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72"/>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1"/>
        </w:trPr>
        <w:tc>
          <w:tcPr>
            <w:tcW w:w="26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Patrick P. Gelsinger</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3560" w:type="dxa"/>
            <w:vAlign w:val="bottom"/>
          </w:tcPr>
          <w:p>
            <w:pPr>
              <w:jc w:val="center"/>
              <w:ind w:right="51"/>
              <w:spacing w:after="0"/>
              <w:rPr>
                <w:sz w:val="20"/>
                <w:szCs w:val="20"/>
                <w:color w:val="auto"/>
              </w:rPr>
            </w:pPr>
            <w:r>
              <w:rPr>
                <w:rFonts w:ascii="Arial" w:cs="Arial" w:eastAsia="Arial" w:hAnsi="Arial"/>
                <w:sz w:val="18"/>
                <w:szCs w:val="18"/>
                <w:color w:val="auto"/>
                <w:w w:val="97"/>
              </w:rPr>
              <w:t>Chair of the Board of Directors</w:t>
            </w:r>
          </w:p>
        </w:tc>
        <w:tc>
          <w:tcPr>
            <w:tcW w:w="940" w:type="dxa"/>
            <w:vAlign w:val="bottom"/>
          </w:tcPr>
          <w:p>
            <w:pPr>
              <w:ind w:left="60"/>
              <w:spacing w:after="0"/>
              <w:rPr>
                <w:sz w:val="20"/>
                <w:szCs w:val="20"/>
                <w:color w:val="auto"/>
              </w:rPr>
            </w:pPr>
            <w:r>
              <w:rPr>
                <w:rFonts w:ascii="Arial" w:cs="Arial" w:eastAsia="Arial" w:hAnsi="Arial"/>
                <w:sz w:val="18"/>
                <w:szCs w:val="18"/>
                <w:color w:val="auto"/>
              </w:rPr>
              <w:t>​ ​</w:t>
            </w:r>
          </w:p>
        </w:tc>
        <w:tc>
          <w:tcPr>
            <w:tcW w:w="8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312"/>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0"/>
        </w:trPr>
        <w:tc>
          <w:tcPr>
            <w:tcW w:w="2600" w:type="dxa"/>
            <w:vAlign w:val="bottom"/>
          </w:tcPr>
          <w:p>
            <w:pPr>
              <w:spacing w:after="0" w:line="150" w:lineRule="exact"/>
              <w:rPr>
                <w:sz w:val="20"/>
                <w:szCs w:val="20"/>
                <w:color w:val="auto"/>
              </w:rPr>
            </w:pPr>
            <w:r>
              <w:rPr>
                <w:rFonts w:ascii="Arial" w:cs="Arial" w:eastAsia="Arial" w:hAnsi="Arial"/>
                <w:sz w:val="17"/>
                <w:szCs w:val="17"/>
                <w:color w:val="auto"/>
              </w:rPr>
              <w:t>​</w:t>
            </w:r>
          </w:p>
        </w:tc>
        <w:tc>
          <w:tcPr>
            <w:tcW w:w="360" w:type="dxa"/>
            <w:vAlign w:val="bottom"/>
          </w:tcPr>
          <w:p>
            <w:pPr>
              <w:ind w:left="80"/>
              <w:spacing w:after="0" w:line="150" w:lineRule="exact"/>
              <w:rPr>
                <w:sz w:val="20"/>
                <w:szCs w:val="20"/>
                <w:color w:val="auto"/>
              </w:rPr>
            </w:pPr>
            <w:r>
              <w:rPr>
                <w:rFonts w:ascii="Arial" w:cs="Arial" w:eastAsia="Arial" w:hAnsi="Arial"/>
                <w:sz w:val="17"/>
                <w:szCs w:val="17"/>
                <w:color w:val="auto"/>
              </w:rPr>
              <w:t>​ ​</w:t>
            </w:r>
          </w:p>
        </w:tc>
        <w:tc>
          <w:tcPr>
            <w:tcW w:w="3560" w:type="dxa"/>
            <w:vAlign w:val="bottom"/>
          </w:tcPr>
          <w:p>
            <w:pPr>
              <w:jc w:val="center"/>
              <w:ind w:right="51"/>
              <w:spacing w:after="0" w:line="150" w:lineRule="exact"/>
              <w:rPr>
                <w:sz w:val="20"/>
                <w:szCs w:val="20"/>
                <w:color w:val="auto"/>
              </w:rPr>
            </w:pPr>
            <w:r>
              <w:rPr>
                <w:rFonts w:ascii="Arial" w:cs="Arial" w:eastAsia="Arial" w:hAnsi="Arial"/>
                <w:sz w:val="17"/>
                <w:szCs w:val="17"/>
                <w:color w:val="auto"/>
              </w:rPr>
              <w:t>Director</w:t>
            </w:r>
          </w:p>
        </w:tc>
        <w:tc>
          <w:tcPr>
            <w:tcW w:w="940" w:type="dxa"/>
            <w:vAlign w:val="bottom"/>
          </w:tcPr>
          <w:p>
            <w:pPr>
              <w:ind w:left="60"/>
              <w:spacing w:after="0" w:line="150" w:lineRule="exact"/>
              <w:rPr>
                <w:sz w:val="20"/>
                <w:szCs w:val="20"/>
                <w:color w:val="auto"/>
              </w:rPr>
            </w:pPr>
            <w:r>
              <w:rPr>
                <w:rFonts w:ascii="Arial" w:cs="Arial" w:eastAsia="Arial" w:hAnsi="Arial"/>
                <w:sz w:val="17"/>
                <w:szCs w:val="17"/>
                <w:color w:val="auto"/>
              </w:rPr>
              <w:t>​ ​</w:t>
            </w:r>
          </w:p>
        </w:tc>
        <w:tc>
          <w:tcPr>
            <w:tcW w:w="800" w:type="dxa"/>
            <w:vAlign w:val="bottom"/>
          </w:tcPr>
          <w:p>
            <w:pPr>
              <w:ind w:left="740"/>
              <w:spacing w:after="0" w:line="150" w:lineRule="exact"/>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-1097915</wp:posOffset>
            </wp:positionV>
            <wp:extent cx="16459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-523240</wp:posOffset>
            </wp:positionV>
            <wp:extent cx="16459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-34925</wp:posOffset>
            </wp:positionV>
            <wp:extent cx="16459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Eyal Desheh</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30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Confidential Treatment Requested by Mobileye Global Inc. Pursuant to 17 C.F.R. § 200.83.</w:t>
      </w:r>
    </w:p>
    <w:p>
      <w:pPr>
        <w:spacing w:after="0" w:line="6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w:t>
      </w:r>
    </w:p>
    <w:p>
      <w:pPr>
        <w:jc w:val="both"/>
        <w:ind w:left="1260"/>
        <w:spacing w:after="0"/>
        <w:tabs>
          <w:tab w:leader="none" w:pos="2260" w:val="left"/>
          <w:tab w:leader="none" w:pos="3920" w:val="left"/>
          <w:tab w:leader="none" w:pos="5760" w:val="left"/>
          <w:tab w:leader="none" w:pos="7780" w:val="left"/>
          <w:tab w:leader="none" w:pos="8560" w:val="left"/>
        </w:tabs>
        <w:rPr>
          <w:sz w:val="20"/>
          <w:szCs w:val="20"/>
          <w:color w:val="auto"/>
        </w:rPr>
      </w:pPr>
      <w:r>
        <w:rPr>
          <w:rFonts w:ascii="Arial" w:cs="Arial" w:eastAsia="Arial" w:hAnsi="Arial"/>
          <w:sz w:val="24"/>
          <w:szCs w:val="24"/>
          <w:b w:val="1"/>
          <w:bCs w:val="1"/>
          <w:color w:val="auto"/>
          <w:vertAlign w:val="subscript"/>
        </w:rPr>
        <w:t>​</w:t>
      </w:r>
      <w:r>
        <w:rPr>
          <w:sz w:val="20"/>
          <w:szCs w:val="20"/>
          <w:color w:val="auto"/>
        </w:rPr>
        <w:tab/>
      </w: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2160" w:type="dxa"/>
            <w:vAlign w:val="bottom"/>
          </w:tcPr>
          <w:p>
            <w:pPr>
              <w:spacing w:after="0"/>
              <w:rPr>
                <w:sz w:val="17"/>
                <w:szCs w:val="17"/>
                <w:color w:val="auto"/>
              </w:rPr>
            </w:pPr>
          </w:p>
        </w:tc>
        <w:tc>
          <w:tcPr>
            <w:tcW w:w="940" w:type="dxa"/>
            <w:vAlign w:val="bottom"/>
            <w:vMerge w:val="restart"/>
          </w:tcPr>
          <w:p>
            <w:pPr>
              <w:ind w:left="8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600" w:type="dxa"/>
            <w:vAlign w:val="bottom"/>
            <w:tcBorders>
              <w:bottom w:val="single" w:sz="8" w:color="auto"/>
            </w:tcBorders>
          </w:tcPr>
          <w:p>
            <w:pPr>
              <w:spacing w:after="0" w:line="108"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9"/>
                <w:szCs w:val="9"/>
                <w:color w:val="auto"/>
              </w:rPr>
            </w:pPr>
          </w:p>
        </w:tc>
        <w:tc>
          <w:tcPr>
            <w:tcW w:w="2160" w:type="dxa"/>
            <w:vAlign w:val="bottom"/>
            <w:vMerge w:val="restart"/>
          </w:tcPr>
          <w:p>
            <w:pPr>
              <w:ind w:left="760"/>
              <w:spacing w:after="0"/>
              <w:rPr>
                <w:sz w:val="20"/>
                <w:szCs w:val="20"/>
                <w:color w:val="auto"/>
              </w:rPr>
            </w:pPr>
            <w:r>
              <w:rPr>
                <w:rFonts w:ascii="Arial" w:cs="Arial" w:eastAsia="Arial" w:hAnsi="Arial"/>
                <w:sz w:val="18"/>
                <w:szCs w:val="18"/>
                <w:color w:val="auto"/>
              </w:rPr>
              <w:t>Director</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00" w:type="dxa"/>
            <w:vAlign w:val="bottom"/>
            <w:vMerge w:val="restart"/>
          </w:tcPr>
          <w:p>
            <w:pPr>
              <w:spacing w:after="0"/>
              <w:rPr>
                <w:sz w:val="20"/>
                <w:szCs w:val="20"/>
                <w:color w:val="auto"/>
              </w:rPr>
            </w:pPr>
            <w:r>
              <w:rPr>
                <w:rFonts w:ascii="Arial" w:cs="Arial" w:eastAsia="Arial" w:hAnsi="Arial"/>
                <w:sz w:val="18"/>
                <w:szCs w:val="18"/>
                <w:color w:val="auto"/>
              </w:rPr>
              <w:t>Jon M. Huntsman, Jr.</w:t>
            </w:r>
          </w:p>
        </w:tc>
        <w:tc>
          <w:tcPr>
            <w:tcW w:w="9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6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9"/>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6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Claire C. McCaskill</w:t>
            </w:r>
          </w:p>
        </w:tc>
        <w:tc>
          <w:tcPr>
            <w:tcW w:w="980" w:type="dxa"/>
            <w:vAlign w:val="bottom"/>
          </w:tcPr>
          <w:p>
            <w:pPr>
              <w:ind w:left="80"/>
              <w:spacing w:after="0"/>
              <w:rPr>
                <w:sz w:val="20"/>
                <w:szCs w:val="20"/>
                <w:color w:val="auto"/>
              </w:rPr>
            </w:pPr>
            <w:r>
              <w:rPr>
                <w:rFonts w:ascii="Arial" w:cs="Arial" w:eastAsia="Arial" w:hAnsi="Arial"/>
                <w:sz w:val="18"/>
                <w:szCs w:val="18"/>
                <w:color w:val="auto"/>
              </w:rPr>
              <w:t>​ ​</w:t>
            </w:r>
          </w:p>
        </w:tc>
        <w:tc>
          <w:tcPr>
            <w:tcW w:w="2160" w:type="dxa"/>
            <w:vAlign w:val="bottom"/>
          </w:tcPr>
          <w:p>
            <w:pPr>
              <w:ind w:left="760"/>
              <w:spacing w:after="0"/>
              <w:rPr>
                <w:sz w:val="20"/>
                <w:szCs w:val="20"/>
                <w:color w:val="auto"/>
              </w:rPr>
            </w:pPr>
            <w:r>
              <w:rPr>
                <w:rFonts w:ascii="Arial" w:cs="Arial" w:eastAsia="Arial" w:hAnsi="Arial"/>
                <w:sz w:val="18"/>
                <w:szCs w:val="18"/>
                <w:color w:val="auto"/>
              </w:rPr>
              <w:t>Director</w:t>
            </w:r>
          </w:p>
        </w:tc>
        <w:tc>
          <w:tcPr>
            <w:tcW w:w="940" w:type="dxa"/>
            <w:vAlign w:val="bottom"/>
          </w:tcPr>
          <w:p>
            <w:pPr>
              <w:ind w:left="8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39"/>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6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Christine Pambianchi</w:t>
            </w:r>
          </w:p>
        </w:tc>
        <w:tc>
          <w:tcPr>
            <w:tcW w:w="980" w:type="dxa"/>
            <w:vAlign w:val="bottom"/>
          </w:tcPr>
          <w:p>
            <w:pPr>
              <w:ind w:left="80"/>
              <w:spacing w:after="0"/>
              <w:rPr>
                <w:sz w:val="20"/>
                <w:szCs w:val="20"/>
                <w:color w:val="auto"/>
              </w:rPr>
            </w:pPr>
            <w:r>
              <w:rPr>
                <w:rFonts w:ascii="Arial" w:cs="Arial" w:eastAsia="Arial" w:hAnsi="Arial"/>
                <w:sz w:val="18"/>
                <w:szCs w:val="18"/>
                <w:color w:val="auto"/>
              </w:rPr>
              <w:t>​ ​</w:t>
            </w:r>
          </w:p>
        </w:tc>
        <w:tc>
          <w:tcPr>
            <w:tcW w:w="2160" w:type="dxa"/>
            <w:vAlign w:val="bottom"/>
          </w:tcPr>
          <w:p>
            <w:pPr>
              <w:ind w:left="760"/>
              <w:spacing w:after="0"/>
              <w:rPr>
                <w:sz w:val="20"/>
                <w:szCs w:val="20"/>
                <w:color w:val="auto"/>
              </w:rPr>
            </w:pPr>
            <w:r>
              <w:rPr>
                <w:rFonts w:ascii="Arial" w:cs="Arial" w:eastAsia="Arial" w:hAnsi="Arial"/>
                <w:sz w:val="18"/>
                <w:szCs w:val="18"/>
                <w:color w:val="auto"/>
              </w:rPr>
              <w:t>Director</w:t>
            </w:r>
          </w:p>
        </w:tc>
        <w:tc>
          <w:tcPr>
            <w:tcW w:w="940" w:type="dxa"/>
            <w:vAlign w:val="bottom"/>
          </w:tcPr>
          <w:p>
            <w:pPr>
              <w:ind w:left="8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39"/>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6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Frank D. Yeary</w:t>
            </w:r>
          </w:p>
        </w:tc>
        <w:tc>
          <w:tcPr>
            <w:tcW w:w="980" w:type="dxa"/>
            <w:vAlign w:val="bottom"/>
          </w:tcPr>
          <w:p>
            <w:pPr>
              <w:ind w:left="80"/>
              <w:spacing w:after="0"/>
              <w:rPr>
                <w:sz w:val="20"/>
                <w:szCs w:val="20"/>
                <w:color w:val="auto"/>
              </w:rPr>
            </w:pPr>
            <w:r>
              <w:rPr>
                <w:rFonts w:ascii="Arial" w:cs="Arial" w:eastAsia="Arial" w:hAnsi="Arial"/>
                <w:sz w:val="18"/>
                <w:szCs w:val="18"/>
                <w:color w:val="auto"/>
              </w:rPr>
              <w:t>​ ​</w:t>
            </w:r>
          </w:p>
        </w:tc>
        <w:tc>
          <w:tcPr>
            <w:tcW w:w="2160" w:type="dxa"/>
            <w:vAlign w:val="bottom"/>
          </w:tcPr>
          <w:p>
            <w:pPr>
              <w:ind w:left="760"/>
              <w:spacing w:after="0"/>
              <w:rPr>
                <w:sz w:val="20"/>
                <w:szCs w:val="20"/>
                <w:color w:val="auto"/>
              </w:rPr>
            </w:pPr>
            <w:r>
              <w:rPr>
                <w:rFonts w:ascii="Arial" w:cs="Arial" w:eastAsia="Arial" w:hAnsi="Arial"/>
                <w:sz w:val="18"/>
                <w:szCs w:val="18"/>
                <w:color w:val="auto"/>
              </w:rPr>
              <w:t>Director</w:t>
            </w:r>
          </w:p>
        </w:tc>
        <w:tc>
          <w:tcPr>
            <w:tcW w:w="940" w:type="dxa"/>
            <w:vAlign w:val="bottom"/>
          </w:tcPr>
          <w:p>
            <w:pPr>
              <w:ind w:left="8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12"/>
        </w:trPr>
        <w:tc>
          <w:tcPr>
            <w:tcW w:w="2600" w:type="dxa"/>
            <w:vAlign w:val="bottom"/>
          </w:tcPr>
          <w:p>
            <w:pPr>
              <w:ind w:left="2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980" w:type="dxa"/>
            <w:vAlign w:val="bottom"/>
          </w:tcPr>
          <w:p>
            <w:pPr>
              <w:ind w:left="80"/>
              <w:spacing w:after="0" w:line="149" w:lineRule="exact"/>
              <w:rPr>
                <w:sz w:val="20"/>
                <w:szCs w:val="20"/>
                <w:color w:val="auto"/>
              </w:rPr>
            </w:pPr>
            <w:r>
              <w:rPr>
                <w:rFonts w:ascii="Arial" w:cs="Arial" w:eastAsia="Arial" w:hAnsi="Arial"/>
                <w:sz w:val="17"/>
                <w:szCs w:val="17"/>
                <w:color w:val="auto"/>
              </w:rPr>
              <w:t>​ ​</w:t>
            </w:r>
          </w:p>
        </w:tc>
        <w:tc>
          <w:tcPr>
            <w:tcW w:w="2160" w:type="dxa"/>
            <w:vAlign w:val="bottom"/>
          </w:tcPr>
          <w:p>
            <w:pPr>
              <w:ind w:left="760"/>
              <w:spacing w:after="0" w:line="149" w:lineRule="exact"/>
              <w:rPr>
                <w:sz w:val="20"/>
                <w:szCs w:val="20"/>
                <w:color w:val="auto"/>
              </w:rPr>
            </w:pPr>
            <w:r>
              <w:rPr>
                <w:rFonts w:ascii="Arial" w:cs="Arial" w:eastAsia="Arial" w:hAnsi="Arial"/>
                <w:sz w:val="17"/>
                <w:szCs w:val="17"/>
                <w:color w:val="auto"/>
              </w:rPr>
              <w:t>Director</w:t>
            </w:r>
          </w:p>
        </w:tc>
        <w:tc>
          <w:tcPr>
            <w:tcW w:w="940" w:type="dxa"/>
            <w:vAlign w:val="bottom"/>
          </w:tcPr>
          <w:p>
            <w:pPr>
              <w:ind w:left="800"/>
              <w:spacing w:after="0" w:line="149"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Saf Yeboah-Amankwah</w:t>
            </w: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-1697355</wp:posOffset>
            </wp:positionV>
            <wp:extent cx="16459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-1183005</wp:posOffset>
            </wp:positionV>
            <wp:extent cx="16459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-668655</wp:posOffset>
            </wp:positionV>
            <wp:extent cx="16459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-179705</wp:posOffset>
            </wp:positionV>
            <wp:extent cx="16459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lowerRoman"/>
      <w:start w:val="3"/>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5"/>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Roman"/>
      <w:start w:val="2"/>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5"/>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Roman"/>
      <w:start w:val="2"/>
    </w:lvl>
  </w:abstractNum>
  <w:abstractNum w:abstractNumId="41">
    <w:nsid w:val="749ABB43"/>
    <w:multiLevelType w:val="hybridMultilevel"/>
    <w:lvl w:ilvl="0">
      <w:lvlJc w:val="left"/>
      <w:lvlText w:val="(%1)"/>
      <w:numFmt w:val="decimal"/>
      <w:start w:val="3"/>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decimal"/>
      <w:start w:val="3"/>
    </w:lvl>
  </w:abstractNum>
  <w:abstractNum w:abstractNumId="44">
    <w:nsid w:val="79A1DEAA"/>
    <w:multiLevelType w:val="hybridMultilevel"/>
    <w:lvl w:ilvl="0">
      <w:lvlJc w:val="left"/>
      <w:lvlText w:val="(%1)"/>
      <w:numFmt w:val="decimal"/>
      <w:start w:val="5"/>
    </w:lvl>
  </w:abstractNum>
  <w:abstractNum w:abstractNumId="45">
    <w:nsid w:val="75C6C33A"/>
    <w:multiLevelType w:val="hybridMultilevel"/>
    <w:lvl w:ilvl="0">
      <w:lvlJc w:val="left"/>
      <w:lvlText w:val="&amp;"/>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2"/>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39" Type="http://schemas.openxmlformats.org/officeDocument/2006/relationships/hyperlink" Target="https://www.sec.gov/Archives/edgar/data/1910139/000110465922111295/tm227410d22_8a12b.htm" TargetMode="External"/><Relationship Id="rId153" Type="http://schemas.openxmlformats.org/officeDocument/2006/relationships/hyperlink" Target="https://www.sec.gov/Archives/edgar/data/1910139/000110465922112427/tm227410d28_ex3-1.htm" TargetMode="External"/><Relationship Id="rId154" Type="http://schemas.openxmlformats.org/officeDocument/2006/relationships/hyperlink" Target="https://www.sec.gov/Archives/edgar/data/1910139/000110465922112427/tm227410d28_ex3-2.htm" TargetMode="External"/><Relationship Id="rId155" Type="http://schemas.openxmlformats.org/officeDocument/2006/relationships/hyperlink" Target="https://www.sec.gov/Archives/edgar/data/1910139/000110465922104640/tm227410d16_ex10-9.htm" TargetMode="External"/><Relationship Id="rId156" Type="http://schemas.openxmlformats.org/officeDocument/2006/relationships/hyperlink" Target="https://www.sec.gov/Archives/edgar/data/1910139/000110465922104640/tm227410d16_ex10-10.htm" TargetMode="External"/><Relationship Id="rId157" Type="http://schemas.openxmlformats.org/officeDocument/2006/relationships/hyperlink" Target="https://www.sec.gov/Archives/edgar/data/1910139/000110465922104640/tm227410d16_ex10-11.htm" TargetMode="External"/><Relationship Id="rId158" Type="http://schemas.openxmlformats.org/officeDocument/2006/relationships/hyperlink" Target="https://www.sec.gov/Archives/edgar/data/1910139/000110465922104640/tm227410d16_ex10-12.htm" TargetMode="External"/><Relationship Id="rId159" Type="http://schemas.openxmlformats.org/officeDocument/2006/relationships/hyperlink" Target="https://www.sec.gov/Archives/edgar/data/1910139/000110465922104640/tm227410d16_ex10-13.htm" TargetMode="External"/><Relationship Id="rId160" Type="http://schemas.openxmlformats.org/officeDocument/2006/relationships/hyperlink" Target="https://www.sec.gov/Archives/edgar/data/1910139/000110465922104640/tm227410d16_ex10-14.htm" TargetMode="External"/><Relationship Id="rId161" Type="http://schemas.openxmlformats.org/officeDocument/2006/relationships/hyperlink" Target="https://www.sec.gov/Archives/edgar/data/1910139/000110465922104640/tm227410d16_ex10-15.htm" TargetMode="External"/><Relationship Id="rId162" Type="http://schemas.openxmlformats.org/officeDocument/2006/relationships/hyperlink" Target="https://www.sec.gov/Archives/edgar/data/1910139/000110465922104640/tm227410d16_ex10-16.htm" TargetMode="External"/><Relationship Id="rId166" Type="http://schemas.openxmlformats.org/officeDocument/2006/relationships/hyperlink" Target="https://www.sec.gov/Archives/edgar/data/1910139/000110465922104640/tm227410d16_ex10-17.htm" TargetMode="External"/><Relationship Id="rId167" Type="http://schemas.openxmlformats.org/officeDocument/2006/relationships/hyperlink" Target="https://www.sec.gov/Archives/edgar/data/1910139/000110465922104640/tm227410d16_ex10-18.htm" TargetMode="External"/><Relationship Id="rId168" Type="http://schemas.openxmlformats.org/officeDocument/2006/relationships/hyperlink" Target="https://www.sec.gov/Archives/edgar/data/1910139/000110465922104640/tm227410d16_ex10-19.htm" TargetMode="External"/><Relationship Id="rId169" Type="http://schemas.openxmlformats.org/officeDocument/2006/relationships/hyperlink" Target="https://www.sec.gov/Archives/edgar/data/1910139/000110465922104640/tm227410d16_ex10-20.htm" TargetMode="External"/><Relationship Id="rId170" Type="http://schemas.openxmlformats.org/officeDocument/2006/relationships/hyperlink" Target="https://www.sec.gov/Archives/edgar/data/1910139/000110465922104640/tm227410d16_ex10-21.htm" TargetMode="External"/><Relationship Id="rId171" Type="http://schemas.openxmlformats.org/officeDocument/2006/relationships/hyperlink" Target="https://www.sec.gov/Archives/edgar/data/1910139/000110465922104640/tm227410d16_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2023-06-12T00:19:10Z</dcterms:created>
  <dcterms:modified xsi:type="dcterms:W3CDTF">2023-06-12T00:19:10Z</dcterms:modified>
</cp:coreProperties>
</file>