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001-41541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80" w:type="dxa"/>
            <w:vAlign w:val="bottom"/>
          </w:tcPr>
          <w:p>
            <w:pPr>
              <w:spacing w:after="0"/>
              <w:rPr>
                <w:sz w:val="24"/>
                <w:szCs w:val="24"/>
                <w:color w:val="auto"/>
              </w:rPr>
            </w:pPr>
          </w:p>
        </w:tc>
        <w:tc>
          <w:tcPr>
            <w:tcW w:w="442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2700" w:type="dxa"/>
            <w:vAlign w:val="bottom"/>
          </w:tcPr>
          <w:p>
            <w:pPr>
              <w:spacing w:after="0"/>
              <w:rPr>
                <w:sz w:val="24"/>
                <w:szCs w:val="24"/>
                <w:color w:val="auto"/>
              </w:rPr>
            </w:pPr>
          </w:p>
        </w:tc>
      </w:tr>
      <w:tr>
        <w:trPr>
          <w:trHeight w:val="216"/>
        </w:trPr>
        <w:tc>
          <w:tcPr>
            <w:tcW w:w="67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Har Hotzvim, 1 Shlomo Momo HaLevi Street</w:t>
            </w:r>
          </w:p>
        </w:tc>
        <w:tc>
          <w:tcPr>
            <w:tcW w:w="27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42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Jerusalem, Israel</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9777015</w:t>
            </w:r>
          </w:p>
        </w:tc>
      </w:tr>
      <w:tr>
        <w:trPr>
          <w:trHeight w:val="238"/>
        </w:trPr>
        <w:tc>
          <w:tcPr>
            <w:tcW w:w="67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940" w:type="dxa"/>
            <w:vAlign w:val="bottom"/>
            <w:tcBorders>
              <w:top w:val="single" w:sz="8" w:color="auto"/>
              <w:left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4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October 23, 2025 Mobileye Global Inc. issued a press release announcing its financial results for the quarter ended September 27, 2025.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76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October 23, 2025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34"/>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Mobileye Releases Third Quarter 2025 Results and Provides Business Overview</w:t>
      </w:r>
    </w:p>
    <w:p>
      <w:pPr>
        <w:spacing w:after="0" w:line="21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Revenue of </w:t>
      </w:r>
      <w:r>
        <w:rPr>
          <w:rFonts w:ascii="Times New Roman" w:cs="Times New Roman" w:eastAsia="Times New Roman" w:hAnsi="Times New Roman"/>
          <w:sz w:val="18"/>
          <w:szCs w:val="18"/>
          <w:color w:val="000000"/>
        </w:rPr>
        <w:t>$504</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third quarter increased 4%</w:t>
      </w:r>
      <w:r>
        <w:rPr>
          <w:rFonts w:ascii="Times New Roman" w:cs="Times New Roman" w:eastAsia="Times New Roman" w:hAnsi="Times New Roman"/>
          <w:sz w:val="18"/>
          <w:szCs w:val="18"/>
          <w:color w:val="101820"/>
        </w:rPr>
        <w:t xml:space="preserve"> year over year compared to Q3 2024 on strong demand across the business.</w:t>
      </w:r>
    </w:p>
    <w:p>
      <w:pPr>
        <w:spacing w:after="0" w:line="27" w:lineRule="exact"/>
        <w:rPr>
          <w:rFonts w:ascii="Times New Roman" w:cs="Times New Roman" w:eastAsia="Times New Roman" w:hAnsi="Times New Roman"/>
          <w:sz w:val="18"/>
          <w:szCs w:val="18"/>
          <w:color w:val="101820"/>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Diluted EPS (GAAP) was $(0.12) and Adjusted Diluted EPS (Non-GAAP) was $0.09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2025.</w:t>
      </w:r>
    </w:p>
    <w:p>
      <w:pPr>
        <w:spacing w:after="0" w:line="9" w:lineRule="exact"/>
        <w:rPr>
          <w:rFonts w:ascii="Times New Roman" w:cs="Times New Roman" w:eastAsia="Times New Roman" w:hAnsi="Times New Roman"/>
          <w:sz w:val="18"/>
          <w:szCs w:val="18"/>
          <w:color w:val="101820"/>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Continued stability in supply-demand conditions drives an upward revision of our full-year 2025 revenue outlook to </w:t>
      </w:r>
      <w:r>
        <w:rPr>
          <w:rFonts w:ascii="Times New Roman" w:cs="Times New Roman" w:eastAsia="Times New Roman" w:hAnsi="Times New Roman"/>
          <w:sz w:val="18"/>
          <w:szCs w:val="18"/>
          <w:color w:val="000000"/>
        </w:rPr>
        <w:t>$1,845</w:t>
      </w:r>
      <w:r>
        <w:rPr>
          <w:rFonts w:ascii="Times New Roman" w:cs="Times New Roman" w:eastAsia="Times New Roman" w:hAnsi="Times New Roman"/>
          <w:sz w:val="18"/>
          <w:szCs w:val="18"/>
          <w:color w:val="101820"/>
        </w:rPr>
        <w:t xml:space="preserve"> million - </w:t>
      </w:r>
      <w:r>
        <w:rPr>
          <w:rFonts w:ascii="Times New Roman" w:cs="Times New Roman" w:eastAsia="Times New Roman" w:hAnsi="Times New Roman"/>
          <w:sz w:val="18"/>
          <w:szCs w:val="18"/>
          <w:color w:val="000000"/>
        </w:rPr>
        <w:t>$1,885</w:t>
      </w:r>
      <w:r>
        <w:rPr>
          <w:rFonts w:ascii="Times New Roman" w:cs="Times New Roman" w:eastAsia="Times New Roman" w:hAnsi="Times New Roman"/>
          <w:sz w:val="18"/>
          <w:szCs w:val="18"/>
          <w:color w:val="101820"/>
        </w:rPr>
        <w:t xml:space="preserve"> million, implying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101820"/>
        </w:rPr>
        <w:t xml:space="preserve"> -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101820"/>
        </w:rPr>
        <w:t xml:space="preserve"> year-over-year revenue growth.</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Generated net cash from operating activities of </w:t>
      </w:r>
      <w:r>
        <w:rPr>
          <w:rFonts w:ascii="Times New Roman" w:cs="Times New Roman" w:eastAsia="Times New Roman" w:hAnsi="Times New Roman"/>
          <w:sz w:val="18"/>
          <w:szCs w:val="18"/>
          <w:color w:val="000000"/>
        </w:rPr>
        <w:t>$489</w:t>
      </w:r>
      <w:r>
        <w:rPr>
          <w:rFonts w:ascii="Times New Roman" w:cs="Times New Roman" w:eastAsia="Times New Roman" w:hAnsi="Times New Roman"/>
          <w:sz w:val="18"/>
          <w:szCs w:val="18"/>
          <w:color w:val="101820"/>
        </w:rPr>
        <w:t xml:space="preserve"> million in the </w:t>
      </w:r>
      <w:r>
        <w:rPr>
          <w:rFonts w:ascii="Times New Roman" w:cs="Times New Roman" w:eastAsia="Times New Roman" w:hAnsi="Times New Roman"/>
          <w:sz w:val="18"/>
          <w:szCs w:val="18"/>
          <w:color w:val="000000"/>
        </w:rPr>
        <w:t>nine months ended September 27, 2025</w:t>
      </w:r>
      <w:r>
        <w:rPr>
          <w:rFonts w:ascii="Times New Roman" w:cs="Times New Roman" w:eastAsia="Times New Roman" w:hAnsi="Times New Roman"/>
          <w:sz w:val="18"/>
          <w:szCs w:val="18"/>
          <w:color w:val="101820"/>
        </w:rPr>
        <w:t xml:space="preserve">. Our balance sheet is strong with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101820"/>
        </w:rPr>
        <w:t xml:space="preserve"> billion of cash and cash equivalents, after a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101820"/>
        </w:rPr>
        <w:t xml:space="preserve"> million share buyback executed in Q3.</w:t>
      </w:r>
    </w:p>
    <w:p>
      <w:pPr>
        <w:spacing w:after="0" w:line="39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101820"/>
        </w:rPr>
        <w:t xml:space="preserve">JERUSALEM – October 23, 2025 – Mobileye Global Inc. (Nasdaq: MBLY) (“Mobileye”) today released its financial results for the three months ended </w:t>
      </w:r>
      <w:r>
        <w:rPr>
          <w:rFonts w:ascii="Times New Roman" w:cs="Times New Roman" w:eastAsia="Times New Roman" w:hAnsi="Times New Roman"/>
          <w:sz w:val="18"/>
          <w:szCs w:val="18"/>
          <w:color w:val="000000"/>
        </w:rPr>
        <w:t>September 27, 2025</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delivered another strong quarter, with solid revenue growth and disciplined cost management. Continued auto production stability gives us confidence to again raise our full-year outlook, removing conservatism we had embedded earlier due to macro uncertainty,” said Mobileye President and CEO Prof. Amnon Shashua. “We see tremendous opportunities ahead as we execute toward on-time launches of advanced EyeQ6 High-based products, deepen engagement with strategic customers across our portfolio, and prepare for the commercialization of driverless robotaxi beginning in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Business Highlights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4% year-over-year in Q3 was broad-based, driven by strong EyeQ volumes across our customer base (including China-based OEMs), steady ramp-ups of new ADAS programs, and robust volume for vehicles with the first-generation SuperVision system compared to the first half run-rate. We continue to secure new ADAS program wins at a high rate and the growing traction for Surround ADAS underscores the strong potential for next generation, higher-content ADAS for mass-market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execution of our four advanced products with multiple Volkswagen Group brands continues to meet key performance and safety KPIs keeping us on track for on-time start of production. Volkswagen showcased the autonomous ID.Buzz and ramped up marketing efforts at IAA in September and we remain on schedule to begin fully driverless deployments in the US in 2026. SuperVision and Chauffeur test vehicles now include production-level hardware and major components of the next generation AI-intensive software stack, consistently demonstrating better-than-predicted performance in multiple geographies.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Benteler announced an additional engagement to launch its purpose-built, scalable Holon urban AV shuttle, enabled by Mobileye Drive, in conjunction with Lyft in the US. This program, which includes manufacturing and financing by Benteler, targets the shared mobility market through a 15-passenger shuttle form factor.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Summary and Key Highlights (Unaudited)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40" w:type="dxa"/>
            <w:vAlign w:val="bottom"/>
          </w:tcPr>
          <w:p>
            <w:pPr>
              <w:spacing w:after="0"/>
              <w:rPr>
                <w:sz w:val="24"/>
                <w:szCs w:val="24"/>
                <w:color w:val="auto"/>
              </w:rPr>
            </w:pP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4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440" w:type="dxa"/>
            <w:vAlign w:val="bottom"/>
            <w:vMerge w:val="restart"/>
          </w:tcPr>
          <w:p>
            <w:pPr>
              <w:spacing w:after="0"/>
              <w:rPr>
                <w:sz w:val="24"/>
                <w:szCs w:val="24"/>
                <w:color w:val="auto"/>
              </w:rPr>
            </w:pPr>
          </w:p>
        </w:tc>
        <w:tc>
          <w:tcPr>
            <w:tcW w:w="14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 Y/Y</w:t>
            </w:r>
          </w:p>
        </w:tc>
        <w:tc>
          <w:tcPr>
            <w:tcW w:w="3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237</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(55)bps</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(2,807)</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+55,595bps</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(2,715)</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(3.35)</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(3.35)</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100"/>
        </w:trPr>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38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380" w:type="dxa"/>
            <w:vAlign w:val="bottom"/>
            <w:vMerge w:val="restart"/>
          </w:tcPr>
          <w:p>
            <w:pPr>
              <w:spacing w:after="0"/>
              <w:rPr>
                <w:sz w:val="20"/>
                <w:szCs w:val="20"/>
                <w:color w:val="auto"/>
              </w:rPr>
            </w:pP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 Y/Y</w:t>
            </w:r>
          </w:p>
        </w:tc>
        <w:tc>
          <w:tcPr>
            <w:tcW w:w="3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331</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(124)bps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(137)bps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auto"/>
        </w:rPr>
        <w:t xml:space="preserve">Revenue of $504 million increased by 4% compared to the third quarter of 2024, </w:t>
      </w:r>
      <w:r>
        <w:rPr>
          <w:rFonts w:ascii="Times New Roman" w:cs="Times New Roman" w:eastAsia="Times New Roman" w:hAnsi="Times New Roman"/>
          <w:sz w:val="18"/>
          <w:szCs w:val="18"/>
          <w:color w:val="101820"/>
        </w:rPr>
        <w:t>primarily due to an</w:t>
      </w:r>
      <w:r>
        <w:rPr>
          <w:rFonts w:ascii="Times New Roman" w:cs="Times New Roman" w:eastAsia="Times New Roman" w:hAnsi="Times New Roman"/>
          <w:sz w:val="18"/>
          <w:szCs w:val="18"/>
          <w:color w:val="auto"/>
        </w:rPr>
        <w:t xml:space="preserve"> 8% </w:t>
      </w:r>
      <w:r>
        <w:rPr>
          <w:rFonts w:ascii="Times New Roman" w:cs="Times New Roman" w:eastAsia="Times New Roman" w:hAnsi="Times New Roman"/>
          <w:sz w:val="18"/>
          <w:szCs w:val="18"/>
          <w:color w:val="101820"/>
        </w:rPr>
        <w:t>increase in EyeQ volumes, resulting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01820"/>
        </w:rPr>
        <w:t>higher customer demand, partially offset by lower SuperVision volumes on a year-over-year basis.</w:t>
      </w:r>
    </w:p>
    <w:p>
      <w:pPr>
        <w:spacing w:after="0" w:line="161" w:lineRule="exact"/>
        <w:rPr>
          <w:rFonts w:ascii="Times New Roman" w:cs="Times New Roman" w:eastAsia="Times New Roman" w:hAnsi="Times New Roman"/>
          <w:sz w:val="18"/>
          <w:szCs w:val="18"/>
          <w:color w:val="101820"/>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Gross Margin as well as Adjusted Gross Margin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101820"/>
        </w:rPr>
        <w:t xml:space="preserve">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This was due to a modest reduction in EyeQ ASP mainly due to higher volumes in China which carry lower ASP, and a higher EyeQ-related cost per unit given a different mix of EyeQ products sold.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Operating Margin improved from </w:t>
      </w:r>
      <w:r>
        <w:rPr>
          <w:rFonts w:ascii="Times New Roman" w:cs="Times New Roman" w:eastAsia="Times New Roman" w:hAnsi="Times New Roman"/>
          <w:sz w:val="18"/>
          <w:szCs w:val="18"/>
          <w:color w:val="000000"/>
        </w:rPr>
        <w:t>(578)% in the third quarter of 2024 to (22%)</w:t>
      </w:r>
      <w:r>
        <w:rPr>
          <w:rFonts w:ascii="Times New Roman" w:cs="Times New Roman" w:eastAsia="Times New Roman" w:hAnsi="Times New Roman"/>
          <w:sz w:val="18"/>
          <w:szCs w:val="18"/>
          <w:color w:val="101820"/>
        </w:rPr>
        <w:t xml:space="preserve"> in the </w:t>
      </w:r>
      <w:r>
        <w:rPr>
          <w:rFonts w:ascii="Times New Roman" w:cs="Times New Roman" w:eastAsia="Times New Roman" w:hAnsi="Times New Roman"/>
          <w:sz w:val="18"/>
          <w:szCs w:val="18"/>
          <w:color w:val="000000"/>
        </w:rPr>
        <w:t>third quarter of 2025.</w:t>
      </w:r>
      <w:r>
        <w:rPr>
          <w:rFonts w:ascii="Times New Roman" w:cs="Times New Roman" w:eastAsia="Times New Roman" w:hAnsi="Times New Roman"/>
          <w:sz w:val="18"/>
          <w:szCs w:val="18"/>
          <w:color w:val="101820"/>
        </w:rPr>
        <w:t xml:space="preserve"> The increase was primarily due to non-recurrence of the goodwill impairment that took place during the third quarter of 2024.</w:t>
      </w:r>
    </w:p>
    <w:p>
      <w:pPr>
        <w:spacing w:after="0" w:line="161" w:lineRule="exact"/>
        <w:rPr>
          <w:rFonts w:ascii="Times New Roman" w:cs="Times New Roman" w:eastAsia="Times New Roman" w:hAnsi="Times New Roman"/>
          <w:sz w:val="18"/>
          <w:szCs w:val="18"/>
          <w:color w:val="101820"/>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 xml:space="preserve">Adjusted Operating Margin decreased by </w:t>
      </w:r>
      <w:r>
        <w:rPr>
          <w:rFonts w:ascii="Times New Roman" w:cs="Times New Roman" w:eastAsia="Times New Roman" w:hAnsi="Times New Roman"/>
          <w:sz w:val="18"/>
          <w:szCs w:val="18"/>
          <w:color w:val="000000"/>
        </w:rPr>
        <w:t>1</w:t>
      </w:r>
      <w:r>
        <w:rPr>
          <w:rFonts w:ascii="Times New Roman" w:cs="Times New Roman" w:eastAsia="Times New Roman" w:hAnsi="Times New Roman"/>
          <w:sz w:val="18"/>
          <w:szCs w:val="18"/>
          <w:color w:val="101820"/>
        </w:rPr>
        <w:t xml:space="preserve"> percentage point in the </w:t>
      </w:r>
      <w:r>
        <w:rPr>
          <w:rFonts w:ascii="Times New Roman" w:cs="Times New Roman" w:eastAsia="Times New Roman" w:hAnsi="Times New Roman"/>
          <w:sz w:val="18"/>
          <w:szCs w:val="18"/>
          <w:color w:val="000000"/>
        </w:rPr>
        <w:t>third quarter</w:t>
      </w:r>
      <w:r>
        <w:rPr>
          <w:rFonts w:ascii="Times New Roman" w:cs="Times New Roman" w:eastAsia="Times New Roman" w:hAnsi="Times New Roman"/>
          <w:sz w:val="18"/>
          <w:szCs w:val="18"/>
          <w:color w:val="101820"/>
        </w:rPr>
        <w:t xml:space="preserve">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The decrease was primarily due to lower adjusted gross margin while keeping similar levels of operating expenses as percentage of revenue on a year-over-year basis.</w:t>
      </w:r>
    </w:p>
    <w:p>
      <w:pPr>
        <w:spacing w:after="0" w:line="175" w:lineRule="exact"/>
        <w:rPr>
          <w:rFonts w:ascii="Times New Roman" w:cs="Times New Roman" w:eastAsia="Times New Roman" w:hAnsi="Times New Roman"/>
          <w:sz w:val="18"/>
          <w:szCs w:val="18"/>
          <w:color w:val="101820"/>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for the nine months ended September 27, 2025 was $489 million. Cash used in purchases of property and equipment was $52 million for that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Updated Financial Guidance for the 2025 Fiscal Year</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0"/>
        </w:trPr>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4"/>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Updated Guidance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Previous Guidance</w:t>
            </w:r>
          </w:p>
        </w:tc>
      </w:tr>
      <w:tr>
        <w:trPr>
          <w:trHeight w:val="238"/>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Full Year 2025</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Full Year 2025</w:t>
            </w: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Low</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High</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w:t>
            </w:r>
          </w:p>
        </w:tc>
        <w:tc>
          <w:tcPr>
            <w:tcW w:w="3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1,885</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Pr>
          <w:p>
            <w:pPr>
              <w:spacing w:after="0"/>
              <w:rPr>
                <w:sz w:val="18"/>
                <w:szCs w:val="18"/>
                <w:color w:val="auto"/>
              </w:rPr>
            </w:pPr>
          </w:p>
        </w:tc>
        <w:tc>
          <w:tcPr>
            <w:tcW w:w="116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0" w:type="dxa"/>
            <w:vAlign w:val="bottom"/>
            <w:gridSpan w:val="2"/>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1380" w:type="dxa"/>
            <w:vAlign w:val="bottom"/>
            <w:gridSpan w:val="2"/>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108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6"/>
              </w:rPr>
              <w:t>443</w:t>
            </w:r>
          </w:p>
        </w:tc>
        <w:tc>
          <w:tcPr>
            <w:tcW w:w="820" w:type="dxa"/>
            <w:vAlign w:val="bottom"/>
            <w:shd w:val="clear" w:color="auto" w:fill="CCEEFF"/>
          </w:tcPr>
          <w:p>
            <w:pPr>
              <w:spacing w:after="0"/>
              <w:rPr>
                <w:sz w:val="18"/>
                <w:szCs w:val="18"/>
                <w:color w:val="auto"/>
              </w:rPr>
            </w:pPr>
          </w:p>
        </w:tc>
      </w:tr>
      <w:tr>
        <w:trPr>
          <w:trHeight w:val="23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0" w:type="dxa"/>
            <w:vAlign w:val="bottom"/>
            <w:gridSpan w:val="2"/>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380" w:type="dxa"/>
            <w:vAlign w:val="bottom"/>
            <w:gridSpan w:val="2"/>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282</w:t>
            </w:r>
          </w:p>
        </w:tc>
        <w:tc>
          <w:tcPr>
            <w:tcW w:w="108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6"/>
              </w:rPr>
              <w:t>279</w:t>
            </w:r>
          </w:p>
        </w:tc>
        <w:tc>
          <w:tcPr>
            <w:tcW w:w="82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$210 - 286</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updated guidance reflects a 2% increase in expected Revenue, at the midpoint, compared to the prior guidance. This is due to an increased outlook for both EyeQ and SuperVision shipments for the remainder of 2025 resulting from higher-than-expected volume in the third quarter of 2025 and increased visibility into customer orders and industry supply-demand dynamics in the fourth quarter of 2025. Investors should view the reduction in revenue in Q4 implied by the guidance as prudent balancing of supply and demand after a volatile macro-economic year with the direction to begin 2026 with lean-to-normal inventories at our customers. Our updated guidance also reflects a decrease in Operating Loss (GAAP) and an increase in Adjusted Operating Income (Non-GAAP), at the midpoint, of 5% and 11%, respectively, due to the typical incremental margin on higher revenue and stable expectations for operating expenses. The foregoing reflects Mobileye’s updated expectations for Revenue, Operating Loss and Adjusted Operating Income results for the full year 2025. This guidance incorporates our best estimates of production impacts related to current tariffs imposed on complete vehicles imported into the United States and tariffs on imported vehicle components used in US vehicle production, but assuming no further tariff developments or increases.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2) Share-based compensation expense; and 3) Goodwill impairment. These statements represent forward-looking information and may not represent a financial outlook, and actual results may vary. Please see the risks and assumptions referred to in the Forward-Looking Statements section of this release.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October 23, 2025, </w:t>
      </w:r>
      <w:r>
        <w:rPr>
          <w:rFonts w:ascii="Times New Roman" w:cs="Times New Roman" w:eastAsia="Times New Roman" w:hAnsi="Times New Roman"/>
          <w:sz w:val="18"/>
          <w:szCs w:val="18"/>
          <w:color w:val="000000"/>
        </w:rPr>
        <w:t>at 8:00am ET (3:00pm IT)</w:t>
      </w:r>
      <w:r>
        <w:rPr>
          <w:rFonts w:ascii="Times New Roman" w:cs="Times New Roman" w:eastAsia="Times New Roman" w:hAnsi="Times New Roman"/>
          <w:sz w:val="18"/>
          <w:szCs w:val="18"/>
          <w:color w:val="101820"/>
        </w:rPr>
        <w:t xml:space="preserve">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563C1"/>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and share-based compensation expenses and impairment of goodwill.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independently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mapping, and integrated software and hardware. Since our founding in 1999, Mobileye has enabled the wide adoption of advanced driver-assistance systems that bolster driving safety, while pioneering such groundbreaking technologies as REM™ crowdsourced mapping, True Redundancy™ sensing, and Responsibility Sensitive Safety (RSS). These technologies drive the ADAS and AV fields towards the future of mobility – enabling self-driving vehicles and mobility solutions at scale, and powering industry-leading advanced driver-assistance systems. Through 2024, more than 200 million vehicles worldwide have been built with Mobileye’s EyeQ technology inside. Since 2022, Mobileye has been listed independently from Intel (Nasdaq: INTC), which retains majority ownership.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2025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262626"/>
        </w:rPr>
        <w:t>Important factors that may materially affect such forward-looking statements and projections include the following: further deterioration of macroeconomic conditions due to ongoing global economic and political uncertainty (as our current guidance assumes the estimated production and/or demand impact of current tariff conditions); future business, social and environmental performance, goals and measures; our anticipated growth prospects and trends in markets and industries relevant to our busi</w:t>
      </w:r>
      <w:r>
        <w:rPr>
          <w:rFonts w:ascii="Times New Roman" w:cs="Times New Roman" w:eastAsia="Times New Roman" w:hAnsi="Times New Roman"/>
          <w:sz w:val="18"/>
          <w:szCs w:val="18"/>
          <w:color w:val="000000"/>
        </w:rPr>
        <w:t>ness; business and investment plans; expectations about our ability to maintain or enhance our leadership</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and tax- and accounting-related expectations.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initially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28, 2024,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260" w:type="dxa"/>
            <w:vAlign w:val="bottom"/>
          </w:tcPr>
          <w:p>
            <w:pPr>
              <w:spacing w:after="0"/>
              <w:rPr>
                <w:sz w:val="20"/>
                <w:szCs w:val="20"/>
                <w:color w:val="auto"/>
              </w:rPr>
            </w:pPr>
          </w:p>
        </w:tc>
        <w:tc>
          <w:tcPr>
            <w:tcW w:w="2900" w:type="dxa"/>
            <w:vAlign w:val="bottom"/>
            <w:gridSpan w:val="6"/>
            <w:vMerge w:val="restart"/>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620" w:type="dxa"/>
            <w:vAlign w:val="bottom"/>
            <w:gridSpan w:val="6"/>
            <w:vMerge w:val="restart"/>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vMerge w:val="continue"/>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gridSpan w:val="3"/>
          </w:tcPr>
          <w:p>
            <w:pPr>
              <w:jc w:val="right"/>
              <w:ind w:right="22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340" w:type="dxa"/>
            <w:vAlign w:val="bottom"/>
          </w:tcPr>
          <w:p>
            <w:pPr>
              <w:spacing w:after="0"/>
              <w:rPr>
                <w:sz w:val="16"/>
                <w:szCs w:val="16"/>
                <w:color w:val="auto"/>
              </w:rPr>
            </w:pPr>
          </w:p>
        </w:tc>
        <w:tc>
          <w:tcPr>
            <w:tcW w:w="1420" w:type="dxa"/>
            <w:vAlign w:val="bottom"/>
            <w:tcBorders>
              <w:top w:val="single" w:sz="8" w:color="auto"/>
            </w:tcBorders>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data</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2,695</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(0.33)</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94"/>
        </w:trPr>
        <w:tc>
          <w:tcPr>
            <w:tcW w:w="5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(in millions):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1737"/>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28,</w:t>
            </w:r>
          </w:p>
        </w:tc>
      </w:tr>
      <w:tr>
        <w:trPr>
          <w:trHeight w:val="23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r>
      <w:tr>
        <w:trPr>
          <w:trHeight w:val="229"/>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12,480</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tcPr>
          <w:p>
            <w:pPr>
              <w:spacing w:after="0"/>
              <w:rPr>
                <w:sz w:val="22"/>
                <w:szCs w:val="22"/>
                <w:color w:val="auto"/>
              </w:rPr>
            </w:pPr>
          </w:p>
        </w:tc>
      </w:tr>
      <w:tr>
        <w:trPr>
          <w:trHeight w:val="197"/>
        </w:trPr>
        <w:tc>
          <w:tcPr>
            <w:tcW w:w="764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shd w:val="clear" w:color="auto" w:fill="CCEEFF"/>
          </w:tcPr>
          <w:p>
            <w:pPr>
              <w:spacing w:after="0"/>
              <w:rPr>
                <w:sz w:val="18"/>
                <w:szCs w:val="18"/>
                <w:color w:val="auto"/>
              </w:rPr>
            </w:pPr>
          </w:p>
        </w:tc>
      </w:tr>
      <w:tr>
        <w:trPr>
          <w:trHeight w:val="21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00" w:type="dxa"/>
            <w:vAlign w:val="bottom"/>
            <w:tcBorders>
              <w:bottom w:val="single" w:sz="8" w:color="CCEEFF"/>
            </w:tcBorders>
          </w:tcPr>
          <w:p>
            <w:pPr>
              <w:spacing w:after="0"/>
              <w:rPr>
                <w:sz w:val="18"/>
                <w:szCs w:val="18"/>
                <w:color w:val="auto"/>
              </w:rPr>
            </w:pPr>
          </w:p>
        </w:tc>
      </w:tr>
      <w:tr>
        <w:trPr>
          <w:trHeight w:val="223"/>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6"/>
                <w:szCs w:val="16"/>
                <w:color w:val="auto"/>
              </w:rPr>
            </w:pPr>
          </w:p>
        </w:tc>
      </w:tr>
      <w:tr>
        <w:trPr>
          <w:trHeight w:val="238"/>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 from Parent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1,226</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668"/>
        </w:trPr>
        <w:tc>
          <w:tcPr>
            <w:tcW w:w="7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i w:val="1"/>
          <w:iCs w:val="1"/>
          <w:color w:val="auto"/>
        </w:rPr>
        <w:t xml:space="preserv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80" w:type="dxa"/>
            <w:vAlign w:val="bottom"/>
          </w:tcPr>
          <w:p>
            <w:pPr>
              <w:spacing w:after="0"/>
              <w:rPr>
                <w:sz w:val="19"/>
                <w:szCs w:val="19"/>
                <w:color w:val="auto"/>
              </w:rPr>
            </w:pPr>
          </w:p>
        </w:tc>
        <w:tc>
          <w:tcPr>
            <w:tcW w:w="19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8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80" w:type="dxa"/>
            <w:vAlign w:val="bottom"/>
          </w:tcPr>
          <w:p>
            <w:pPr>
              <w:spacing w:after="0"/>
              <w:rPr>
                <w:sz w:val="19"/>
                <w:szCs w:val="19"/>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60" w:type="dxa"/>
            <w:vAlign w:val="bottom"/>
          </w:tcPr>
          <w:p>
            <w:pPr>
              <w:spacing w:after="0"/>
              <w:rPr>
                <w:sz w:val="19"/>
                <w:szCs w:val="19"/>
                <w:color w:val="auto"/>
              </w:rPr>
            </w:pPr>
          </w:p>
        </w:tc>
      </w:tr>
      <w:tr>
        <w:trPr>
          <w:trHeight w:val="191"/>
        </w:trPr>
        <w:tc>
          <w:tcPr>
            <w:tcW w:w="3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r>
      <w:tr>
        <w:trPr>
          <w:trHeight w:val="234"/>
        </w:trPr>
        <w:tc>
          <w:tcPr>
            <w:tcW w:w="3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tcPr>
          <w:p>
            <w:pPr>
              <w:spacing w:after="0"/>
              <w:rPr>
                <w:sz w:val="20"/>
                <w:szCs w:val="20"/>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43%</w:t>
            </w:r>
          </w:p>
        </w:tc>
      </w:tr>
      <w:tr>
        <w:trPr>
          <w:trHeight w:val="198"/>
        </w:trPr>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 intangible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20" w:type="dxa"/>
            <w:vAlign w:val="bottom"/>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0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20" w:type="dxa"/>
            <w:vAlign w:val="bottom"/>
          </w:tcPr>
          <w:p>
            <w:pPr>
              <w:spacing w:after="0"/>
              <w:rPr>
                <w:sz w:val="18"/>
                <w:szCs w:val="18"/>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(Loss) and Margin to Non-GAAP Adjusted Operating Income and Margin</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September 27, 2025</w:t>
            </w:r>
          </w:p>
        </w:tc>
        <w:tc>
          <w:tcPr>
            <w:tcW w:w="80" w:type="dxa"/>
            <w:vAlign w:val="bottom"/>
          </w:tcPr>
          <w:p>
            <w:pPr>
              <w:spacing w:after="0"/>
              <w:rPr>
                <w:sz w:val="19"/>
                <w:szCs w:val="19"/>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00" w:type="dxa"/>
            <w:vAlign w:val="bottom"/>
          </w:tcPr>
          <w:p>
            <w:pPr>
              <w:spacing w:after="0"/>
              <w:rPr>
                <w:sz w:val="19"/>
                <w:szCs w:val="19"/>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20" w:type="dxa"/>
            <w:vAlign w:val="bottom"/>
          </w:tcPr>
          <w:p>
            <w:pPr>
              <w:spacing w:after="0"/>
              <w:rPr>
                <w:sz w:val="19"/>
                <w:szCs w:val="19"/>
                <w:color w:val="auto"/>
              </w:rPr>
            </w:pPr>
          </w:p>
        </w:tc>
      </w:tr>
      <w:tr>
        <w:trPr>
          <w:trHeight w:val="191"/>
        </w:trPr>
        <w:tc>
          <w:tcPr>
            <w:tcW w:w="2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Amount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Amount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Revenue</w:t>
            </w:r>
          </w:p>
        </w:tc>
      </w:tr>
      <w:tr>
        <w:trPr>
          <w:trHeight w:val="178"/>
        </w:trPr>
        <w:tc>
          <w:tcPr>
            <w:tcW w:w="2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Operating Income (Loss) and Operating</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174"/>
        </w:trPr>
        <w:tc>
          <w:tcPr>
            <w:tcW w:w="2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Operating Income and</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5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(Loss)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September 27, 2025</w:t>
            </w:r>
          </w:p>
        </w:tc>
        <w:tc>
          <w:tcPr>
            <w:tcW w:w="80" w:type="dxa"/>
            <w:vAlign w:val="bottom"/>
          </w:tcPr>
          <w:p>
            <w:pPr>
              <w:spacing w:after="0"/>
              <w:rPr>
                <w:sz w:val="19"/>
                <w:szCs w:val="19"/>
                <w:color w:val="auto"/>
              </w:rPr>
            </w:pPr>
          </w:p>
        </w:tc>
        <w:tc>
          <w:tcPr>
            <w:tcW w:w="166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9"/>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00" w:type="dxa"/>
            <w:vAlign w:val="bottom"/>
          </w:tcPr>
          <w:p>
            <w:pPr>
              <w:spacing w:after="0"/>
              <w:rPr>
                <w:sz w:val="19"/>
                <w:szCs w:val="19"/>
                <w:color w:val="auto"/>
              </w:rPr>
            </w:pPr>
          </w:p>
        </w:tc>
        <w:tc>
          <w:tcPr>
            <w:tcW w:w="16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9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right"/>
              <w:ind w:right="116"/>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0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Pr>
          <w:p>
            <w:pPr>
              <w:spacing w:after="0"/>
              <w:rPr>
                <w:sz w:val="20"/>
                <w:szCs w:val="20"/>
                <w:color w:val="auto"/>
              </w:rPr>
            </w:pPr>
          </w:p>
        </w:tc>
        <w:tc>
          <w:tcPr>
            <w:tcW w:w="10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4"/>
              </w:rPr>
              <w:t>Amount</w:t>
            </w:r>
          </w:p>
        </w:tc>
        <w:tc>
          <w:tcPr>
            <w:tcW w:w="12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Revenue</w:t>
            </w:r>
          </w:p>
        </w:tc>
      </w:tr>
      <w:tr>
        <w:trPr>
          <w:trHeight w:val="209"/>
        </w:trPr>
        <w:tc>
          <w:tcPr>
            <w:tcW w:w="3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(2,715)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(18)</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520" w:type="dxa"/>
            <w:vAlign w:val="bottom"/>
          </w:tcPr>
          <w:p>
            <w:pPr>
              <w:spacing w:after="0"/>
              <w:rPr>
                <w:sz w:val="20"/>
                <w:szCs w:val="20"/>
                <w:color w:val="auto"/>
              </w:rPr>
            </w:pPr>
          </w:p>
        </w:tc>
        <w:tc>
          <w:tcPr>
            <w:tcW w:w="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3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1021"/>
        </w:trPr>
        <w:tc>
          <w:tcPr>
            <w:tcW w:w="5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Supplemental Information - Average System Price (unaudited) </w:t>
            </w:r>
            <w:r>
              <w:rPr>
                <w:rFonts w:ascii="Times New Roman" w:cs="Times New Roman" w:eastAsia="Times New Roman" w:hAnsi="Times New Roman"/>
                <w:sz w:val="29"/>
                <w:szCs w:val="29"/>
                <w:color w:val="auto"/>
                <w:vertAlign w:val="superscript"/>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200" w:type="dxa"/>
            <w:vAlign w:val="bottom"/>
          </w:tcPr>
          <w:p>
            <w:pPr>
              <w:spacing w:after="0"/>
              <w:rPr>
                <w:sz w:val="24"/>
                <w:szCs w:val="24"/>
                <w:color w:val="auto"/>
              </w:rPr>
            </w:pP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40" w:type="dxa"/>
            <w:vAlign w:val="bottom"/>
          </w:tcPr>
          <w:p>
            <w:pPr>
              <w:spacing w:after="0"/>
              <w:rPr>
                <w:sz w:val="24"/>
                <w:szCs w:val="24"/>
                <w:color w:val="auto"/>
              </w:rPr>
            </w:pPr>
          </w:p>
        </w:tc>
        <w:tc>
          <w:tcPr>
            <w:tcW w:w="10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2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Q3 2025</w:t>
            </w:r>
          </w:p>
        </w:tc>
      </w:tr>
      <w:tr>
        <w:trPr>
          <w:trHeight w:val="210"/>
        </w:trPr>
        <w:tc>
          <w:tcPr>
            <w:tcW w:w="512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600" w:type="dxa"/>
            <w:vAlign w:val="bottom"/>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6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0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101820"/>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2025-10-23T06:17:40Z</dcterms:created>
  <dcterms:modified xsi:type="dcterms:W3CDTF">2025-10-23T06:17:40Z</dcterms:modified>
</cp:coreProperties>
</file>