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Yeary Frank D</w:t>
              </w:r>
            </w:hyperlink>
          </w:p>
        </w:tc>
        <w:tc>
          <w:tcPr>
            <w:tcW w:w="11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60"/>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9,523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33% of the RSUs vest and convert into common stock on the first anniversary of the grant</w:t>
      </w:r>
    </w:p>
    <w:p>
      <w:pPr>
        <w:spacing w:after="0" w:line="8" w:lineRule="exact"/>
        <w:rPr>
          <w:rFonts w:ascii="Times New Roman" w:cs="Times New Roman" w:eastAsia="Times New Roman" w:hAnsi="Times New Roman"/>
          <w:sz w:val="15"/>
          <w:szCs w:val="15"/>
          <w:color w:val="008000"/>
        </w:rPr>
      </w:pPr>
    </w:p>
    <w:p>
      <w:pPr>
        <w:ind w:left="40" w:right="6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date (which grant date is October 26, 2022), (b) 33% of the RSUs vest and convert into common stock on the second anniversary of the grant date and (c) 34% of the RSUs vest and convert into common stock on the third anniversary of the grant date. If a vesting date falls on a non-business date, the next business date shall apply.</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29,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Frank D. Yeary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58902"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2022-10-26T20:14:44Z</dcterms:created>
  <dcterms:modified xsi:type="dcterms:W3CDTF">2022-10-26T20:14:44Z</dcterms:modified>
</cp:coreProperties>
</file>