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001-41541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80" w:type="dxa"/>
            <w:vAlign w:val="bottom"/>
          </w:tcPr>
          <w:p>
            <w:pPr>
              <w:spacing w:after="0"/>
              <w:rPr>
                <w:sz w:val="24"/>
                <w:szCs w:val="24"/>
                <w:color w:val="auto"/>
              </w:rPr>
            </w:pPr>
          </w:p>
        </w:tc>
        <w:tc>
          <w:tcPr>
            <w:tcW w:w="442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700" w:type="dxa"/>
            <w:vAlign w:val="bottom"/>
          </w:tcPr>
          <w:p>
            <w:pPr>
              <w:spacing w:after="0"/>
              <w:rPr>
                <w:sz w:val="24"/>
                <w:szCs w:val="24"/>
                <w:color w:val="auto"/>
              </w:rPr>
            </w:pPr>
          </w:p>
        </w:tc>
      </w:tr>
      <w:tr>
        <w:trPr>
          <w:trHeight w:val="216"/>
        </w:trPr>
        <w:tc>
          <w:tcPr>
            <w:tcW w:w="67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Har Hotzvim, 1 Shlomo Momo HaLevi Street</w:t>
            </w:r>
          </w:p>
        </w:tc>
        <w:tc>
          <w:tcPr>
            <w:tcW w:w="27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42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9777015</w:t>
            </w:r>
          </w:p>
        </w:tc>
      </w:tr>
      <w:tr>
        <w:trPr>
          <w:trHeight w:val="238"/>
        </w:trPr>
        <w:tc>
          <w:tcPr>
            <w:tcW w:w="67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940" w:type="dxa"/>
            <w:vAlign w:val="bottom"/>
            <w:tcBorders>
              <w:top w:val="single" w:sz="8" w:color="auto"/>
              <w:left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January 22, 2026 Mobileye Global Inc. issued a press release announcing its financial results for the quarter and year ended December 27, 2025.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7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January 22, 2026</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8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Moran Shemesh Rojansky</w:t>
            </w: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Fourth-Quarter and Full-Year 2025 Results and Provides Business Overview</w:t>
      </w:r>
    </w:p>
    <w:p>
      <w:pPr>
        <w:spacing w:after="0" w:line="229" w:lineRule="exact"/>
        <w:rPr>
          <w:sz w:val="20"/>
          <w:szCs w:val="20"/>
          <w:color w:val="auto"/>
        </w:rPr>
      </w:pPr>
    </w:p>
    <w:p>
      <w:pPr>
        <w:jc w:val="both"/>
        <w:ind w:left="660" w:hanging="328"/>
        <w:spacing w:after="0" w:line="213" w:lineRule="auto"/>
        <w:tabs>
          <w:tab w:leader="none" w:pos="6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Mobileye enters 2026 with strong strategic and commercial momentum, highlighted by a new high-volume Surround ADAS program win with a major U.S. OEM and an expanded roadmap for robotaxi services with Volkswagen, reinforcing growing demand for the company’s advanced product portfolio.</w:t>
      </w:r>
    </w:p>
    <w:p>
      <w:pPr>
        <w:spacing w:after="0" w:line="200" w:lineRule="exact"/>
        <w:rPr>
          <w:rFonts w:ascii="Times New Roman" w:cs="Times New Roman" w:eastAsia="Times New Roman" w:hAnsi="Times New Roman"/>
          <w:sz w:val="29"/>
          <w:szCs w:val="29"/>
          <w:color w:val="auto"/>
          <w:vertAlign w:val="superscript"/>
        </w:rPr>
      </w:pPr>
    </w:p>
    <w:p>
      <w:pPr>
        <w:ind w:left="660" w:hanging="328"/>
        <w:spacing w:after="0" w:line="199" w:lineRule="auto"/>
        <w:tabs>
          <w:tab w:leader="none" w:pos="6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Full year 2025 revenue increased 15% year-over-year to $1,894 million. A decrease of 9% year-over-year in the fourth quarter, combined with better-than-expected automotive production led to tighter than normal year-end inventory at customers.</w:t>
      </w:r>
    </w:p>
    <w:p>
      <w:pPr>
        <w:spacing w:after="0" w:line="199" w:lineRule="exact"/>
        <w:rPr>
          <w:rFonts w:ascii="Times New Roman" w:cs="Times New Roman" w:eastAsia="Times New Roman" w:hAnsi="Times New Roman"/>
          <w:sz w:val="29"/>
          <w:szCs w:val="29"/>
          <w:color w:val="auto"/>
          <w:vertAlign w:val="superscript"/>
        </w:rPr>
      </w:pPr>
    </w:p>
    <w:p>
      <w:pPr>
        <w:jc w:val="both"/>
        <w:ind w:left="660" w:hanging="328"/>
        <w:spacing w:after="0" w:line="213" w:lineRule="auto"/>
        <w:tabs>
          <w:tab w:leader="none" w:pos="6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Generated $602 million of net cash from operating activities in 2025, up 51% from 2024, underscoring the strength and resilience of Mobileye’s operating model. The company ended the year with $1.8 billion in cash and cash equivalents, excluding the expected $612 million cash outlay for the Mentee Robotics acquisition at closing.</w:t>
      </w:r>
    </w:p>
    <w:p>
      <w:pPr>
        <w:spacing w:after="0" w:line="200" w:lineRule="exact"/>
        <w:rPr>
          <w:rFonts w:ascii="Times New Roman" w:cs="Times New Roman" w:eastAsia="Times New Roman" w:hAnsi="Times New Roman"/>
          <w:sz w:val="29"/>
          <w:szCs w:val="29"/>
          <w:color w:val="auto"/>
          <w:vertAlign w:val="superscript"/>
        </w:rPr>
      </w:pPr>
    </w:p>
    <w:p>
      <w:pPr>
        <w:ind w:left="660" w:hanging="328"/>
        <w:spacing w:after="0" w:line="199" w:lineRule="auto"/>
        <w:tabs>
          <w:tab w:leader="none" w:pos="6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Full-year 2026 financial guidance implies flat to 5% year-over-year revenue growth, including approximately 19% year-over-year revenue growth expected in the first quarter of 2026.</w:t>
      </w:r>
    </w:p>
    <w:p>
      <w:pPr>
        <w:spacing w:after="0" w:line="100" w:lineRule="exact"/>
        <w:rPr>
          <w:rFonts w:ascii="Times New Roman" w:cs="Times New Roman" w:eastAsia="Times New Roman" w:hAnsi="Times New Roman"/>
          <w:sz w:val="29"/>
          <w:szCs w:val="29"/>
          <w:color w:val="auto"/>
          <w:vertAlign w:val="superscript"/>
        </w:rPr>
      </w:pPr>
    </w:p>
    <w:p>
      <w:pPr>
        <w:ind w:left="660" w:hanging="328"/>
        <w:spacing w:after="0"/>
        <w:tabs>
          <w:tab w:leader="none" w:pos="6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Diluted EPS (GAAP) was $(0.16) and Adjusted Diluted EPS (Non-GAAP) was $0.06 in the fourth quarter of 2025.</w:t>
      </w:r>
    </w:p>
    <w:p>
      <w:pPr>
        <w:spacing w:after="0" w:line="197" w:lineRule="exact"/>
        <w:rPr>
          <w:rFonts w:ascii="Times New Roman" w:cs="Times New Roman" w:eastAsia="Times New Roman" w:hAnsi="Times New Roman"/>
          <w:sz w:val="29"/>
          <w:szCs w:val="29"/>
          <w:color w:val="auto"/>
          <w:vertAlign w:val="superscript"/>
        </w:rPr>
      </w:pPr>
    </w:p>
    <w:p>
      <w:pPr>
        <w:ind w:left="660" w:hanging="328"/>
        <w:spacing w:after="0" w:line="199" w:lineRule="auto"/>
        <w:tabs>
          <w:tab w:leader="none" w:pos="6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Agreed to acquire Mentee Robotics, a transformative step that expands Mobileye’s leadership in Physical AI across autonomous vehicles and humanoid robotics.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JERUSALEM – Jan. 22, 2026 – Mobileye Global Inc. (Nasdaq: MBLY) (“Mobileye”) today released its financial results for the three months and for the year ended December 27,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proud of the Mobileye team for delivering 2025 results that were well above our initial expectations. We enter 2026 with strong momentum and a cash-generative business that enables us to fund continued investment in advanced product execution across our portfolio,” said Mobileye President and CEO Prof. Amnon Shashua. “Our ambition is to be a comprehensive leader in Physical AI, encompassing both autonomous vehicles and humanoid robotics. Our automotive product roadmap is positioned to capitalize on rising demand for cost-efficient, single-ECU hands-free systems for high-volume vehicles as well as self-driving systems for commercial robotaxi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2025 Business Highlights</w:t>
      </w:r>
    </w:p>
    <w:p>
      <w:pPr>
        <w:spacing w:after="0" w:line="229" w:lineRule="exact"/>
        <w:rPr>
          <w:sz w:val="20"/>
          <w:szCs w:val="20"/>
          <w:color w:val="auto"/>
        </w:rPr>
      </w:pPr>
    </w:p>
    <w:p>
      <w:pPr>
        <w:jc w:val="both"/>
        <w:ind w:left="660" w:hanging="328"/>
        <w:spacing w:after="0" w:line="232"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Mobileye’s 8-year future expected automotive revenue pipeline reached $24.5 billion at year-end 2025, a 42% increase since the prior update as of year-end 2022. Growth reflects broad-based commercial momentum, including follow-on base ADAS wins with all top-10 customers, the addition of two new OEMs to the ADAS customer base, significant expansion of Mobileye’s advanced portfolio within VW Group brands, rising interest in the new Surround ADAS category, and strengthening global demand for autonomous robotaxi services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29"/>
          <w:szCs w:val="29"/>
          <w:color w:val="auto"/>
          <w:vertAlign w:val="superscript"/>
        </w:rPr>
      </w:pPr>
    </w:p>
    <w:p>
      <w:pPr>
        <w:jc w:val="both"/>
        <w:ind w:left="660" w:hanging="328"/>
        <w:spacing w:after="0" w:line="221"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were recently awarded a high-volume Surround ADAS program with a major U.S. OEM, expected to deploy the EyeQ6 High processor and Mobileye’s software stack across a wide range of price and model segments within the OEM’s upcoming software-defined vehicle architecture. Future expected volume from Mobileye’s first two Surround ADAS customers now totals 19 million units, with additional OEM engagements progressing well and expected to convert in 2026.</w:t>
      </w:r>
    </w:p>
    <w:p>
      <w:pPr>
        <w:spacing w:after="0" w:line="201" w:lineRule="exact"/>
        <w:rPr>
          <w:rFonts w:ascii="Times New Roman" w:cs="Times New Roman" w:eastAsia="Times New Roman" w:hAnsi="Times New Roman"/>
          <w:sz w:val="29"/>
          <w:szCs w:val="29"/>
          <w:color w:val="auto"/>
          <w:vertAlign w:val="superscript"/>
        </w:rPr>
      </w:pPr>
    </w:p>
    <w:p>
      <w:pPr>
        <w:jc w:val="both"/>
        <w:ind w:left="660" w:hanging="328"/>
        <w:spacing w:after="0" w:line="213"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Volkswagen Autonomous Mobility outlined an expansion of its robotaxi roadmap at CES 2026, targeting commercial robotaxi services across 6 cities by the end of 2027 and a fleet of more than 100,000 self-driving vehicles by the end of 2033. This expansion is supported by Mobileye’s continued advancement toward safety driver removal and commercialization beginning in 2026.</w:t>
      </w:r>
    </w:p>
    <w:p>
      <w:pPr>
        <w:spacing w:after="0" w:line="200" w:lineRule="exact"/>
        <w:rPr>
          <w:rFonts w:ascii="Times New Roman" w:cs="Times New Roman" w:eastAsia="Times New Roman" w:hAnsi="Times New Roman"/>
          <w:sz w:val="29"/>
          <w:szCs w:val="29"/>
          <w:color w:val="auto"/>
          <w:vertAlign w:val="superscript"/>
        </w:rPr>
      </w:pPr>
    </w:p>
    <w:p>
      <w:pPr>
        <w:jc w:val="both"/>
        <w:ind w:left="660" w:hanging="328"/>
        <w:spacing w:after="0" w:line="213" w:lineRule="auto"/>
        <w:tabs>
          <w:tab w:leader="none" w:pos="66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Mobileye agreed to acquire Mentee Robotics in a transaction expected to close in the first quarter of 2026. The acquisition extends Mobileye’s market reach beyond automotive autonomy into the complementary field of humanoid robotics, establishing a unified Physical AI portfolio built on scalable engineering, safety-by-design, and deep AI model development capabilities.</w:t>
      </w:r>
    </w:p>
    <w:p>
      <w:pPr>
        <w:spacing w:after="0" w:line="241" w:lineRule="exact"/>
        <w:rPr>
          <w:sz w:val="20"/>
          <w:szCs w:val="20"/>
          <w:color w:val="auto"/>
        </w:rPr>
      </w:pPr>
    </w:p>
    <w:p>
      <w:pPr>
        <w:jc w:val="both"/>
        <w:ind w:firstLine="8"/>
        <w:spacing w:after="0" w:line="210"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Mobileye’s revenue for the periods presented represent estimated volumes based on projections of future production volumes that were provided by our current and prospective OEMs at the time of sourcing the design wins for the models related to those design wins. See the disclaimer under the heading “Forward-Looking Statements” below for important limitations applicable to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Summary and Key Highlights (Unaudited)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34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440" w:type="dxa"/>
            <w:vAlign w:val="bottom"/>
            <w:gridSpan w:val="3"/>
            <w:vMerge w:val="restart"/>
          </w:tcPr>
          <w:p>
            <w:pPr>
              <w:spacing w:after="0"/>
              <w:rPr>
                <w:sz w:val="24"/>
                <w:szCs w:val="24"/>
                <w:color w:val="auto"/>
              </w:rPr>
            </w:pP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Y/Y</w:t>
            </w:r>
          </w:p>
        </w:tc>
        <w:tc>
          <w:tcPr>
            <w:tcW w:w="3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2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CCEEFF"/>
            </w:tcBorders>
            <w:gridSpan w:val="3"/>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8"/>
                <w:szCs w:val="18"/>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(389)bps</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tcPr>
          <w:p>
            <w:pPr>
              <w:spacing w:after="0"/>
              <w:rPr>
                <w:sz w:val="20"/>
                <w:szCs w:val="20"/>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07"/>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3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Y/Y</w:t>
            </w:r>
          </w:p>
        </w:tc>
        <w:tc>
          <w:tcPr>
            <w:tcW w:w="3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(176)bps</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(1,142)bps</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hanging="328"/>
        <w:spacing w:after="0" w:line="213" w:lineRule="auto"/>
        <w:tabs>
          <w:tab w:leader="none" w:pos="6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Revenue of $446 million decreased 9% as compared to the fourth quarter of 2024, primarily due to an 11% reduction in EyeQ SoC volumes. This was primarily related to a balancing of supply and demand that resulted in tighter-than-normal inventory levels at our Tier 1 customers exiting 2025.</w:t>
      </w:r>
    </w:p>
    <w:p>
      <w:pPr>
        <w:spacing w:after="0" w:line="200" w:lineRule="exact"/>
        <w:rPr>
          <w:rFonts w:ascii="Times New Roman" w:cs="Times New Roman" w:eastAsia="Times New Roman" w:hAnsi="Times New Roman"/>
          <w:sz w:val="29"/>
          <w:szCs w:val="29"/>
          <w:color w:val="auto"/>
          <w:vertAlign w:val="superscript"/>
        </w:rPr>
      </w:pPr>
    </w:p>
    <w:p>
      <w:pPr>
        <w:ind w:left="660" w:hanging="328"/>
        <w:spacing w:after="0" w:line="199" w:lineRule="auto"/>
        <w:tabs>
          <w:tab w:leader="none" w:pos="6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Average System Price was $50.8 in the fourth quarter of 2025, compared to $50.0 in the prior year period primarily due to a higher percentage of SuperVision-related revenue as compared to the fourth quarter of 2024.</w:t>
      </w:r>
    </w:p>
    <w:p>
      <w:pPr>
        <w:spacing w:after="0" w:line="199" w:lineRule="exact"/>
        <w:rPr>
          <w:rFonts w:ascii="Times New Roman" w:cs="Times New Roman" w:eastAsia="Times New Roman" w:hAnsi="Times New Roman"/>
          <w:sz w:val="29"/>
          <w:szCs w:val="29"/>
          <w:color w:val="auto"/>
          <w:vertAlign w:val="superscript"/>
        </w:rPr>
      </w:pPr>
    </w:p>
    <w:p>
      <w:pPr>
        <w:jc w:val="both"/>
        <w:ind w:left="660" w:hanging="328"/>
        <w:spacing w:after="0" w:line="213" w:lineRule="auto"/>
        <w:tabs>
          <w:tab w:leader="none" w:pos="6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Gross Margin decreased by nearly 4 percentage points in the fourth quarter of 2025 as compared to the prior year period. The decrease was due to the impact of the cost attributable to amortization of intangible assets which was similar to the prior year but on a lower revenue base, in addition to a higher EyeQ-related cost per unit given the different mix of EyeQ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28" w:hanging="328"/>
        <w:spacing w:after="0" w:line="199" w:lineRule="auto"/>
        <w:tabs>
          <w:tab w:leader="none" w:pos="328"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Gross Margin (a non-GAAP measure) was 67% in the fourth quarter of 2025 compared to 69% in the prior year period. This was mainly due to a higher EyeQ-related cost per unit given the different mix of EyeQ products sold.</w:t>
      </w:r>
    </w:p>
    <w:p>
      <w:pPr>
        <w:spacing w:after="0" w:line="199" w:lineRule="exact"/>
        <w:rPr>
          <w:rFonts w:ascii="Times New Roman" w:cs="Times New Roman" w:eastAsia="Times New Roman" w:hAnsi="Times New Roman"/>
          <w:sz w:val="29"/>
          <w:szCs w:val="29"/>
          <w:color w:val="auto"/>
          <w:vertAlign w:val="superscript"/>
        </w:rPr>
      </w:pPr>
    </w:p>
    <w:p>
      <w:pPr>
        <w:ind w:left="328" w:right="20" w:hanging="328"/>
        <w:spacing w:after="0" w:line="199" w:lineRule="auto"/>
        <w:tabs>
          <w:tab w:leader="none" w:pos="328"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Operating Margin of (31%) decreased by 14 percentage points in the fourth quarter of 2025 as compared to the prior year period. In addition to the gross margin decrease described above, this was due to higher operating expenses compared to the prior year period on a lower revenue base.</w:t>
      </w:r>
    </w:p>
    <w:p>
      <w:pPr>
        <w:spacing w:after="0" w:line="199" w:lineRule="exact"/>
        <w:rPr>
          <w:rFonts w:ascii="Times New Roman" w:cs="Times New Roman" w:eastAsia="Times New Roman" w:hAnsi="Times New Roman"/>
          <w:sz w:val="29"/>
          <w:szCs w:val="29"/>
          <w:color w:val="auto"/>
          <w:vertAlign w:val="superscript"/>
        </w:rPr>
      </w:pPr>
    </w:p>
    <w:p>
      <w:pPr>
        <w:jc w:val="both"/>
        <w:ind w:left="328" w:hanging="328"/>
        <w:spacing w:after="0" w:line="213" w:lineRule="auto"/>
        <w:tabs>
          <w:tab w:leader="none" w:pos="328"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Operating Margin (a non-GAAP measure) of 9% decreased by 11 percentage points in the fourth quarter of 2025 as compared to the prior year period. In addition to the adjusted gross margin decrease described above, this was due to higher operating expenses compared to the prior year period on a lower revenue base.</w:t>
      </w:r>
    </w:p>
    <w:p>
      <w:pPr>
        <w:spacing w:after="0" w:line="200" w:lineRule="exact"/>
        <w:rPr>
          <w:rFonts w:ascii="Times New Roman" w:cs="Times New Roman" w:eastAsia="Times New Roman" w:hAnsi="Times New Roman"/>
          <w:sz w:val="29"/>
          <w:szCs w:val="29"/>
          <w:color w:val="auto"/>
          <w:vertAlign w:val="superscript"/>
        </w:rPr>
      </w:pPr>
    </w:p>
    <w:p>
      <w:pPr>
        <w:ind w:left="328" w:hanging="328"/>
        <w:spacing w:after="0" w:line="199" w:lineRule="auto"/>
        <w:tabs>
          <w:tab w:leader="none" w:pos="328"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Operating cash flow for the year ended December 27, 2025 was $602 million. Cash used in purchases of property and equipment was $79 million for that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275590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2026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reflects Mobileye’s expectations for the year ending December 26, 2026.</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Note that our full-year 2026 revenue and adjusted operating income guidance assumes consolidation of Mentee Robotics into Mobileye’s results based on expected closing during the first quarter of 2026. The inclusion resulted in no impact to revenue and an expected impact to adjusted operating expenses representing a low-single-digit percentage of our total expected adjusted operating expenses in 2026. Until closing, non-cash impacts to Share-Based Compensation and Amortization of Intangible Assets related to the agreement to acquire Mentee Robotics are not able to be estimated with precision and therefore we are providing guidance only on a non-GAAP basis at this time. We will initiate full-year guidance for GAAP Operating Income (Loss) at the time of the first quarter of 2026 earnings call.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Operating Income (Loss) (a non-GAAP metric) is an appropriate metric as it excludes significant non-cash expenses including: 1) Amortization charges related to intangible assets;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Full Year 2026</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High</w:t>
            </w:r>
          </w:p>
        </w:tc>
        <w:tc>
          <w:tcPr>
            <w:tcW w:w="100" w:type="dxa"/>
            <w:vAlign w:val="bottom"/>
            <w:tcBorders>
              <w:bottom w:val="single" w:sz="8" w:color="CCEEFF"/>
            </w:tcBorders>
          </w:tcPr>
          <w:p>
            <w:pPr>
              <w:spacing w:after="0"/>
              <w:rPr>
                <w:sz w:val="19"/>
                <w:szCs w:val="19"/>
                <w:color w:val="auto"/>
              </w:rPr>
            </w:pPr>
          </w:p>
        </w:tc>
      </w:tr>
      <w:tr>
        <w:trPr>
          <w:trHeight w:val="22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1,900</w:t>
            </w:r>
          </w:p>
        </w:tc>
        <w:tc>
          <w:tcPr>
            <w:tcW w:w="3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100" w:type="dxa"/>
            <w:vAlign w:val="bottom"/>
            <w:shd w:val="clear" w:color="auto" w:fill="CCEEFF"/>
          </w:tcPr>
          <w:p>
            <w:pPr>
              <w:spacing w:after="0"/>
              <w:rPr>
                <w:sz w:val="19"/>
                <w:szCs w:val="19"/>
                <w:color w:val="auto"/>
              </w:rPr>
            </w:pPr>
          </w:p>
        </w:tc>
      </w:tr>
      <w:tr>
        <w:trPr>
          <w:trHeight w:val="232"/>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40" w:type="dxa"/>
            <w:vAlign w:val="bottom"/>
          </w:tcPr>
          <w:p>
            <w:pPr>
              <w:spacing w:after="0"/>
              <w:rPr>
                <w:sz w:val="20"/>
                <w:szCs w:val="20"/>
                <w:color w:val="auto"/>
              </w:rPr>
            </w:pP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3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20"/>
                <w:szCs w:val="20"/>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Mobileye will host a conference call today, January 22, 2026, at 8:00am ET (3:00pm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(Loss) and Margin, Adjusted Net Income (Loss)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income (loss) presented in accordance with GAAP, adjusted to exclude amortization of acquisition related intangibles, share-based compensation expenses and impairment of goodwill. Operating Margin is calculated as operating income (loss) divided by total revenue, and Adjusted Operating Margin is calculated as Adjusted Operating Income (Loss) divided by total revenue. We define Adjusted Net Income (Loss) as net income (loss) presented in accordance with GAAP, adjusted to exclude amortization of acquisition related intangibles, share-based compensation expense,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(Loss)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independently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non-GAAP financial measures to the most directly comparable financial measures presented in accordance with GAAP. Investors are encouraged to review the related GAAP financial measures and the reconciliation of these non-GAAP financial measures to their most directly comparable GAAP financial measures. Reconciliation of Adjusted Operating Income guidance to the most directly comparable GAAP measure is not available without unreasonable efforts on a forward-looking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our autonomous driving and driver-assistance technologies, harnessing world-renowned expertise in artificial intelligence, computer vision, mapping, and integrated software and hardware. Since our founding in 1999, Mobileye has enabled the wide adoption of advanced driver-assistance systems that bolster driving safety, while pioneering such groundbreaking technologies as REM™ crowdsourced mapping, True Redundancy™ sensing, and Responsibility Sensitive Safety™ (RSS). These technologies drive the ADAS and AV fields towards the future of mobility – enabling self-driving vehicles and mobility solutions at scale, and powering industry-leading advanced driver-assistance systems. Through 2025, more than 230 million vehicles worldwide have been built with Mobileye’s EyeQ technology inside. Since 2022, Mobileye has been listed independently from Intel (Nasdaq: INTC), which retains majority ownership. For more information, visit https://www.mobileye.com.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Mobileye’s business outlook, guidance and other statements in this release that are not statements of historical fact, including statements about our beliefs and expectations, are forward-looking statements and should be evaluated as such. Forward-looking statements include expectations and information regarding the development of robotics and AI capabilities, the impact of robotics and AI development on Mobileye’s business, the acquisition of Mentee Robotics, the closing of such transaction, and the impact of such acquisition on Mobileye’s business, program goals and expansion of our partnership with the VW Group, possible or assumed future results of operations, including Mobileye’s 2026 full-year guidance, projected future revenue and descriptions of our future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Important factors that may materially affect such forward-looking statements and projections include the following: the robotics technology and industry may not develop as expected; further deterioration of macroeconomic conditions due to ongoing global economic and political uncertainty;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and tax- and accounting-related expectations.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initially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Detailed information regarding these and other factors that could affect Mobileye’s business and results is included in Mobileye’s SEC filings, including the company’s Annual Report on Form 10-K for the year ended December 28, 2024, particularly in the section entitled “Item 1A. Risk Factors”. Copies of these filings may be obtained by visiting our Investor Relations website at ir.mobileye.com or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w:t>
            </w: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and per share data</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December 28, 2024</w:t>
            </w:r>
          </w:p>
        </w:tc>
        <w:tc>
          <w:tcPr>
            <w:tcW w:w="300" w:type="dxa"/>
            <w:vAlign w:val="bottom"/>
          </w:tcPr>
          <w:p>
            <w:pPr>
              <w:spacing w:after="0"/>
              <w:rPr>
                <w:sz w:val="19"/>
                <w:szCs w:val="19"/>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December 28, 2024</w:t>
            </w:r>
          </w:p>
        </w:tc>
        <w:tc>
          <w:tcPr>
            <w:tcW w:w="100" w:type="dxa"/>
            <w:vAlign w:val="bottom"/>
          </w:tcPr>
          <w:p>
            <w:pPr>
              <w:spacing w:after="0"/>
              <w:rPr>
                <w:sz w:val="19"/>
                <w:szCs w:val="19"/>
                <w:color w:val="auto"/>
              </w:rPr>
            </w:pPr>
          </w:p>
        </w:tc>
      </w:tr>
      <w:tr>
        <w:trPr>
          <w:trHeight w:val="209"/>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913</w:t>
            </w: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4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281</w:t>
            </w:r>
          </w:p>
        </w:tc>
        <w:tc>
          <w:tcPr>
            <w:tcW w:w="5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2,695</w:t>
            </w:r>
          </w:p>
        </w:tc>
      </w:tr>
      <w:tr>
        <w:trPr>
          <w:trHeight w:val="209"/>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3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100" w:type="dxa"/>
            <w:vAlign w:val="bottom"/>
            <w:tcBorders>
              <w:bottom w:val="single" w:sz="8" w:color="CCEEFF"/>
            </w:tcBorders>
          </w:tcPr>
          <w:p>
            <w:pPr>
              <w:spacing w:after="0"/>
              <w:rPr>
                <w:sz w:val="18"/>
                <w:szCs w:val="18"/>
                <w:color w:val="auto"/>
              </w:rPr>
            </w:pPr>
          </w:p>
        </w:tc>
      </w:tr>
      <w:tr>
        <w:trPr>
          <w:trHeight w:val="209"/>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8"/>
                <w:szCs w:val="18"/>
                <w:color w:val="auto"/>
              </w:rPr>
            </w:pPr>
          </w:p>
        </w:tc>
      </w:tr>
      <w:tr>
        <w:trPr>
          <w:trHeight w:val="209"/>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8"/>
                <w:szCs w:val="18"/>
                <w:color w:val="auto"/>
              </w:rPr>
            </w:pPr>
          </w:p>
        </w:tc>
      </w:tr>
      <w:tr>
        <w:trPr>
          <w:trHeight w:val="209"/>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(loss) per attributed to Class A and Class B</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(0.16)</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(0.09)</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(0.48)</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194"/>
        </w:trPr>
        <w:tc>
          <w:tcPr>
            <w:tcW w:w="4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computation of earnings (loss) per share attributed to</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and Class B stockholders (in millions):</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811</w:t>
            </w:r>
          </w:p>
        </w:tc>
        <w:tc>
          <w:tcPr>
            <w:tcW w:w="5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811</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809</w:t>
            </w:r>
          </w:p>
        </w:tc>
      </w:tr>
      <w:tr>
        <w:trPr>
          <w:trHeight w:val="432"/>
        </w:trPr>
        <w:tc>
          <w:tcPr>
            <w:tcW w:w="4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7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28, 2024</w:t>
            </w:r>
          </w:p>
        </w:tc>
      </w:tr>
      <w:tr>
        <w:trPr>
          <w:trHeight w:val="209"/>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1,836</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7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r>
      <w:tr>
        <w:trPr>
          <w:trHeight w:val="23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7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tcPr>
          <w:p>
            <w:pPr>
              <w:spacing w:after="0"/>
              <w:rPr>
                <w:sz w:val="22"/>
                <w:szCs w:val="22"/>
                <w:color w:val="auto"/>
              </w:rPr>
            </w:pPr>
          </w:p>
        </w:tc>
      </w:tr>
      <w:tr>
        <w:trPr>
          <w:trHeight w:val="197"/>
        </w:trPr>
        <w:tc>
          <w:tcPr>
            <w:tcW w:w="7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7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bottom w:val="single" w:sz="8" w:color="CCEEFF"/>
            </w:tcBorders>
          </w:tcPr>
          <w:p>
            <w:pPr>
              <w:spacing w:after="0"/>
              <w:rPr>
                <w:sz w:val="18"/>
                <w:szCs w:val="18"/>
                <w:color w:val="auto"/>
              </w:rPr>
            </w:pPr>
          </w:p>
        </w:tc>
      </w:tr>
      <w:tr>
        <w:trPr>
          <w:trHeight w:val="20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shd w:val="clear" w:color="auto" w:fill="CCEEFF"/>
          </w:tcPr>
          <w:p>
            <w:pPr>
              <w:spacing w:after="0"/>
              <w:rPr>
                <w:sz w:val="18"/>
                <w:szCs w:val="18"/>
                <w:color w:val="auto"/>
              </w:rPr>
            </w:pPr>
          </w:p>
        </w:tc>
      </w:tr>
      <w:tr>
        <w:trPr>
          <w:trHeight w:val="210"/>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00" w:type="dxa"/>
            <w:vAlign w:val="bottom"/>
            <w:tcBorders>
              <w:bottom w:val="single" w:sz="8" w:color="CCEEFF"/>
            </w:tcBorders>
          </w:tcPr>
          <w:p>
            <w:pPr>
              <w:spacing w:after="0"/>
              <w:rPr>
                <w:sz w:val="18"/>
                <w:szCs w:val="18"/>
                <w:color w:val="auto"/>
              </w:rPr>
            </w:pPr>
          </w:p>
        </w:tc>
      </w:tr>
      <w:tr>
        <w:trPr>
          <w:trHeight w:val="223"/>
        </w:trPr>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December 28, 2024</w:t>
            </w:r>
          </w:p>
        </w:tc>
        <w:tc>
          <w:tcPr>
            <w:tcW w:w="100" w:type="dxa"/>
            <w:vAlign w:val="bottom"/>
            <w:gridSpan w:val="2"/>
          </w:tcPr>
          <w:p>
            <w:pPr>
              <w:spacing w:after="0"/>
              <w:rPr>
                <w:sz w:val="19"/>
                <w:szCs w:val="19"/>
                <w:color w:val="auto"/>
              </w:rPr>
            </w:pPr>
          </w:p>
        </w:tc>
      </w:tr>
      <w:tr>
        <w:trPr>
          <w:trHeight w:val="209"/>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(392)</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(3,090)</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56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6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5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(Gains) losses on equity and debt investments, net</w:t>
            </w:r>
          </w:p>
        </w:tc>
        <w:tc>
          <w:tcPr>
            <w:tcW w:w="5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5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5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long-term benefits</w:t>
            </w:r>
          </w:p>
        </w:tc>
        <w:tc>
          <w:tcPr>
            <w:tcW w:w="56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560" w:type="dxa"/>
            <w:vAlign w:val="bottom"/>
          </w:tcPr>
          <w:p>
            <w:pPr>
              <w:spacing w:after="0"/>
              <w:rPr>
                <w:sz w:val="19"/>
                <w:szCs w:val="19"/>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9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5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r>
      <w:tr>
        <w:trPr>
          <w:trHeight w:val="210"/>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5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 from Parent</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56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year</w:t>
            </w: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25"/>
        </w:trPr>
        <w:tc>
          <w:tcPr>
            <w:tcW w:w="7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80" w:type="dxa"/>
            <w:vAlign w:val="bottom"/>
          </w:tcPr>
          <w:p>
            <w:pPr>
              <w:spacing w:after="0"/>
              <w:rPr>
                <w:sz w:val="19"/>
                <w:szCs w:val="19"/>
                <w:color w:val="auto"/>
              </w:rPr>
            </w:pPr>
          </w:p>
        </w:tc>
        <w:tc>
          <w:tcPr>
            <w:tcW w:w="19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80" w:type="dxa"/>
            <w:vAlign w:val="bottom"/>
          </w:tcPr>
          <w:p>
            <w:pPr>
              <w:spacing w:after="0"/>
              <w:rPr>
                <w:sz w:val="19"/>
                <w:szCs w:val="19"/>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8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60" w:type="dxa"/>
            <w:vAlign w:val="bottom"/>
          </w:tcPr>
          <w:p>
            <w:pPr>
              <w:spacing w:after="0"/>
              <w:rPr>
                <w:sz w:val="19"/>
                <w:szCs w:val="19"/>
                <w:color w:val="auto"/>
              </w:rPr>
            </w:pPr>
          </w:p>
        </w:tc>
      </w:tr>
      <w:tr>
        <w:trPr>
          <w:trHeight w:val="191"/>
        </w:trPr>
        <w:tc>
          <w:tcPr>
            <w:tcW w:w="3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r>
      <w:tr>
        <w:trPr>
          <w:trHeight w:val="234"/>
        </w:trPr>
        <w:tc>
          <w:tcPr>
            <w:tcW w:w="3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tcPr>
          <w:p>
            <w:pPr>
              <w:spacing w:after="0"/>
              <w:rPr>
                <w:sz w:val="20"/>
                <w:szCs w:val="20"/>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3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 intangible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2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20" w:type="dxa"/>
            <w:vAlign w:val="bottom"/>
          </w:tcPr>
          <w:p>
            <w:pPr>
              <w:spacing w:after="0"/>
              <w:rPr>
                <w:sz w:val="18"/>
                <w:szCs w:val="18"/>
                <w:color w:val="auto"/>
              </w:rPr>
            </w:pP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1,283</w:t>
            </w:r>
          </w:p>
        </w:tc>
        <w:tc>
          <w:tcPr>
            <w:tcW w:w="20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20" w:type="dxa"/>
            <w:vAlign w:val="bottom"/>
          </w:tcPr>
          <w:p>
            <w:pPr>
              <w:spacing w:after="0"/>
              <w:rPr>
                <w:sz w:val="18"/>
                <w:szCs w:val="18"/>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(Loss) and Margin to Non-GAAP Adjusted Operating Income (Loss) and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8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0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220" w:type="dxa"/>
            <w:vAlign w:val="bottom"/>
          </w:tcPr>
          <w:p>
            <w:pPr>
              <w:spacing w:after="0"/>
              <w:rPr>
                <w:sz w:val="19"/>
                <w:szCs w:val="19"/>
                <w:color w:val="auto"/>
              </w:rPr>
            </w:pPr>
          </w:p>
        </w:tc>
      </w:tr>
      <w:tr>
        <w:trPr>
          <w:trHeight w:val="191"/>
        </w:trPr>
        <w:tc>
          <w:tcPr>
            <w:tcW w:w="2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Revenue</w:t>
            </w: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Margin</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174"/>
        </w:trPr>
        <w:tc>
          <w:tcPr>
            <w:tcW w:w="2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Margin</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280</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Adjusted Operating Margin is calculated as Adjusted Operating Income (Loss)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(Loss) to Non-GAAP Adjusted Net Income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00" w:type="dxa"/>
            <w:vAlign w:val="bottom"/>
          </w:tcPr>
          <w:p>
            <w:pPr>
              <w:spacing w:after="0"/>
              <w:rPr>
                <w:sz w:val="19"/>
                <w:szCs w:val="19"/>
                <w:color w:val="auto"/>
              </w:rPr>
            </w:pPr>
          </w:p>
        </w:tc>
        <w:tc>
          <w:tcPr>
            <w:tcW w:w="1660" w:type="dxa"/>
            <w:vAlign w:val="bottom"/>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9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98"/>
              </w:rPr>
              <w:t>Revenue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4"/>
              </w:rPr>
              <w:t>Amount</w:t>
            </w:r>
          </w:p>
        </w:tc>
        <w:tc>
          <w:tcPr>
            <w:tcW w:w="10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94"/>
              </w:rPr>
              <w:t>Amount</w:t>
            </w:r>
          </w:p>
        </w:tc>
        <w:tc>
          <w:tcPr>
            <w:tcW w:w="12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Revenue</w:t>
            </w:r>
          </w:p>
        </w:tc>
      </w:tr>
      <w:tr>
        <w:trPr>
          <w:trHeight w:val="210"/>
        </w:trPr>
        <w:tc>
          <w:tcPr>
            <w:tcW w:w="3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top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tcPr>
          <w:p>
            <w:pPr>
              <w:spacing w:after="0"/>
              <w:rPr>
                <w:sz w:val="20"/>
                <w:szCs w:val="20"/>
                <w:color w:val="auto"/>
              </w:rPr>
            </w:pP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198"/>
        </w:trPr>
        <w:tc>
          <w:tcPr>
            <w:tcW w:w="3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(123)</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589"/>
        </w:trPr>
        <w:tc>
          <w:tcPr>
            <w:tcW w:w="40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w:t>
            </w:r>
            <w:r>
              <w:rPr>
                <w:rFonts w:ascii="Times New Roman" w:cs="Times New Roman" w:eastAsia="Times New Roman" w:hAnsi="Times New Roman"/>
                <w:sz w:val="29"/>
                <w:szCs w:val="29"/>
                <w:color w:val="auto"/>
                <w:vertAlign w:val="superscript"/>
              </w:rPr>
              <w:t>4</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220" w:type="dxa"/>
            <w:vAlign w:val="bottom"/>
          </w:tcPr>
          <w:p>
            <w:pPr>
              <w:spacing w:after="0"/>
              <w:rPr>
                <w:sz w:val="24"/>
                <w:szCs w:val="24"/>
                <w:color w:val="auto"/>
              </w:rPr>
            </w:pPr>
          </w:p>
        </w:tc>
        <w:tc>
          <w:tcPr>
            <w:tcW w:w="12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Q4 2025</w:t>
            </w:r>
          </w:p>
        </w:tc>
      </w:tr>
      <w:tr>
        <w:trPr>
          <w:trHeight w:val="178"/>
        </w:trPr>
        <w:tc>
          <w:tcPr>
            <w:tcW w:w="4020" w:type="dxa"/>
            <w:vAlign w:val="bottom"/>
            <w:tcBorders>
              <w:top w:val="single" w:sz="8" w:color="CCEEFF"/>
            </w:tcBorders>
            <w:gridSpan w:val="6"/>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EyeQ and SuperVision revenue (U.S. dollars in</w:t>
            </w: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464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7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50.0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7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51.7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28" w:lineRule="exact"/>
        <w:rPr>
          <w:sz w:val="20"/>
          <w:szCs w:val="20"/>
          <w:color w:val="auto"/>
        </w:rPr>
      </w:pPr>
    </w:p>
    <w:p>
      <w:pPr>
        <w:ind w:left="440" w:hanging="108"/>
        <w:spacing w:after="0"/>
        <w:tabs>
          <w:tab w:leader="none" w:pos="4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System Price is calculated as the sum of revenue related to EyeQ™ and SuperVision systems, divided by the number of systems shipped.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2026-01-22T06:07:58Z</dcterms:created>
  <dcterms:modified xsi:type="dcterms:W3CDTF">2026-01-22T06:07:58Z</dcterms:modified>
</cp:coreProperties>
</file>