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 Hotzvim, 13 Hartom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Jerusalem 9777513, 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Mobileye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22,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0001910139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Heller: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on June 22, 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Summary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Relationship with Intel, page 9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have entered into certain arrangements with Intel under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Master Transaction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and under your amended and restated certificate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incorporation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Intel with certain rights so long as Intel holds at least 20%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common stock.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the corporate actions that would require the prior consent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not limited to, the authorization of stock issuances.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 Intel, including but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Factors, page 19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add a risk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34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disclosing that your amended and restated certificate of Anat Heller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26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Mobileye Holdings Inc. Heller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2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NameMobileye Holdings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7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12,</w:t>
            </w:r>
          </w:p>
        </w:tc>
        <w:tc>
          <w:tcPr>
            <w:tcW w:w="7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 2 2022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incorporation waived the corporate opportunities doctrine and address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potential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conflicts of interest.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Statements, page 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to include a discussion of the minimum cash requirement provided by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terms of the Master Transaction Agreement that Intel has agreed to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ensure you will</w:t>
            </w:r>
          </w:p>
        </w:tc>
        <w:tc>
          <w:tcPr>
            <w:tcW w:w="3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marketable securities immediately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have in cash, cash equivalents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completion of</w:t>
            </w: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offering.</w:t>
            </w:r>
          </w:p>
        </w:tc>
        <w:tc>
          <w:tcPr>
            <w:tcW w:w="3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Condition and Results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Management's Discussion and Analysis of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</w:t>
            </w: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Key Factors Affecting Our Performance</w:t>
            </w:r>
          </w:p>
        </w:tc>
        <w:tc>
          <w:tcPr>
            <w:tcW w:w="3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Supply and manufacturing capacity, page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regarding the significant reduction in inventory levels due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sole suppliers inability to meet your EyeQ SoC demands. Please revise your MD&amp;A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section to discuss known trends or uncertainties resulting from these inventory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shortages and mitigation efforts undertaken, if any. Also, revise to specify whether these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challenges have materially impacted your results of operations or capital resources and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quantify, to the extent possible, how your sales, profits, and/or liquidity have been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Comparison of the Three Months Ended April 2, 2022 and March 27, 2021, page 77</w:t>
      </w:r>
    </w:p>
    <w:p>
      <w:pPr>
        <w:spacing w:after="0" w:line="19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to include a quantified discussion regarding the impact from having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additional week in fiscal 2022 compared to 2021. Similarly, revise the Prospectus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and MD&amp;A Overview disclosures where you discuss the 4.5% period-over-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revenue growth to clarify how the additional week impacted your fiscal 2022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you indicate that the increase in revenue during the first quarter of fiscal 2022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due mainly to the sales of your SuperVision Solutions, which have a greater average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per vehicle compared to other ADAS. Please revise to include a quantified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regarding the impact of both changes in volume and price on your interim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results. Refer to Item 303(b)(2)(iii) of Regulation S-K.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Rebekah Lindsey, Staff Accountant, at (202) 551-3303 or Kathleen Collins, Accounting Branch Chief, at (202) 551-3499 if you have questions regarding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Lauren Pierce, Staff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551-3887 or Jan Woo, Legal Branch Chief, at (202) 551-3453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LastNameAnat Heller</w:t>
      </w:r>
    </w:p>
    <w:p>
      <w:pPr>
        <w:ind w:left="4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NameMobileye Holdings Inc.</w:t>
      </w:r>
    </w:p>
    <w:p>
      <w:pPr>
        <w:jc w:val="center"/>
        <w:ind w:right="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 2022 Page 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309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Michelle Gasaway FirstName LastName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2022-11-28T23:14:01Z</dcterms:created>
  <dcterms:modified xsi:type="dcterms:W3CDTF">2022-11-28T23:14:01Z</dcterms:modified>
</cp:coreProperties>
</file>