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25, 2026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164465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40" w:space="720"/>
            <w:col w:w="284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1 Shlomo Momo HaLevi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5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5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June 18, 2026, Mobileye Global Inc. (the “Company”) held its annual meeting of stockholders via virtual webcast (the “Annual Meeting”). At the Annual Meeting, the Company’s stockholders voted on three proposals, each of which is described in more detail in the Company's definitive proxy statement filed with the Securities and Exchange Commission on April 24, 2026 (the “Proxy Statement”). A total of 163,263,058 shares of the Company’s Class A common stock and 597,768,015 shares of the Company’s Class B common stock were present or represented by proxy at the Annual Meeting, representing 98.7% of the combined voting power of the shares of Class A common stock and Class B common stock (voting together as a class) outstanding as of the close of business on April 22, 2026, the record date for the determination of stockholders entitled to vote at the Annual Meeting. Holders of shares of the Company’s Class A common stock were entitled to one vote for each share held as of the close of business on the record date, and holders of shares of the Company’s Class B common stock were entitled to ten votes for each share held as of the record date.</w:t>
      </w:r>
    </w:p>
    <w:p>
      <w:pPr>
        <w:spacing w:after="0" w:line="1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the voting results on the three proposals considered and voted upon at the Annual Meeting, all of which were described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Election of Directors – </w:t>
      </w:r>
      <w:r>
        <w:rPr>
          <w:rFonts w:ascii="Times New Roman" w:cs="Times New Roman" w:eastAsia="Times New Roman" w:hAnsi="Times New Roman"/>
          <w:sz w:val="18"/>
          <w:szCs w:val="18"/>
          <w:b w:val="1"/>
          <w:bCs w:val="1"/>
          <w:i w:val="1"/>
          <w:iCs w:val="1"/>
          <w:color w:val="auto"/>
        </w:rPr>
        <w:t>All Directors Elected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Withhold</w:t>
            </w:r>
          </w:p>
        </w:tc>
        <w:tc>
          <w:tcPr>
            <w:tcW w:w="2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6,070,449,879</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26,338,645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44,154,684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Safroadu Yeboah-Amankwah</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6,062,362,269</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34,426,255</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Bombach</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6,067,116,058</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29,672,466</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Nagasubramaniyan Chandrasekaran</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6,068,473,807</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28,314,717</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L. Chao</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6,094,980,784</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1,807,740</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Eyal Desheh</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6,069,362,035</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27,426,489</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6,069,465,365</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27,323,159</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6,092,313,579</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4,474,945</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Zinsner</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6,070,613,102</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26,175,422</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44,154,684</w:t>
            </w:r>
          </w:p>
        </w:tc>
      </w:tr>
      <w:tr>
        <w:trPr>
          <w:trHeight w:val="432"/>
        </w:trPr>
        <w:tc>
          <w:tcPr>
            <w:tcW w:w="8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Ratification of Selection of Independent Registered Public Accounting Firm – </w:t>
            </w:r>
            <w:r>
              <w:rPr>
                <w:rFonts w:ascii="Times New Roman" w:cs="Times New Roman" w:eastAsia="Times New Roman" w:hAnsi="Times New Roman"/>
                <w:sz w:val="18"/>
                <w:szCs w:val="18"/>
                <w:b w:val="1"/>
                <w:bCs w:val="1"/>
                <w:i w:val="1"/>
                <w:iCs w:val="1"/>
                <w:color w:val="auto"/>
              </w:rPr>
              <w:t>Approved</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Against</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Abstain</w:t>
            </w:r>
          </w:p>
        </w:tc>
        <w:tc>
          <w:tcPr>
            <w:tcW w:w="2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6,138,238,813</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1,702,593</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1,001,802</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Advisory Vote to on Executive Compensation – </w:t>
            </w:r>
            <w:r>
              <w:rPr>
                <w:rFonts w:ascii="Times New Roman" w:cs="Times New Roman" w:eastAsia="Times New Roman" w:hAnsi="Times New Roman"/>
                <w:sz w:val="18"/>
                <w:szCs w:val="18"/>
                <w:b w:val="1"/>
                <w:bCs w:val="1"/>
                <w:i w:val="1"/>
                <w:iCs w:val="1"/>
                <w:color w:val="auto"/>
              </w:rPr>
              <w:t>Approved</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Against</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Abstain</w:t>
            </w:r>
          </w:p>
        </w:tc>
        <w:tc>
          <w:tcPr>
            <w:tcW w:w="25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6,043,450,224</w:t>
            </w:r>
          </w:p>
        </w:tc>
        <w:tc>
          <w:tcPr>
            <w:tcW w:w="1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53,076,746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261,554</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44,154,684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880"/>
      </w:cols>
      <w:pgMar w:left="320" w:top="90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2026-06-25T06:03:08Z</dcterms:created>
  <dcterms:modified xsi:type="dcterms:W3CDTF">2026-06-25T06:03:08Z</dcterms:modified>
</cp:coreProperties>
</file>