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October 26,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Mobileye Global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the Registrant as Specified in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001-41541</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88-0666433</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00" w:space="720"/>
            <w:col w:w="2900" w:space="720"/>
            <w:col w:w="2500"/>
          </w:cols>
          <w:pgMar w:left="320" w:top="783" w:right="339" w:bottom="1440" w:gutter="0" w:footer="0" w:header="0"/>
          <w:type w:val="continuous"/>
        </w:sectPr>
      </w:pPr>
    </w:p>
    <w:p>
      <w:pPr>
        <w:spacing w:after="0" w:line="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c/o Mobileye B.V.</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Har Hotzvim, 13 Hartom Street</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P.O. Box 45157</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Jerusalem 9777513, Israel</w:t>
      </w:r>
    </w:p>
    <w:p>
      <w:pPr>
        <w:spacing w:after="0" w:line="9"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9777513</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83"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9"/>
        </w:trPr>
        <w:tc>
          <w:tcPr>
            <w:tcW w:w="4520" w:type="dxa"/>
            <w:vAlign w:val="bottom"/>
            <w:tcBorders>
              <w:top w:val="single" w:sz="8" w:color="auto"/>
              <w:left w:val="single" w:sz="8" w:color="auto"/>
              <w:right w:val="single" w:sz="8" w:color="auto"/>
            </w:tcBorders>
          </w:tcPr>
          <w:p>
            <w:pPr>
              <w:spacing w:after="0"/>
              <w:rPr>
                <w:sz w:val="19"/>
                <w:szCs w:val="19"/>
                <w:color w:val="auto"/>
              </w:rPr>
            </w:pPr>
          </w:p>
        </w:tc>
        <w:tc>
          <w:tcPr>
            <w:tcW w:w="2240" w:type="dxa"/>
            <w:vAlign w:val="bottom"/>
            <w:tcBorders>
              <w:top w:val="single" w:sz="8" w:color="auto"/>
              <w:right w:val="single" w:sz="8" w:color="auto"/>
            </w:tcBorders>
          </w:tcPr>
          <w:p>
            <w:pPr>
              <w:spacing w:after="0"/>
              <w:rPr>
                <w:sz w:val="19"/>
                <w:szCs w:val="19"/>
                <w:color w:val="auto"/>
              </w:rPr>
            </w:pP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exchange on which</w:t>
            </w:r>
          </w:p>
        </w:tc>
      </w:tr>
      <w:tr>
        <w:trPr>
          <w:trHeight w:val="234"/>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MBLY</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26, 2023 Mobileye Global Inc. issued a press release announcing its financial results for the quarter ended September 30, 2023. A copy of the press release is furnished as Exhibit 99.1 to this Current Report on Form 8-K.</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3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80" w:type="dxa"/>
            <w:vAlign w:val="bottom"/>
          </w:tcPr>
          <w:p>
            <w:pPr>
              <w:spacing w:after="0"/>
              <w:rPr>
                <w:sz w:val="24"/>
                <w:szCs w:val="24"/>
                <w:color w:val="auto"/>
              </w:rPr>
            </w:pPr>
          </w:p>
        </w:tc>
        <w:tc>
          <w:tcPr>
            <w:tcW w:w="9580" w:type="dxa"/>
            <w:vAlign w:val="bottom"/>
            <w:gridSpan w:val="2"/>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9960" w:type="dxa"/>
            <w:vAlign w:val="bottom"/>
            <w:gridSpan w:val="3"/>
          </w:tcPr>
          <w:p>
            <w:pPr>
              <w:ind w:left="380"/>
              <w:spacing w:after="0"/>
              <w:rPr>
                <w:sz w:val="20"/>
                <w:szCs w:val="20"/>
                <w:color w:val="auto"/>
              </w:rPr>
            </w:pPr>
            <w:r>
              <w:rPr>
                <w:rFonts w:ascii="Arial" w:cs="Arial" w:eastAsia="Arial" w:hAnsi="Arial"/>
                <w:sz w:val="18"/>
                <w:szCs w:val="18"/>
                <w:color w:val="0000EE"/>
              </w:rPr>
              <w:t>Press release issued by Mobileye Global Inc. on October 26, 2023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60" w:type="dxa"/>
            <w:vAlign w:val="bottom"/>
            <w:shd w:val="clear" w:color="auto" w:fill="0000EE"/>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94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02"/>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MOBILEYE GLOBAL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Moran Shemesh Rojansky</w:t>
      </w:r>
    </w:p>
    <w:p>
      <w:pPr>
        <w:spacing w:after="0" w:line="9"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Releases Third Quarter 2023 Results, Updates Guidance and Provides Business Overview</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101820"/>
        </w:rPr>
      </w:pPr>
      <w:r>
        <w:rPr>
          <w:rFonts w:ascii="Arial" w:cs="Arial" w:eastAsia="Arial" w:hAnsi="Arial"/>
          <w:sz w:val="18"/>
          <w:szCs w:val="18"/>
          <w:color w:val="101820"/>
        </w:rPr>
        <w:t>Revenue increased 18% year over year to $530 million in the third quarter.</w:t>
      </w:r>
    </w:p>
    <w:p>
      <w:pPr>
        <w:spacing w:after="0" w:line="225" w:lineRule="exact"/>
        <w:rPr>
          <w:rFonts w:ascii="Arial" w:cs="Arial" w:eastAsia="Arial" w:hAnsi="Arial"/>
          <w:sz w:val="18"/>
          <w:szCs w:val="18"/>
          <w:color w:val="101820"/>
        </w:rPr>
      </w:pPr>
    </w:p>
    <w:p>
      <w:pPr>
        <w:ind w:left="660" w:hanging="328"/>
        <w:spacing w:after="0"/>
        <w:tabs>
          <w:tab w:leader="none" w:pos="660" w:val="left"/>
        </w:tabs>
        <w:numPr>
          <w:ilvl w:val="0"/>
          <w:numId w:val="2"/>
        </w:numPr>
        <w:rPr>
          <w:rFonts w:ascii="Arial" w:cs="Arial" w:eastAsia="Arial" w:hAnsi="Arial"/>
          <w:sz w:val="18"/>
          <w:szCs w:val="18"/>
          <w:color w:val="101820"/>
        </w:rPr>
      </w:pPr>
      <w:r>
        <w:rPr>
          <w:rFonts w:ascii="Arial" w:cs="Arial" w:eastAsia="Arial" w:hAnsi="Arial"/>
          <w:sz w:val="18"/>
          <w:szCs w:val="18"/>
          <w:color w:val="101820"/>
        </w:rPr>
        <w:t>Operating Income and Adjusted Operating Income improved substantially versus the third quarter of 2022.</w:t>
      </w:r>
    </w:p>
    <w:p>
      <w:pPr>
        <w:spacing w:after="0" w:line="225" w:lineRule="exact"/>
        <w:rPr>
          <w:rFonts w:ascii="Arial" w:cs="Arial" w:eastAsia="Arial" w:hAnsi="Arial"/>
          <w:sz w:val="18"/>
          <w:szCs w:val="18"/>
          <w:color w:val="101820"/>
        </w:rPr>
      </w:pPr>
    </w:p>
    <w:p>
      <w:pPr>
        <w:ind w:left="660" w:hanging="328"/>
        <w:spacing w:after="0"/>
        <w:tabs>
          <w:tab w:leader="none" w:pos="660" w:val="left"/>
        </w:tabs>
        <w:numPr>
          <w:ilvl w:val="0"/>
          <w:numId w:val="2"/>
        </w:numPr>
        <w:rPr>
          <w:rFonts w:ascii="Arial" w:cs="Arial" w:eastAsia="Arial" w:hAnsi="Arial"/>
          <w:sz w:val="18"/>
          <w:szCs w:val="18"/>
          <w:color w:val="101820"/>
        </w:rPr>
      </w:pPr>
      <w:r>
        <w:rPr>
          <w:rFonts w:ascii="Arial" w:cs="Arial" w:eastAsia="Arial" w:hAnsi="Arial"/>
          <w:sz w:val="18"/>
          <w:szCs w:val="18"/>
          <w:color w:val="101820"/>
        </w:rPr>
        <w:t>Diluted EPS (GAAP) was $0.02 and Adjusted Diluted EPS (Non-GAAP) was $0.22 in the third quarter of 2023.</w:t>
      </w:r>
    </w:p>
    <w:p>
      <w:pPr>
        <w:spacing w:after="0" w:line="225" w:lineRule="exact"/>
        <w:rPr>
          <w:rFonts w:ascii="Arial" w:cs="Arial" w:eastAsia="Arial" w:hAnsi="Arial"/>
          <w:sz w:val="18"/>
          <w:szCs w:val="18"/>
          <w:color w:val="101820"/>
        </w:rPr>
      </w:pPr>
    </w:p>
    <w:p>
      <w:pPr>
        <w:ind w:left="660" w:hanging="328"/>
        <w:spacing w:after="0" w:line="277" w:lineRule="auto"/>
        <w:tabs>
          <w:tab w:leader="none" w:pos="660" w:val="left"/>
        </w:tabs>
        <w:numPr>
          <w:ilvl w:val="0"/>
          <w:numId w:val="2"/>
        </w:numPr>
        <w:rPr>
          <w:rFonts w:ascii="Arial" w:cs="Arial" w:eastAsia="Arial" w:hAnsi="Arial"/>
          <w:sz w:val="18"/>
          <w:szCs w:val="18"/>
          <w:color w:val="101820"/>
        </w:rPr>
      </w:pPr>
      <w:r>
        <w:rPr>
          <w:rFonts w:ascii="Arial" w:cs="Arial" w:eastAsia="Arial" w:hAnsi="Arial"/>
          <w:sz w:val="18"/>
          <w:szCs w:val="18"/>
          <w:color w:val="auto"/>
        </w:rPr>
        <w:t>Continued to progress with key OEM prospects for advanced products, with FAW (SuperVision and Chauffeur) and Polestar (Chauffeur) converting during Q3.</w:t>
      </w:r>
    </w:p>
    <w:p>
      <w:pPr>
        <w:spacing w:after="0" w:line="170" w:lineRule="exact"/>
        <w:rPr>
          <w:rFonts w:ascii="Arial" w:cs="Arial" w:eastAsia="Arial" w:hAnsi="Arial"/>
          <w:sz w:val="18"/>
          <w:szCs w:val="18"/>
          <w:color w:val="101820"/>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101820"/>
        </w:rPr>
        <w:t>Generated net cash from operating activities of $285 million in the nine months ended September 30, 2023. Our balance sheet remains strong with $1.2 billion of cash and cash equivalents and zero debt as of September 30,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01820"/>
        </w:rPr>
        <w:t>JERUSALEM – October 26, 2023 – Mobileye Global Inc. (Nasdaq: MBLY) (“Mobileye”) today released its financial results for the three months ended September 30, 2023.</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very pleased with Q3 results, as operating leverage on strong revenue growth has led to significant increases in operating income,” said Mobileye President and CEO Prof. Amnon Shashua. “On the product side, very positive consumer and media feedback to the August roll-out of the SuperVision navigate on pilot software to Zeekr vehicles was a key proof-point of the competitive advantages of our advanced products. This in part led to</w:t>
      </w:r>
    </w:p>
    <w:p>
      <w:pPr>
        <w:spacing w:after="0" w:line="2" w:lineRule="exact"/>
        <w:rPr>
          <w:sz w:val="20"/>
          <w:szCs w:val="20"/>
          <w:color w:val="auto"/>
        </w:rPr>
      </w:pPr>
    </w:p>
    <w:p>
      <w:pPr>
        <w:jc w:val="both"/>
        <w:ind w:firstLine="8"/>
        <w:spacing w:after="0" w:line="253" w:lineRule="auto"/>
        <w:tabs>
          <w:tab w:leader="none" w:pos="237"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conversions with Polestar and FAW during the quarter, (ii) continued progress with the balance of the 9 core OEM prospects we noted on our last earnings call, and (iii) new interest from an additional wave of global automakers. Since the end of Q3, the tragic events in Israel have affected us all, but strong business continuity planning, lessons learned during COVID-19 disruptions, and the diligence of our remarkable team has enabled us to limit disruption and continue to execute our business priorities.”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Business Highlights</w:t>
      </w:r>
    </w:p>
    <w:p>
      <w:pPr>
        <w:spacing w:after="0" w:line="229" w:lineRule="exact"/>
        <w:rPr>
          <w:sz w:val="20"/>
          <w:szCs w:val="20"/>
          <w:color w:val="auto"/>
        </w:rPr>
      </w:pPr>
    </w:p>
    <w:p>
      <w:pPr>
        <w:jc w:val="both"/>
        <w:ind w:left="660" w:right="20" w:hanging="328"/>
        <w:spacing w:after="0" w:line="27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business development pipeline continued to be robust in the quarter. Based on design wins achieved year-to-date in 2023 and the current opportunity pipeline, we are on-track for 2023 to exceed the record design win activity generated in 2022 on a volume, revenue, and average system price basis.</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Mobileye and Zeekr executed an over-the-air software update to more than 110,000 Zeekr customers that, for the first time, delivered the full highway SuperVision feature set in large volume. Feedback has been favorable, with media highlighting that the upgraded Navigation ZEEKR Pilot (NZP) system (which is based on SuperVision) outperforms stiff competition in China despite significantly less sensor and compute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announced an expansive relationship with FAW, one of the largest volume automakers in China, to equip SuperVision-based features on a series of vehicles beginning in late 2024. The program also includes development of a Chauffeur-based system for a launch expected by late 2025. The success of the Zeekr software roll-out noted above was a direct catalyst for the FAW announcement and has resulted in acceleration of other business development discussions.</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announced the addition of a Chauffeur program to the expanding relationship with Polestar. The ability to leverage the eyes-on SuperVision system as a bridge to eyes-off Chauffeur is being recognized as a key differentiator by our customers. Nearly all of our development work with global OEMs on SuperVision includes a plan to scale to Chauffeur as well.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Third Quarter 2023 Financial Summary and Key Highlights (Unaudited)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32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Q3 2023</w:t>
            </w:r>
          </w:p>
        </w:tc>
        <w:tc>
          <w:tcPr>
            <w:tcW w:w="26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Q3 2022</w:t>
            </w:r>
          </w:p>
        </w:tc>
        <w:tc>
          <w:tcPr>
            <w:tcW w:w="420" w:type="dxa"/>
            <w:vAlign w:val="bottom"/>
            <w:vMerge w:val="restart"/>
          </w:tcPr>
          <w:p>
            <w:pPr>
              <w:spacing w:after="0"/>
              <w:rPr>
                <w:sz w:val="24"/>
                <w:szCs w:val="24"/>
                <w:color w:val="auto"/>
              </w:rPr>
            </w:pPr>
          </w:p>
        </w:tc>
        <w:tc>
          <w:tcPr>
            <w:tcW w:w="12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 Y/Y</w:t>
            </w: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U.S. dollars in millions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217</w:t>
            </w: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1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86"/>
              </w:rPr>
              <w:t>+310bps</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86"/>
              </w:rPr>
              <w:t>+706bps</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EPS - Basic</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EPS - Diluted</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3"/>
        </w:trPr>
        <w:tc>
          <w:tcPr>
            <w:tcW w:w="6320" w:type="dxa"/>
            <w:vAlign w:val="bottom"/>
          </w:tcPr>
          <w:p>
            <w:pPr>
              <w:spacing w:after="0"/>
              <w:rPr>
                <w:sz w:val="20"/>
                <w:szCs w:val="20"/>
                <w:color w:val="auto"/>
              </w:rPr>
            </w:pPr>
            <w:r>
              <w:rPr>
                <w:rFonts w:ascii="Arial" w:cs="Arial" w:eastAsia="Arial" w:hAnsi="Arial"/>
                <w:sz w:val="18"/>
                <w:szCs w:val="18"/>
                <w:b w:val="1"/>
                <w:bCs w:val="1"/>
                <w:color w:val="auto"/>
              </w:rPr>
              <w:t>Non-GAAP</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Q3 2023</w:t>
            </w:r>
          </w:p>
        </w:tc>
        <w:tc>
          <w:tcPr>
            <w:tcW w:w="26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Q3 2022</w:t>
            </w:r>
          </w:p>
        </w:tc>
        <w:tc>
          <w:tcPr>
            <w:tcW w:w="380" w:type="dxa"/>
            <w:vAlign w:val="bottom"/>
            <w:vMerge w:val="restart"/>
          </w:tcPr>
          <w:p>
            <w:pPr>
              <w:spacing w:after="0"/>
              <w:rPr>
                <w:sz w:val="20"/>
                <w:szCs w:val="20"/>
                <w:color w:val="auto"/>
              </w:rPr>
            </w:pPr>
          </w:p>
        </w:tc>
        <w:tc>
          <w:tcPr>
            <w:tcW w:w="12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 Y/Y</w:t>
            </w:r>
          </w:p>
        </w:tc>
        <w:tc>
          <w:tcPr>
            <w:tcW w:w="3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U.S. dollars in millions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Adjusted Gross Profit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366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332</w:t>
            </w:r>
          </w:p>
        </w:tc>
        <w:tc>
          <w:tcPr>
            <w:tcW w:w="1520" w:type="dxa"/>
            <w:vAlign w:val="bottom"/>
            <w:gridSpan w:val="2"/>
          </w:tcPr>
          <w:p>
            <w:pPr>
              <w:jc w:val="center"/>
              <w:ind w:left="77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152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90"/>
              </w:rPr>
              <w:t>(472)bps</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143</w:t>
            </w:r>
          </w:p>
        </w:tc>
        <w:tc>
          <w:tcPr>
            <w:tcW w:w="1520" w:type="dxa"/>
            <w:vAlign w:val="bottom"/>
            <w:gridSpan w:val="2"/>
          </w:tcPr>
          <w:p>
            <w:pPr>
              <w:jc w:val="center"/>
              <w:ind w:left="770"/>
              <w:spacing w:after="0"/>
              <w:rPr>
                <w:sz w:val="20"/>
                <w:szCs w:val="20"/>
                <w:color w:val="auto"/>
              </w:rPr>
            </w:pPr>
            <w:r>
              <w:rPr>
                <w:rFonts w:ascii="Arial" w:cs="Arial" w:eastAsia="Arial" w:hAnsi="Arial"/>
                <w:sz w:val="18"/>
                <w:szCs w:val="18"/>
                <w:color w:val="auto"/>
                <w:w w:val="94"/>
              </w:rPr>
              <w:t>27%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5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4"/>
              </w:rPr>
              <w:t>+256bps</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Adjusted Net Income</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1520" w:type="dxa"/>
            <w:vAlign w:val="bottom"/>
            <w:gridSpan w:val="2"/>
          </w:tcPr>
          <w:p>
            <w:pPr>
              <w:jc w:val="center"/>
              <w:ind w:left="770"/>
              <w:spacing w:after="0"/>
              <w:rPr>
                <w:sz w:val="20"/>
                <w:szCs w:val="20"/>
                <w:color w:val="auto"/>
              </w:rPr>
            </w:pPr>
            <w:r>
              <w:rPr>
                <w:rFonts w:ascii="Arial" w:cs="Arial" w:eastAsia="Arial" w:hAnsi="Arial"/>
                <w:sz w:val="18"/>
                <w:szCs w:val="18"/>
                <w:color w:val="auto"/>
                <w:w w:val="94"/>
              </w:rPr>
              <w:t>59%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Adjusted EPS - Basic</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0.15</w:t>
            </w:r>
          </w:p>
        </w:tc>
        <w:tc>
          <w:tcPr>
            <w:tcW w:w="152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4"/>
              </w:rPr>
              <w:t>48%</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Adjusted EPS - Diluted</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0.22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0.15</w:t>
            </w:r>
          </w:p>
        </w:tc>
        <w:tc>
          <w:tcPr>
            <w:tcW w:w="1520" w:type="dxa"/>
            <w:vAlign w:val="bottom"/>
            <w:gridSpan w:val="2"/>
          </w:tcPr>
          <w:p>
            <w:pPr>
              <w:jc w:val="center"/>
              <w:ind w:left="770"/>
              <w:spacing w:after="0"/>
              <w:rPr>
                <w:sz w:val="20"/>
                <w:szCs w:val="20"/>
                <w:color w:val="auto"/>
              </w:rPr>
            </w:pPr>
            <w:r>
              <w:rPr>
                <w:rFonts w:ascii="Arial" w:cs="Arial" w:eastAsia="Arial" w:hAnsi="Arial"/>
                <w:sz w:val="18"/>
                <w:szCs w:val="18"/>
                <w:color w:val="auto"/>
                <w:w w:val="94"/>
              </w:rPr>
              <w:t>47%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101820"/>
        </w:rPr>
      </w:pPr>
      <w:r>
        <w:rPr>
          <w:rFonts w:ascii="Arial" w:cs="Arial" w:eastAsia="Arial" w:hAnsi="Arial"/>
          <w:sz w:val="18"/>
          <w:szCs w:val="18"/>
          <w:color w:val="auto"/>
        </w:rPr>
        <w:t>Revenue of $530 million increased by 18% compared to the third quarter of 2022, primarily due to a combination of volume and ASP growth in our EyeQ® chip related revenue.</w:t>
      </w:r>
    </w:p>
    <w:p>
      <w:pPr>
        <w:spacing w:after="0" w:line="173" w:lineRule="exact"/>
        <w:rPr>
          <w:rFonts w:ascii="Arial" w:cs="Arial" w:eastAsia="Arial" w:hAnsi="Arial"/>
          <w:sz w:val="18"/>
          <w:szCs w:val="18"/>
          <w:color w:val="101820"/>
        </w:rPr>
      </w:pPr>
    </w:p>
    <w:p>
      <w:pPr>
        <w:ind w:left="660" w:hanging="652"/>
        <w:spacing w:after="0" w:line="186" w:lineRule="auto"/>
        <w:tabs>
          <w:tab w:leader="none" w:pos="6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Average System Price</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was $53.8 in the third quarter of 2023, which is largely flat on a year-over-year basis. Higher core EyeQ prices were offset by slightly lower SuperVision volumes as a percentage of overall revenue.</w:t>
      </w:r>
    </w:p>
    <w:p>
      <w:pPr>
        <w:spacing w:after="0" w:line="203" w:lineRule="exact"/>
        <w:rPr>
          <w:rFonts w:ascii="Arial" w:cs="Arial" w:eastAsia="Arial" w:hAnsi="Arial"/>
          <w:sz w:val="36"/>
          <w:szCs w:val="36"/>
          <w:color w:val="auto"/>
          <w:vertAlign w:val="superscript"/>
        </w:rPr>
      </w:pPr>
    </w:p>
    <w:p>
      <w:pPr>
        <w:jc w:val="both"/>
        <w:ind w:left="660" w:right="20" w:hanging="652"/>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in the third quarter of 2023 increased by 3 percentage points as compared to the third quarter of 2022. The impact of the lower cost attributable to amortization of intangible assets as a percentage of revenue, was partially offset by the downward impact of the increased cost of our EyeQ® chip (and associated price increase to customers).</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Gross Margin declined by approximately 5 percentage points in the third quarter of 2023 as compared to the prior year period. The decrease was primarily due to the increased cost of our EyeQ® chip which was passed through as a price increase to customers (as of the beginning of 2023) on a zero-margin basis.</w:t>
      </w:r>
    </w:p>
    <w:p>
      <w:pPr>
        <w:spacing w:after="0" w:line="183"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Positive Operating Margin of 2% in the third quarter of 2023 compared to a negative margin of 6% in the prior year period. The increase was primarily related to a higher Gross Margin and to lower operating expenses as a percentage of revenue as compared to the third quarter of 2022.</w:t>
      </w:r>
    </w:p>
    <w:p>
      <w:pPr>
        <w:spacing w:after="0" w:line="123"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Operating Margin increased by approximately 3 percentage points in the third quarter of 2023 as compared to the prior year period. Operating leverage driven by revenue growth and operating expenses that were largely consistent on a year-over-year basis led to a significant decrease in operating expenses as a percentage of revenue.</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cash flow for the nine months ended September 30, 2023 was $285 million. This included significant outflows related to re-building our strategic inventory of EyeQ chips, which had been significantly reduced during the semiconductor supply chain crisis in 2021 and 2022. Cash used in purchases of property and equipment was $75 million for that same period.</w:t>
      </w:r>
    </w:p>
    <w:p>
      <w:pPr>
        <w:spacing w:after="0" w:line="224" w:lineRule="exact"/>
        <w:rPr>
          <w:sz w:val="20"/>
          <w:szCs w:val="20"/>
          <w:color w:val="auto"/>
        </w:rPr>
      </w:pPr>
    </w:p>
    <w:p>
      <w:pPr>
        <w:jc w:val="both"/>
        <w:ind w:left="340" w:hanging="8"/>
        <w:spacing w:after="0" w:line="209" w:lineRule="auto"/>
        <w:tabs>
          <w:tab w:leader="none" w:pos="452"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101820"/>
        </w:rPr>
        <w:t>Mobileye’s revenue for the periods presented represent estimated volumes based on projections of future production volumes that were provided by our current and prospective OEMs at the time of sourcing the design wins for the models related to those design wins. See the disclaimer under the heading “Forward-Looking Statements” below for important limitations applicable to these estimates.</w:t>
      </w:r>
    </w:p>
    <w:p>
      <w:pPr>
        <w:spacing w:after="0" w:line="163" w:lineRule="exact"/>
        <w:rPr>
          <w:sz w:val="20"/>
          <w:szCs w:val="20"/>
          <w:color w:val="auto"/>
        </w:rPr>
      </w:pPr>
    </w:p>
    <w:p>
      <w:pPr>
        <w:ind w:left="440" w:hanging="108"/>
        <w:spacing w:after="0"/>
        <w:tabs>
          <w:tab w:leader="none" w:pos="440" w:val="left"/>
        </w:tabs>
        <w:numPr>
          <w:ilvl w:val="0"/>
          <w:numId w:val="8"/>
        </w:numPr>
        <w:rPr>
          <w:rFonts w:ascii="Arial" w:cs="Arial" w:eastAsia="Arial" w:hAnsi="Arial"/>
          <w:sz w:val="27"/>
          <w:szCs w:val="27"/>
          <w:color w:val="auto"/>
          <w:vertAlign w:val="superscript"/>
        </w:rPr>
      </w:pPr>
      <w:r>
        <w:rPr>
          <w:rFonts w:ascii="Arial" w:cs="Arial" w:eastAsia="Arial" w:hAnsi="Arial"/>
          <w:sz w:val="16"/>
          <w:szCs w:val="16"/>
          <w:color w:val="101820"/>
        </w:rPr>
        <w:t>Average System Price is calculated as the sum of revenue related to EyeQ® and SuperVision systems, divided by the number of systems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Updated Financial Guidance for the 2023 Fiscal Year</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w w:val="95"/>
              </w:rPr>
              <w:t>We are updating our guidance for the 2023 fiscal year that we last provided on July 27, 2023:</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Previous</w:t>
            </w:r>
          </w:p>
        </w:tc>
      </w:tr>
      <w:tr>
        <w:trPr>
          <w:trHeight w:val="216"/>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jc w:val="right"/>
              <w:ind w:right="344"/>
              <w:spacing w:after="0"/>
              <w:rPr>
                <w:sz w:val="20"/>
                <w:szCs w:val="20"/>
                <w:color w:val="auto"/>
              </w:rPr>
            </w:pPr>
            <w:r>
              <w:rPr>
                <w:rFonts w:ascii="Arial" w:cs="Arial" w:eastAsia="Arial" w:hAnsi="Arial"/>
                <w:sz w:val="18"/>
                <w:szCs w:val="18"/>
                <w:b w:val="1"/>
                <w:bCs w:val="1"/>
                <w:color w:val="auto"/>
              </w:rPr>
              <w:t>Updated Guidance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Guidance</w:t>
            </w:r>
          </w:p>
        </w:tc>
      </w:tr>
      <w:tr>
        <w:trPr>
          <w:trHeight w:val="234"/>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3"/>
          </w:tcPr>
          <w:p>
            <w:pPr>
              <w:jc w:val="right"/>
              <w:ind w:right="504"/>
              <w:spacing w:after="0"/>
              <w:rPr>
                <w:sz w:val="20"/>
                <w:szCs w:val="20"/>
                <w:color w:val="auto"/>
              </w:rPr>
            </w:pPr>
            <w:r>
              <w:rPr>
                <w:rFonts w:ascii="Arial" w:cs="Arial" w:eastAsia="Arial" w:hAnsi="Arial"/>
                <w:sz w:val="18"/>
                <w:szCs w:val="18"/>
                <w:b w:val="1"/>
                <w:bCs w:val="1"/>
                <w:color w:val="auto"/>
                <w:w w:val="97"/>
              </w:rPr>
              <w:t>Full Year 2023</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Full Year 2023</w:t>
            </w:r>
          </w:p>
        </w:tc>
      </w:tr>
      <w:tr>
        <w:trPr>
          <w:trHeight w:val="223"/>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dollars in millions</w:t>
            </w:r>
          </w:p>
        </w:tc>
        <w:tc>
          <w:tcPr>
            <w:tcW w:w="2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Low</w:t>
            </w:r>
          </w:p>
        </w:tc>
        <w:tc>
          <w:tcPr>
            <w:tcW w:w="4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46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Range</w:t>
            </w:r>
          </w:p>
        </w:tc>
        <w:tc>
          <w:tcPr>
            <w:tcW w:w="100" w:type="dxa"/>
            <w:vAlign w:val="bottom"/>
            <w:tcBorders>
              <w:bottom w:val="single" w:sz="8" w:color="CCEEFF"/>
            </w:tcBorders>
          </w:tcPr>
          <w:p>
            <w:pPr>
              <w:spacing w:after="0"/>
              <w:rPr>
                <w:sz w:val="19"/>
                <w:szCs w:val="19"/>
                <w:color w:val="auto"/>
              </w:rPr>
            </w:pP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2,065</w:t>
            </w:r>
          </w:p>
        </w:tc>
        <w:tc>
          <w:tcPr>
            <w:tcW w:w="3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2,090</w:t>
            </w:r>
          </w:p>
        </w:tc>
        <w:tc>
          <w:tcPr>
            <w:tcW w:w="3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$2,065 - 2,114</w:t>
            </w:r>
          </w:p>
        </w:tc>
        <w:tc>
          <w:tcPr>
            <w:tcW w:w="100" w:type="dxa"/>
            <w:vAlign w:val="bottom"/>
            <w:shd w:val="clear" w:color="auto" w:fill="CCEEFF"/>
          </w:tcPr>
          <w:p>
            <w:pPr>
              <w:spacing w:after="0"/>
              <w:rPr>
                <w:sz w:val="19"/>
                <w:szCs w:val="19"/>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tcPr>
          <w:p>
            <w:pPr>
              <w:spacing w:after="0"/>
              <w:rPr>
                <w:sz w:val="18"/>
                <w:szCs w:val="18"/>
                <w:color w:val="auto"/>
              </w:rPr>
            </w:pP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$(129) - (98)</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11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474</w:t>
            </w: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474</w:t>
            </w:r>
          </w:p>
        </w:tc>
        <w:tc>
          <w:tcPr>
            <w:tcW w:w="14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$474</w:t>
            </w:r>
          </w:p>
        </w:tc>
        <w:tc>
          <w:tcPr>
            <w:tcW w:w="100" w:type="dxa"/>
            <w:vAlign w:val="bottom"/>
            <w:shd w:val="clear" w:color="auto" w:fill="CCEEFF"/>
          </w:tcPr>
          <w:p>
            <w:pPr>
              <w:spacing w:after="0"/>
              <w:rPr>
                <w:sz w:val="18"/>
                <w:szCs w:val="18"/>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89"/>
              </w:rPr>
              <w:t>$255</w:t>
            </w:r>
          </w:p>
        </w:tc>
        <w:tc>
          <w:tcPr>
            <w:tcW w:w="100" w:type="dxa"/>
            <w:vAlign w:val="bottom"/>
          </w:tcPr>
          <w:p>
            <w:pPr>
              <w:spacing w:after="0"/>
              <w:rPr>
                <w:sz w:val="19"/>
                <w:szCs w:val="19"/>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0"/>
              </w:rPr>
              <w:t>$600 - 631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updated guidance reflects a 0.6% reduction in expected Revenue, at the midpoint, as we now expect SuperVision shipments in Q4 of 2023 to be at the lower end of what was incorporated into our previous guidance. Our updated guidance also reflects an improvement in expected Operating Loss (GAAP) and Adjusted Operating Income (Non-GAAP), at the midpoint, of 37% and 7%, respectively, due to lower than expected operating expenses, both in Q3 and Q4 of 2023.</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01820"/>
        </w:rPr>
        <w:t>This information reflects Mobileye’s expectations for Revenue, Operating Loss and Adjusted Operating Income results for the year ending December 30, 2023. 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and, 2) Share-based compensation expense. These statements represent forward-looking information and may not represent a financial outlook, and actual results may vary. Please see the risks and assumptions referred to in the Forward-Looking Statements section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Earnings Conference Call Webcast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01820"/>
        </w:rPr>
        <w:t xml:space="preserve">Mobileye will host a conference call today, October 26, 2023, </w:t>
      </w:r>
      <w:r>
        <w:rPr>
          <w:rFonts w:ascii="Arial" w:cs="Arial" w:eastAsia="Arial" w:hAnsi="Arial"/>
          <w:sz w:val="18"/>
          <w:szCs w:val="18"/>
          <w:color w:val="000000"/>
        </w:rPr>
        <w:t>at 8:00am ET (3:00pm IT)</w:t>
      </w:r>
      <w:r>
        <w:rPr>
          <w:rFonts w:ascii="Arial" w:cs="Arial" w:eastAsia="Arial" w:hAnsi="Arial"/>
          <w:sz w:val="18"/>
          <w:szCs w:val="18"/>
          <w:color w:val="101820"/>
        </w:rPr>
        <w:t xml:space="preserve"> to review its results and provide a general business update. The conference call will be accessible live via a webcast on Mobileye’s investor relations site, which can be found at </w:t>
      </w:r>
      <w:r>
        <w:rPr>
          <w:rFonts w:ascii="Arial" w:cs="Arial" w:eastAsia="Arial" w:hAnsi="Arial"/>
          <w:sz w:val="18"/>
          <w:szCs w:val="18"/>
          <w:color w:val="000000"/>
        </w:rPr>
        <w:t>ir.mobileye.com,</w:t>
      </w:r>
      <w:r>
        <w:rPr>
          <w:rFonts w:ascii="Arial" w:cs="Arial" w:eastAsia="Arial" w:hAnsi="Arial"/>
          <w:sz w:val="18"/>
          <w:szCs w:val="18"/>
          <w:color w:val="101820"/>
        </w:rPr>
        <w:t xml:space="preserve"> and a replay of the webcast will be made available shortly after the event’s conclusion.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Adjusted Gross Profit and Margin, Adjusted Operating Income and Margin, Adjusted Net Income and Adjusted EPS (Earnings Per Share),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as operating loss presented in accordance with GAAP, adjusted to exclude amortization of acquisition related intangibles, share-based compensation expenses and expenses related to our initial public offering that was completed on October 28, 2022 (the “Mobileye IPO”). Operating margin is calculated as operating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and expenses related to the Mobileye IPO,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for the period by the weighted-average number of common shares outstanding during the period. Adjusted Diluted EPS is calculated by dividing Adjusted Net Income by the weighted-average number of common shares outstanding during the period, while giving effect to all potentially dilutive common shares to the extent they are dilutive.</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Mobileye Global Inc.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more than 150 million vehicles worldwide have been built with Mobileye technology inside. In 2022 Mobileye listed as an independent company separate from Intel (Nasdaq: INTC), which retains majority ownership. For more information, visit https://www.mobileye.com.</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“Mobileye,” the Mobileye logo and Mobileye product names are registered trademarks of Mobileye Global. All other 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62626"/>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2023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62626"/>
        </w:rPr>
        <w:t xml:space="preserve">Important factors that may materially affect such forward-looking statements and projections include the following: </w:t>
      </w:r>
      <w:r>
        <w:rPr>
          <w:rFonts w:ascii="Arial" w:cs="Arial" w:eastAsia="Arial" w:hAnsi="Arial"/>
          <w:sz w:val="17"/>
          <w:szCs w:val="17"/>
          <w:color w:val="000000"/>
        </w:rPr>
        <w:t>future business, social and</w:t>
      </w:r>
      <w:r>
        <w:rPr>
          <w:rFonts w:ascii="Arial" w:cs="Arial" w:eastAsia="Arial" w:hAnsi="Arial"/>
          <w:sz w:val="17"/>
          <w:szCs w:val="17"/>
          <w:color w:val="262626"/>
        </w:rPr>
        <w:t xml:space="preserve"> </w:t>
      </w:r>
      <w:r>
        <w:rPr>
          <w:rFonts w:ascii="Arial" w:cs="Arial" w:eastAsia="Arial" w:hAnsi="Arial"/>
          <w:sz w:val="17"/>
          <w:szCs w:val="17"/>
          <w:color w:val="000000"/>
        </w:rPr>
        <w:t>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future products and technology, and the expected availability and benefits of such products and technology; development of regulatory frameworks for current and future technology;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future responses to and effects of the COVID-19 pandemic;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tax- and accounting-related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7"/>
          <w:szCs w:val="17"/>
          <w:color w:val="1018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62626"/>
        </w:rPr>
        <w:t xml:space="preserve">Detailed information regarding these and other factors that could affect Mobileye’s business and results is included in Mobileye’s SEC filings, including the company’s Annual Report on Form 10-K for the year ended December 31, 2022, particularly in the section entitled “Item 1A. Risk Factors”. Copies of these filings may be obtained by visiting our Investor Relations website at </w:t>
      </w:r>
      <w:r>
        <w:rPr>
          <w:rFonts w:ascii="Arial" w:cs="Arial" w:eastAsia="Arial" w:hAnsi="Arial"/>
          <w:sz w:val="17"/>
          <w:szCs w:val="17"/>
          <w:color w:val="000000"/>
        </w:rPr>
        <w:t>ir.mobileye.com</w:t>
      </w:r>
      <w:r>
        <w:rPr>
          <w:rFonts w:ascii="Arial" w:cs="Arial" w:eastAsia="Arial" w:hAnsi="Arial"/>
          <w:sz w:val="17"/>
          <w:szCs w:val="17"/>
          <w:color w:val="262626"/>
        </w:rPr>
        <w:t xml:space="preserve"> or the SEC’s website at </w:t>
      </w:r>
      <w:r>
        <w:rPr>
          <w:rFonts w:ascii="Arial" w:cs="Arial" w:eastAsia="Arial" w:hAnsi="Arial"/>
          <w:sz w:val="17"/>
          <w:szCs w:val="17"/>
          <w:color w:val="000000"/>
        </w:rPr>
        <w:t>www.sec.gov</w:t>
      </w:r>
      <w:r>
        <w:rPr>
          <w:rFonts w:ascii="Arial" w:cs="Arial" w:eastAsia="Arial" w:hAnsi="Arial"/>
          <w:sz w:val="17"/>
          <w:szCs w:val="17"/>
          <w:color w:val="262626"/>
        </w:rPr>
        <w: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Third Quarter 2023 Financial Results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Mobileye Global Inc.</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6"/>
              </w:rPr>
              <w:t>Condensed Consolidated Statements of Operations (unaudited)</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6"/>
          </w:tcPr>
          <w:p>
            <w:pPr>
              <w:jc w:val="right"/>
              <w:ind w:right="681"/>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5"/>
          </w:tcPr>
          <w:p>
            <w:pPr>
              <w:jc w:val="right"/>
              <w:ind w:right="661"/>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281"/>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October 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right"/>
              <w:ind w:right="421"/>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9"/>
              </w:rPr>
              <w:t>October 1,</w:t>
            </w:r>
          </w:p>
        </w:tc>
        <w:tc>
          <w:tcPr>
            <w:tcW w:w="100" w:type="dxa"/>
            <w:vAlign w:val="bottom"/>
          </w:tcPr>
          <w:p>
            <w:pPr>
              <w:spacing w:after="0"/>
              <w:rPr>
                <w:sz w:val="16"/>
                <w:szCs w:val="16"/>
                <w:color w:val="auto"/>
              </w:rPr>
            </w:pP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U.S. dollars in millions, except share and per share amounts</w:t>
            </w:r>
          </w:p>
        </w:tc>
        <w:tc>
          <w:tcPr>
            <w:tcW w:w="12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9"/>
                <w:szCs w:val="19"/>
                <w:color w:val="auto"/>
              </w:rPr>
            </w:pP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61"/>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682</w:t>
            </w:r>
          </w:p>
        </w:tc>
      </w:tr>
      <w:tr>
        <w:trPr>
          <w:trHeight w:val="210"/>
        </w:trPr>
        <w:tc>
          <w:tcPr>
            <w:tcW w:w="5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20" w:type="dxa"/>
            <w:vAlign w:val="bottom"/>
          </w:tcPr>
          <w:p>
            <w:pPr>
              <w:spacing w:after="0"/>
              <w:rPr>
                <w:sz w:val="18"/>
                <w:szCs w:val="18"/>
                <w:color w:val="auto"/>
              </w:rPr>
            </w:pP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61"/>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565</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91</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61"/>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27</w:t>
            </w:r>
          </w:p>
        </w:tc>
      </w:tr>
      <w:tr>
        <w:trPr>
          <w:trHeight w:val="209"/>
        </w:trPr>
        <w:tc>
          <w:tcPr>
            <w:tcW w:w="5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809</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with related party</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Interest expense with related party</w:t>
            </w:r>
          </w:p>
        </w:tc>
        <w:tc>
          <w:tcPr>
            <w:tcW w:w="120" w:type="dxa"/>
            <w:vAlign w:val="bottom"/>
          </w:tcPr>
          <w:p>
            <w:pPr>
              <w:spacing w:after="0"/>
              <w:rPr>
                <w:sz w:val="18"/>
                <w:szCs w:val="18"/>
                <w:color w:val="auto"/>
              </w:rPr>
            </w:pP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income (expense), net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w:t>
            </w:r>
          </w:p>
        </w:tc>
      </w:tr>
      <w:tr>
        <w:trPr>
          <w:trHeight w:val="210"/>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Earnings (loss) per share: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(0.06)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1"/>
              <w:spacing w:after="0"/>
              <w:rPr>
                <w:sz w:val="20"/>
                <w:szCs w:val="20"/>
                <w:color w:val="auto"/>
              </w:rPr>
            </w:pPr>
            <w:r>
              <w:rPr>
                <w:rFonts w:ascii="Arial" w:cs="Arial" w:eastAsia="Arial" w:hAnsi="Arial"/>
                <w:sz w:val="18"/>
                <w:szCs w:val="18"/>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(0.15)</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 shares used in computation of</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share (in millions):</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61"/>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750</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750</w:t>
            </w:r>
          </w:p>
        </w:tc>
      </w:tr>
      <w:tr>
        <w:trPr>
          <w:trHeight w:val="675"/>
        </w:trPr>
        <w:tc>
          <w:tcPr>
            <w:tcW w:w="5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Mobileye Global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Balance sheets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U.S. dollars in millions</w:t>
            </w: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30, 2023</w:t>
            </w:r>
          </w:p>
        </w:tc>
        <w:tc>
          <w:tcPr>
            <w:tcW w:w="1720" w:type="dxa"/>
            <w:vAlign w:val="bottom"/>
            <w:gridSpan w:val="4"/>
          </w:tcPr>
          <w:p>
            <w:pPr>
              <w:ind w:left="160"/>
              <w:spacing w:after="0"/>
              <w:rPr>
                <w:sz w:val="20"/>
                <w:szCs w:val="20"/>
                <w:color w:val="auto"/>
              </w:rPr>
            </w:pPr>
            <w:r>
              <w:rPr>
                <w:rFonts w:ascii="Arial" w:cs="Arial" w:eastAsia="Arial" w:hAnsi="Arial"/>
                <w:sz w:val="18"/>
                <w:szCs w:val="18"/>
                <w:b w:val="1"/>
                <w:bCs w:val="1"/>
                <w:color w:val="auto"/>
                <w:w w:val="94"/>
              </w:rPr>
              <w:t>December 31, 2022</w:t>
            </w:r>
          </w:p>
        </w:tc>
      </w:tr>
      <w:tr>
        <w:trPr>
          <w:trHeight w:val="209"/>
        </w:trPr>
        <w:tc>
          <w:tcPr>
            <w:tcW w:w="7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1,193</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Trade accounts receivable, net</w:t>
            </w:r>
          </w:p>
        </w:tc>
        <w:tc>
          <w:tcPr>
            <w:tcW w:w="5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29"/>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0"/>
        </w:trPr>
        <w:tc>
          <w:tcPr>
            <w:tcW w:w="7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5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2,165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2,527</w:t>
            </w: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10,895</w:t>
            </w:r>
          </w:p>
        </w:tc>
      </w:tr>
      <w:tr>
        <w:trPr>
          <w:trHeight w:val="23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Other long-term assets</w:t>
            </w:r>
          </w:p>
        </w:tc>
        <w:tc>
          <w:tcPr>
            <w:tcW w:w="5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09"/>
        </w:trPr>
        <w:tc>
          <w:tcPr>
            <w:tcW w:w="7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13,597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15,505</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15,441</w:t>
            </w:r>
          </w:p>
        </w:tc>
        <w:tc>
          <w:tcPr>
            <w:tcW w:w="100" w:type="dxa"/>
            <w:vAlign w:val="bottom"/>
            <w:tcBorders>
              <w:bottom w:val="single" w:sz="8" w:color="CCEEFF"/>
            </w:tcBorders>
          </w:tcPr>
          <w:p>
            <w:pPr>
              <w:spacing w:after="0"/>
              <w:rPr>
                <w:sz w:val="22"/>
                <w:szCs w:val="22"/>
                <w:color w:val="auto"/>
              </w:rPr>
            </w:pPr>
          </w:p>
        </w:tc>
      </w:tr>
      <w:tr>
        <w:trPr>
          <w:trHeight w:val="196"/>
        </w:trPr>
        <w:tc>
          <w:tcPr>
            <w:tcW w:w="7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Employee related accrued expenses</w:t>
            </w:r>
          </w:p>
        </w:tc>
        <w:tc>
          <w:tcPr>
            <w:tcW w:w="5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Related party payable</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3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09"/>
        </w:trPr>
        <w:tc>
          <w:tcPr>
            <w:tcW w:w="7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employee benefits</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Deferred tax liabilities</w:t>
            </w:r>
          </w:p>
        </w:tc>
        <w:tc>
          <w:tcPr>
            <w:tcW w:w="5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3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0"/>
        </w:trPr>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5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tcBorders>
              <w:bottom w:val="single" w:sz="8" w:color="CCEEFF"/>
            </w:tcBorders>
          </w:tcPr>
          <w:p>
            <w:pPr>
              <w:spacing w:after="0"/>
              <w:rPr>
                <w:sz w:val="18"/>
                <w:szCs w:val="18"/>
                <w:color w:val="auto"/>
              </w:rPr>
            </w:pPr>
          </w:p>
        </w:tc>
      </w:tr>
      <w:tr>
        <w:trPr>
          <w:trHeight w:val="209"/>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100" w:type="dxa"/>
            <w:vAlign w:val="bottom"/>
            <w:shd w:val="clear" w:color="auto" w:fill="CCEEFF"/>
          </w:tcPr>
          <w:p>
            <w:pPr>
              <w:spacing w:after="0"/>
              <w:rPr>
                <w:sz w:val="18"/>
                <w:szCs w:val="18"/>
                <w:color w:val="auto"/>
              </w:rPr>
            </w:pPr>
          </w:p>
        </w:tc>
      </w:tr>
      <w:tr>
        <w:trPr>
          <w:trHeight w:val="210"/>
        </w:trPr>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EQUITY</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14,873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14,794</w:t>
            </w:r>
          </w:p>
        </w:tc>
        <w:tc>
          <w:tcPr>
            <w:tcW w:w="100" w:type="dxa"/>
            <w:vAlign w:val="bottom"/>
            <w:tcBorders>
              <w:bottom w:val="single" w:sz="8" w:color="CCEEFF"/>
            </w:tcBorders>
          </w:tcPr>
          <w:p>
            <w:pPr>
              <w:spacing w:after="0"/>
              <w:rPr>
                <w:sz w:val="18"/>
                <w:szCs w:val="18"/>
                <w:color w:val="auto"/>
              </w:rPr>
            </w:pPr>
          </w:p>
        </w:tc>
      </w:tr>
      <w:tr>
        <w:trPr>
          <w:trHeight w:val="223"/>
        </w:trPr>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15,505</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7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gridSpan w:val="7"/>
          </w:tcPr>
          <w:p>
            <w:pPr>
              <w:jc w:val="right"/>
              <w:ind w:right="98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U.S. dollars in millions</w:t>
            </w:r>
          </w:p>
        </w:tc>
        <w:tc>
          <w:tcPr>
            <w:tcW w:w="18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 2023</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October 1, 2022</w:t>
            </w:r>
          </w:p>
        </w:tc>
        <w:tc>
          <w:tcPr>
            <w:tcW w:w="100" w:type="dxa"/>
            <w:vAlign w:val="bottom"/>
            <w:gridSpan w:val="2"/>
          </w:tcPr>
          <w:p>
            <w:pPr>
              <w:spacing w:after="0"/>
              <w:rPr>
                <w:sz w:val="19"/>
                <w:szCs w:val="19"/>
                <w:color w:val="auto"/>
              </w:rPr>
            </w:pPr>
          </w:p>
        </w:tc>
      </w:tr>
      <w:tr>
        <w:trPr>
          <w:trHeight w:val="210"/>
        </w:trPr>
        <w:tc>
          <w:tcPr>
            <w:tcW w:w="7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(90)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(loss) to net cash provided by operating activities: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48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48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Exchange rate differences on cash and cash equivalents</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Dividend Note to related party, net</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Interest with related party, net</w:t>
            </w:r>
          </w:p>
        </w:tc>
        <w:tc>
          <w:tcPr>
            <w:tcW w:w="48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Decrease (increase) in trade accounts receivable</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Decrease (increase) in other current assets</w:t>
            </w:r>
          </w:p>
        </w:tc>
        <w:tc>
          <w:tcPr>
            <w:tcW w:w="48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Decrease (increase) in inventories</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Increase (decrease) in accounts payable, accrued expenses and related party payable</w:t>
            </w:r>
          </w:p>
        </w:tc>
        <w:tc>
          <w:tcPr>
            <w:tcW w:w="48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 (decrease) in employee-related accrued expenses and long term benefits</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Increase (decrease) in other current liabilities</w:t>
            </w:r>
          </w:p>
        </w:tc>
        <w:tc>
          <w:tcPr>
            <w:tcW w:w="48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Decrease (increase) in other long term assets</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r>
      <w:tr>
        <w:trPr>
          <w:trHeight w:val="229"/>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Increase (decrease) in long-term liabilities</w:t>
            </w:r>
          </w:p>
        </w:tc>
        <w:tc>
          <w:tcPr>
            <w:tcW w:w="480" w:type="dxa"/>
            <w:vAlign w:val="bottom"/>
          </w:tcPr>
          <w:p>
            <w:pPr>
              <w:spacing w:after="0"/>
              <w:rPr>
                <w:sz w:val="19"/>
                <w:szCs w:val="19"/>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78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Repayment of loan due from related party</w:t>
            </w:r>
          </w:p>
        </w:tc>
        <w:tc>
          <w:tcPr>
            <w:tcW w:w="48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r>
      <w:tr>
        <w:trPr>
          <w:trHeight w:val="23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loan to related party</w:t>
            </w:r>
          </w:p>
        </w:tc>
        <w:tc>
          <w:tcPr>
            <w:tcW w:w="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r>
      <w:tr>
        <w:trPr>
          <w:trHeight w:val="210"/>
        </w:trPr>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Net transfers from Parent</w:t>
            </w:r>
          </w:p>
        </w:tc>
        <w:tc>
          <w:tcPr>
            <w:tcW w:w="48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 paid</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r>
      <w:tr>
        <w:trPr>
          <w:trHeight w:val="21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 recharge</w:t>
            </w:r>
          </w:p>
        </w:tc>
        <w:tc>
          <w:tcPr>
            <w:tcW w:w="48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(200)</w:t>
            </w:r>
          </w:p>
        </w:tc>
      </w:tr>
      <w:tr>
        <w:trPr>
          <w:trHeight w:val="23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0"/>
        </w:trPr>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48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r>
      <w:tr>
        <w:trPr>
          <w:trHeight w:val="23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of cash, cash equivalents and restricted cash, at beginning of year</w:t>
            </w:r>
          </w:p>
        </w:tc>
        <w:tc>
          <w:tcPr>
            <w:tcW w:w="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9"/>
                <w:szCs w:val="19"/>
                <w:color w:val="auto"/>
              </w:rPr>
            </w:pP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Balance of cash, cash equivalents and restricted cash, at end of period</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8"/>
        </w:trPr>
        <w:tc>
          <w:tcPr>
            <w:tcW w:w="7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Gross Profit and Margin to Non-GAAP Adjusted Gross Profit and Margin</w:t>
      </w:r>
      <w:r>
        <w:rPr>
          <w:rFonts w:ascii="Arial" w:cs="Arial" w:eastAsia="Arial" w:hAnsi="Arial"/>
          <w:sz w:val="29"/>
          <w:szCs w:val="29"/>
          <w:color w:val="auto"/>
          <w:vertAlign w:val="superscript"/>
        </w:rPr>
        <w:t>3</w:t>
      </w:r>
      <w:r>
        <w:rPr>
          <w:rFonts w:ascii="Arial" w:cs="Arial" w:eastAsia="Arial" w:hAnsi="Arial"/>
          <w:sz w:val="18"/>
          <w:szCs w:val="18"/>
          <w:b w:val="1"/>
          <w:bCs w:val="1"/>
          <w:i w:val="1"/>
          <w:iCs w:val="1"/>
          <w:color w:val="auto"/>
        </w:rPr>
        <w:t xml:space="preserve">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Nine months Ended</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0"/>
              </w:rPr>
              <w:t>September 30, 2023</w:t>
            </w:r>
          </w:p>
        </w:tc>
        <w:tc>
          <w:tcPr>
            <w:tcW w:w="8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b w:val="1"/>
                <w:bCs w:val="1"/>
                <w:color w:val="auto"/>
              </w:rPr>
              <w:t>October 1, 2022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0"/>
              </w:rPr>
              <w:t>September 30, 2023</w:t>
            </w:r>
          </w:p>
        </w:tc>
        <w:tc>
          <w:tcPr>
            <w:tcW w:w="80" w:type="dxa"/>
            <w:vAlign w:val="bottom"/>
          </w:tcPr>
          <w:p>
            <w:pPr>
              <w:spacing w:after="0"/>
              <w:rPr>
                <w:sz w:val="19"/>
                <w:szCs w:val="19"/>
                <w:color w:val="auto"/>
              </w:rPr>
            </w:pPr>
          </w:p>
        </w:tc>
        <w:tc>
          <w:tcPr>
            <w:tcW w:w="1700" w:type="dxa"/>
            <w:vAlign w:val="bottom"/>
            <w:gridSpan w:val="3"/>
          </w:tcPr>
          <w:p>
            <w:pPr>
              <w:ind w:left="180"/>
              <w:spacing w:after="0"/>
              <w:rPr>
                <w:sz w:val="20"/>
                <w:szCs w:val="20"/>
                <w:color w:val="auto"/>
              </w:rPr>
            </w:pPr>
            <w:r>
              <w:rPr>
                <w:rFonts w:ascii="Arial" w:cs="Arial" w:eastAsia="Arial" w:hAnsi="Arial"/>
                <w:sz w:val="18"/>
                <w:szCs w:val="18"/>
                <w:b w:val="1"/>
                <w:bCs w:val="1"/>
                <w:color w:val="auto"/>
              </w:rPr>
              <w:t>October 1, 2022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rPr>
              <w:t>U.S. dollars in millions</w:t>
            </w:r>
          </w:p>
        </w:tc>
        <w:tc>
          <w:tcPr>
            <w:tcW w:w="100" w:type="dxa"/>
            <w:vAlign w:val="bottom"/>
            <w:vMerge w:val="restart"/>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 of</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 of</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 of</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Revenue</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Revenue</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Amount</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Revenue</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Revenue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4"/>
              </w:rPr>
              <w:t>48%</w:t>
            </w:r>
          </w:p>
        </w:tc>
        <w:tc>
          <w:tcPr>
            <w:tcW w:w="0" w:type="dxa"/>
            <w:vAlign w:val="bottom"/>
          </w:tcPr>
          <w:p>
            <w:pPr>
              <w:spacing w:after="0"/>
              <w:rPr>
                <w:sz w:val="1"/>
                <w:szCs w:val="1"/>
                <w:color w:val="auto"/>
              </w:rPr>
            </w:pPr>
          </w:p>
        </w:tc>
      </w:tr>
      <w:tr>
        <w:trPr>
          <w:trHeight w:val="202"/>
        </w:trPr>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w w:val="98"/>
              </w:rPr>
              <w:t>Add: Amortization of acquired intangible</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311</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w w:val="94"/>
              </w:rPr>
              <w:t>27%</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Add: Share-based compensation expense</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366</w:t>
            </w:r>
          </w:p>
        </w:tc>
        <w:tc>
          <w:tcPr>
            <w:tcW w:w="220" w:type="dxa"/>
            <w:vAlign w:val="bottom"/>
          </w:tcPr>
          <w:p>
            <w:pPr>
              <w:spacing w:after="0"/>
              <w:rPr>
                <w:sz w:val="18"/>
                <w:szCs w:val="18"/>
                <w:color w:val="auto"/>
              </w:rPr>
            </w:pPr>
          </w:p>
        </w:tc>
        <w:tc>
          <w:tcPr>
            <w:tcW w:w="78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w w:val="79"/>
              </w:rPr>
              <w:t>69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220" w:type="dxa"/>
            <w:vAlign w:val="bottom"/>
          </w:tcPr>
          <w:p>
            <w:pPr>
              <w:spacing w:after="0"/>
              <w:rPr>
                <w:sz w:val="18"/>
                <w:szCs w:val="18"/>
                <w:color w:val="auto"/>
              </w:rPr>
            </w:pP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w w:val="79"/>
              </w:rPr>
              <w:t>74</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1,016</w:t>
            </w:r>
          </w:p>
        </w:tc>
        <w:tc>
          <w:tcPr>
            <w:tcW w:w="200" w:type="dxa"/>
            <w:vAlign w:val="bottom"/>
          </w:tcPr>
          <w:p>
            <w:pPr>
              <w:spacing w:after="0"/>
              <w:rPr>
                <w:sz w:val="18"/>
                <w:szCs w:val="18"/>
                <w:color w:val="auto"/>
              </w:rPr>
            </w:pPr>
          </w:p>
        </w:tc>
        <w:tc>
          <w:tcPr>
            <w:tcW w:w="78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w w:val="79"/>
              </w:rPr>
              <w:t>70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977</w:t>
            </w:r>
          </w:p>
        </w:tc>
        <w:tc>
          <w:tcPr>
            <w:tcW w:w="220" w:type="dxa"/>
            <w:vAlign w:val="bottom"/>
          </w:tcPr>
          <w:p>
            <w:pPr>
              <w:spacing w:after="0"/>
              <w:rPr>
                <w:sz w:val="18"/>
                <w:szCs w:val="18"/>
                <w:color w:val="auto"/>
              </w:rPr>
            </w:pPr>
          </w:p>
        </w:tc>
        <w:tc>
          <w:tcPr>
            <w:tcW w:w="80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w w:val="79"/>
              </w:rPr>
              <w:t>75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Adjusted gross margin is calculated as adjusted gross profit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Operating Income (loss) and Margin to Non-GAAP Adjusted Operating Income and Margin</w:t>
      </w:r>
      <w:r>
        <w:rPr>
          <w:rFonts w:ascii="Arial" w:cs="Arial" w:eastAsia="Arial" w:hAnsi="Arial"/>
          <w:sz w:val="29"/>
          <w:szCs w:val="29"/>
          <w:color w:val="101820"/>
          <w:vertAlign w:val="superscript"/>
        </w:rPr>
        <w:t>4</w:t>
      </w:r>
      <w:r>
        <w:rPr>
          <w:rFonts w:ascii="Arial" w:cs="Arial" w:eastAsia="Arial" w:hAnsi="Arial"/>
          <w:sz w:val="18"/>
          <w:szCs w:val="18"/>
          <w:b w:val="1"/>
          <w:bCs w:val="1"/>
          <w:i w:val="1"/>
          <w:iCs w:val="1"/>
          <w:color w:val="auto"/>
        </w:rPr>
        <w:t xml:space="preserve">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w w:val="96"/>
              </w:rPr>
              <w:t>Three Months Ended</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Nine months Ended</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0"/>
              </w:rPr>
              <w:t>September 30, 2023</w:t>
            </w:r>
          </w:p>
        </w:tc>
        <w:tc>
          <w:tcPr>
            <w:tcW w:w="80" w:type="dxa"/>
            <w:vAlign w:val="bottom"/>
          </w:tcPr>
          <w:p>
            <w:pPr>
              <w:spacing w:after="0"/>
              <w:rPr>
                <w:sz w:val="19"/>
                <w:szCs w:val="19"/>
                <w:color w:val="auto"/>
              </w:rPr>
            </w:pPr>
          </w:p>
        </w:tc>
        <w:tc>
          <w:tcPr>
            <w:tcW w:w="16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October 1, 2022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0"/>
              </w:rPr>
              <w:t>September 30, 2023</w:t>
            </w:r>
          </w:p>
        </w:tc>
        <w:tc>
          <w:tcPr>
            <w:tcW w:w="100" w:type="dxa"/>
            <w:vAlign w:val="bottom"/>
          </w:tcPr>
          <w:p>
            <w:pPr>
              <w:spacing w:after="0"/>
              <w:rPr>
                <w:sz w:val="19"/>
                <w:szCs w:val="19"/>
                <w:color w:val="auto"/>
              </w:rPr>
            </w:pPr>
          </w:p>
        </w:tc>
        <w:tc>
          <w:tcPr>
            <w:tcW w:w="16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October 1, 2022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U.S. dollars in millions</w:t>
            </w:r>
          </w:p>
        </w:tc>
        <w:tc>
          <w:tcPr>
            <w:tcW w:w="100" w:type="dxa"/>
            <w:vAlign w:val="bottom"/>
            <w:vMerge w:val="restart"/>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 of</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Revenue</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Revenue</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Revenue</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Revenue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Add: Amortization of acquired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Add: Share-based compensation</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060" w:type="dxa"/>
            <w:vAlign w:val="bottom"/>
            <w:gridSpan w:val="2"/>
          </w:tcPr>
          <w:p>
            <w:pPr>
              <w:spacing w:after="0"/>
              <w:rPr>
                <w:sz w:val="20"/>
                <w:szCs w:val="20"/>
                <w:color w:val="auto"/>
              </w:rPr>
            </w:pPr>
            <w:r>
              <w:rPr>
                <w:rFonts w:ascii="Arial" w:cs="Arial" w:eastAsia="Arial" w:hAnsi="Arial"/>
                <w:sz w:val="18"/>
                <w:szCs w:val="18"/>
                <w:color w:val="auto"/>
              </w:rPr>
              <w:t>Add: Expenses related to the IPO</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2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2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9"/>
          <w:szCs w:val="29"/>
          <w:color w:val="101820"/>
          <w:vertAlign w:val="superscript"/>
        </w:rPr>
        <w:t>4</w:t>
      </w:r>
      <w:r>
        <w:rPr>
          <w:rFonts w:ascii="Arial" w:cs="Arial" w:eastAsia="Arial" w:hAnsi="Arial"/>
          <w:sz w:val="18"/>
          <w:szCs w:val="18"/>
          <w:color w:val="auto"/>
        </w:rPr>
        <w:t>Adjusted operating margin is calculated as adjusted operating income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Net Income (loss) to Non-GAAP Adjusted Net Income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8"/>
                <w:szCs w:val="18"/>
                <w:b w:val="1"/>
                <w:bCs w:val="1"/>
                <w:color w:val="auto"/>
                <w:w w:val="90"/>
              </w:rPr>
              <w:t>Three Months Ended</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8"/>
                <w:szCs w:val="18"/>
                <w:b w:val="1"/>
                <w:bCs w:val="1"/>
                <w:color w:val="auto"/>
                <w:w w:val="98"/>
              </w:rPr>
              <w:t>Nine months Ended</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w w:val="90"/>
              </w:rPr>
              <w:t>September 30, 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October 1, 2022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9"/>
          </w:tcPr>
          <w:p>
            <w:pPr>
              <w:jc w:val="right"/>
              <w:ind w:right="350"/>
              <w:spacing w:after="0"/>
              <w:rPr>
                <w:sz w:val="20"/>
                <w:szCs w:val="20"/>
                <w:color w:val="auto"/>
              </w:rPr>
            </w:pPr>
            <w:r>
              <w:rPr>
                <w:rFonts w:ascii="Arial" w:cs="Arial" w:eastAsia="Arial" w:hAnsi="Arial"/>
                <w:sz w:val="18"/>
                <w:szCs w:val="18"/>
                <w:b w:val="1"/>
                <w:bCs w:val="1"/>
                <w:color w:val="auto"/>
                <w:w w:val="90"/>
              </w:rPr>
              <w:t>September 30, 2023</w:t>
            </w:r>
          </w:p>
        </w:tc>
        <w:tc>
          <w:tcPr>
            <w:tcW w:w="100" w:type="dxa"/>
            <w:vAlign w:val="bottom"/>
          </w:tcPr>
          <w:p>
            <w:pPr>
              <w:spacing w:after="0"/>
              <w:rPr>
                <w:sz w:val="19"/>
                <w:szCs w:val="19"/>
                <w:color w:val="auto"/>
              </w:rPr>
            </w:pPr>
          </w:p>
        </w:tc>
        <w:tc>
          <w:tcPr>
            <w:tcW w:w="1660" w:type="dxa"/>
            <w:vAlign w:val="bottom"/>
            <w:gridSpan w:val="5"/>
          </w:tcPr>
          <w:p>
            <w:pPr>
              <w:ind w:left="180"/>
              <w:spacing w:after="0"/>
              <w:rPr>
                <w:sz w:val="20"/>
                <w:szCs w:val="20"/>
                <w:color w:val="auto"/>
              </w:rPr>
            </w:pPr>
            <w:r>
              <w:rPr>
                <w:rFonts w:ascii="Arial" w:cs="Arial" w:eastAsia="Arial" w:hAnsi="Arial"/>
                <w:sz w:val="18"/>
                <w:szCs w:val="18"/>
                <w:b w:val="1"/>
                <w:bCs w:val="1"/>
                <w:color w:val="auto"/>
              </w:rPr>
              <w:t>October 1, 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U.S. dollars in millions</w:t>
            </w:r>
          </w:p>
        </w:tc>
        <w:tc>
          <w:tcPr>
            <w:tcW w:w="120" w:type="dxa"/>
            <w:vAlign w:val="bottom"/>
            <w:vMerge w:val="restart"/>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9"/>
              </w:rPr>
              <w:t>% of</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 of</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Revenue</w:t>
            </w:r>
          </w:p>
        </w:tc>
        <w:tc>
          <w:tcPr>
            <w:tcW w:w="22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Revenue</w:t>
            </w:r>
          </w:p>
        </w:tc>
        <w:tc>
          <w:tcPr>
            <w:tcW w:w="32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0"/>
              </w:rPr>
              <w:t>Amount</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Revenue</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0"/>
              </w:rPr>
              <w:t>Amount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Revenue</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rPr>
              <w:t>Add: Amortization of acquired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3"/>
          </w:tcPr>
          <w:p>
            <w:pPr>
              <w:jc w:val="right"/>
              <w:ind w:right="70"/>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Add: Share-based compensation</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4"/>
              </w:rPr>
              <w:t>13%</w:t>
            </w: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w w:val="97"/>
              </w:rPr>
              <w:t>Add: Expenses related to the Mobileye</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IPO</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3"/>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Income tax effects</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30</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426"/>
        </w:trPr>
        <w:tc>
          <w:tcPr>
            <w:tcW w:w="5000" w:type="dxa"/>
            <w:vAlign w:val="bottom"/>
            <w:gridSpan w:val="9"/>
          </w:tcPr>
          <w:p>
            <w:pPr>
              <w:spacing w:after="0"/>
              <w:rPr>
                <w:sz w:val="20"/>
                <w:szCs w:val="20"/>
                <w:color w:val="auto"/>
              </w:rPr>
            </w:pPr>
            <w:r>
              <w:rPr>
                <w:rFonts w:ascii="Arial" w:cs="Arial" w:eastAsia="Arial" w:hAnsi="Arial"/>
                <w:sz w:val="18"/>
                <w:szCs w:val="18"/>
                <w:b w:val="1"/>
                <w:bCs w:val="1"/>
                <w:i w:val="1"/>
                <w:iCs w:val="1"/>
                <w:color w:val="auto"/>
                <w:w w:val="93"/>
              </w:rPr>
              <w:t>Supplemental Information - Average System Price (unaudited)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Q3 2022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Q4 2022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Q1 2023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Q2 2023</w:t>
            </w:r>
          </w:p>
        </w:tc>
        <w:tc>
          <w:tcPr>
            <w:tcW w:w="12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Q3 2023</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1"/>
              </w:rPr>
              <w:t>EyeQ and SuperVision revenue (U.S. dollars in millions)</w:t>
            </w:r>
          </w:p>
        </w:tc>
        <w:tc>
          <w:tcPr>
            <w:tcW w:w="7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430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w w:val="94"/>
              </w:rPr>
              <w:t>Number of systems shipped (in millions)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system price (U.S. dollars)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101820"/>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Dan Galves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investors@mobileye.com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Justin Hyde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2023-10-26T05:50:05Z</dcterms:created>
  <dcterms:modified xsi:type="dcterms:W3CDTF">2023-10-26T05:50:05Z</dcterms:modified>
</cp:coreProperties>
</file>