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Bombach Patrick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 SHLOMO</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MOMO HALEVI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12,250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Jesse Infeld, Sandra Manor Richter, Tali Har Oz, Ayelet Melissa Mael and Rinat Kriheli of Mobileye Global Inc. (the “Company”), signing individually, the undersigned’s true and lawful attorneys-in-fact and agents to:</w:t>
      </w:r>
    </w:p>
    <w:p>
      <w:pPr>
        <w:spacing w:after="0" w:line="196" w:lineRule="exact"/>
        <w:rPr>
          <w:sz w:val="20"/>
          <w:szCs w:val="20"/>
          <w:color w:val="auto"/>
        </w:rPr>
      </w:pPr>
    </w:p>
    <w:p>
      <w:pPr>
        <w:ind w:right="16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ind w:right="140" w:firstLine="720"/>
        <w:spacing w:after="0" w:line="26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ind w:right="10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29, 2025</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Patrick Bombach</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581660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6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3933"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2025-02-04T15:49:55Z</dcterms:created>
  <dcterms:modified xsi:type="dcterms:W3CDTF">2025-02-04T15:49:55Z</dcterms:modified>
</cp:coreProperties>
</file>