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 Hotzvim, 13 Hartom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Jerusalem 9777513, Israel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Mobileye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0001910139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Heller: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submitted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identify Intel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Corp. as the affiliate that will hold the Dividend Note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 will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proceeds from this offering.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repaying with some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Summary, page 1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4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Given that you are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holding company, please include an organizational chart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depicting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company after the reorganization.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ownership structure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Anat Heller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80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LastNameAnat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Mobileye Holdings  Inc. Heller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4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NameMobileye Holdings Inc.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48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7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29,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with Intel, page 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directors who will serve as both directors of the company and in senior</w:t>
      </w:r>
    </w:p>
    <w:p>
      <w:pPr>
        <w:ind w:right="6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roles at Intel. The Offering, page 12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number of common shares to be outstanding immediately after this offering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excludes shares of Class A common stock issuable upon vesting of restricted stock awards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issued under your equity incentive plan in connection with the completion of the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offering. Please clarify why these shares are excluded. For example, disclose if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relate to grants already made that have not yet satisfied the time based vesting criteria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the new Mobileye plan to be established in connection with the IPO. If you will issue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restricted stock awards in connection with the IPO, please revise to disclose the number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to be granted, an estimate of the expected expense and provide disclosure of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grants in your subsequent events footnote, if applicable, pursuant to ASC 855-10-50-2.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Historical Combined Financial and Other Data, page 15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presentation of pro forma balance sheet information to reflect the Dividend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 and the issuance of the Dividend Note. Please tell us how you considered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need to present pro forma information for other actions to be taken in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reorganization. For example, the Dividend Note appears to be interest bearing and you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you will legally purchase the equity interests of Moovit from Intel and enter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an asset purchase agreement with Intel.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you have included disclosure of earnings per share. In this regard, we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 have not presented net loss per share in your audited financial statements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you did not operate as a separate legal entity with your own capital structure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periods presented therein. If you intend to present a pro forma measure of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per share, please revise to label this as pro forma and provide footnotes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explaining the purpose of the pro forma presentation. If there is more than one item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included, please reconcile the numerator and denominator of your earnings per share</w:t>
      </w:r>
    </w:p>
    <w:p>
      <w:pPr>
        <w:ind w:right="32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measure. Refer to Article 11-02(a)(1) of Regulation S-X. Risk Factors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depend on STMicroelectronics to manufacture..., page 18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this risk factor to discuss the uncertainties and challenges relating to your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reliance on Intel for the fabrication of silicon-photonics used in your FMCW LiDAR.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material terms of any agreements with Intel regarding the fabrication,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termination provisions. File the manufacturing agreements with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STMicroelectronics, Quanta Computer Incorporated, and Intel as exhibits. See Item</w:t>
      </w:r>
    </w:p>
    <w:p>
      <w:pPr>
        <w:ind w:left="120" w:right="62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 of Regulation S-K Anat Heller</w:t>
      </w:r>
    </w:p>
    <w:p>
      <w:pPr>
        <w:ind w:right="69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LastNameAnat Mobileye Holdings Inc. Heller 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2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NameMobileye Holdings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March3 29,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depend on a limited number of Tier 1 customers..., page 22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largest Tier 1 customers that accounted for 35%, 19%, and 17% of your revenue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2021, please identify the customers, summarize the material terms of your material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these customers, and tell us what consideration you have given to filing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material agreements you have with these customers. 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57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 w:hanging="952"/>
        <w:spacing w:after="0" w:line="289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disclose that you believe your non-GAAP measures may be helpful to investors because they allow for greater transparency with respect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metrics used by</w:t>
      </w:r>
    </w:p>
    <w:p>
      <w:pPr>
        <w:ind w:right="20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in operating your business. Please revise your disclosure to more fully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your non-GAAP measures allow for transparency and why that is useful to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investors. Also, revise to identify and disclose the key metrics used by management,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those referenced in this disclosure. Refer to SEC Release No. 33-10751.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exclude amortization of your acquisition-related intangible assets as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believe such adjustment facilitates a useful evaluation of your current operating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performance, a comparison to your past operating performance and provides investors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additional means to evaluate cost and expense trends. Please further revise to clarify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while you are excluding the amortization expense related to acquired intangible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assets, your non-GAAP measures include revenue generated, in part, by such intangible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assets. Also, revise to further explain why presenting non-GAAP measures of gross profit</w:t>
      </w:r>
    </w:p>
    <w:p>
      <w:pPr>
        <w:ind w:right="32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margins excluding such costs is useful to investors. Adjusted Net Income, page 59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us, and revise to clearly explain, how you determine the income tax effects for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measure of adjusted net income. Refer to Question 102.11 of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</w:t>
      </w:r>
    </w:p>
    <w:p>
      <w:pPr>
        <w:ind w:right="47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Interpretations. Results of Operations, page 64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results of operations, you attribute a portion of the change in various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expenses to increases in headcount. Please revise to quantify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comparative headcount information to support the fluctuations in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impacted</w:t>
      </w:r>
    </w:p>
    <w:p>
      <w:pPr>
        <w:ind w:right="4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expenses. Refer to Item 303(b) of Regulation S-K. Critical Accounting Policies and Estimates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Goodwill, page 70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which reporting unit you performed a quantitative impairment test for during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2021 and the amount of goodwill allocated to such unit. Also, revise here to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whether your reporting unit is at risk of failing the quantitative impairment test or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fair value of your reporting unit is substantially in excess of carrying value and is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 March 29,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at risk of failing. If your reporting unit is at risk of failing, you should disclose: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percentage by which fair value exceeded carrying value at the date of the most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test;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goodwill allocated to the reporting unit;</w:t>
      </w: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more detailed description of the methods and key assumptions used and how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assumptions were determined;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discussion of the degree of uncertainty associated with the assumptions;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description of potential events and/or changes in circumstances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could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reasonably be expected to negatively affect the key assumptions.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End-to-End ADAS and AV Solutions, page 82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us, and revise to disclose if material, the percentage of revenue derived from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your commercially deployed solutions. Refer to Item 101(c)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and Ratings, page 97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patchwork of U.S. state restrictions on autonomous vehicles increases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legal complexity of deploying your solutions. If material, please discuss the short and</w:t>
      </w:r>
    </w:p>
    <w:p>
      <w:pPr>
        <w:ind w:right="19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long term plans you have made, if any, to navigate these restrictions and the extent to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285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failure to liberalize current regulations would have a significant impact on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demand for your solutions.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Transactions, page 107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you have an agreement with Intel regarding the composition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board of directors, aside from Intel's control of a majority of voting power. Also,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material terms of the Stockholders Agreement between the company and Intel</w:t>
      </w:r>
    </w:p>
    <w:p>
      <w:pPr>
        <w:ind w:right="5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intend to file as an exhibit. Combined Financial Statements</w:t>
      </w:r>
    </w:p>
    <w:p>
      <w:pPr>
        <w:jc w:val="both"/>
        <w:ind w:right="601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2. Significant Accounting Policies Concentration of credit risk, page F-16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three customers comprise 35%, 19% and 17% of your revenue. Please tell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LastNameAnat Heller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whether you have similar concentrations present in your accounts receivable balance. If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NameMobileye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so, revise to include Holdings Inc.of concentration of credit risk separately for</w:t>
      </w: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discussion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each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customer</w:t>
      </w:r>
    </w:p>
    <w:p>
      <w:pPr>
        <w:ind w:left="740"/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29, 2022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4pursuant to ASC 275-10-50-18(a).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2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78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Mobileye Holdings  Inc. Heller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NameMobileye Holdings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2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</w:t>
            </w:r>
          </w:p>
        </w:tc>
        <w:tc>
          <w:tcPr>
            <w:tcW w:w="27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March5 29,</w:t>
            </w:r>
          </w:p>
        </w:tc>
        <w:tc>
          <w:tcPr>
            <w:tcW w:w="27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17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supplemental copies of all written communications, as defined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presented or expect to present to potential investors in reliance on Section 5(d) of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whether or not you retained, or intend to retain, copies of those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Rebekah Lindsey, Staff Accountant, at (202) 551-3303 or Kathleen Collins, Accounting Branch Chief, at (202) 551-3499 if you have questions regarding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Lauren Pierce, Staff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551-3887 or Jan Woo, Legal Branch Chief, at (202) 551-3453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 Michelle Gasaway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14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16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18"/>
    </w:lvl>
  </w:abstractNum>
  <w:abstractNum w:abstractNumId="7">
    <w:nsid w:val="7545E14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2022-11-28T23:13:03Z</dcterms:created>
  <dcterms:modified xsi:type="dcterms:W3CDTF">2022-11-28T23:13:03Z</dcterms:modified>
</cp:coreProperties>
</file>