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bly-20230930x10q.htm"/>
        <w:bookmarkStart w:id="1" w:name="ksmbly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both"/>
        <w:rPr/>
      </w:pPr>
      <w:r>
        <w:rPr/>
        <w:t>​</w:t>
      </w:r>
    </w:p>
    <w:p>
      <w:pPr>
        <w:pStyle w:val="TextBody"/>
        <w:bidi w:val="0"/>
        <w:spacing w:before="0" w:after="60"/>
        <w:ind w:left="0" w:right="0" w:hanging="0"/>
        <w:jc w:val="center"/>
        <w:rPr>
          <w:rFonts w:ascii="Times New Roman;Times;serif" w:hAnsi="Times New Roman;Times;serif"/>
          <w:b/>
          <w:sz w:val="32"/>
        </w:rPr>
      </w:pPr>
      <w:bookmarkStart w:id="2" w:name="_0e5ace10_0990_4a1c_bfeb_d5030ff1522e"/>
      <w:bookmarkEnd w:id="2"/>
      <w:r>
        <w:rPr>
          <w:rFonts w:ascii="Times New Roman;Times;serif" w:hAnsi="Times New Roman;Times;serif"/>
          <w:b/>
          <w:sz w:val="32"/>
        </w:rPr>
        <w:t>UNITED STATES SECURITIES AND EXCHANGE COMMISSION</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Commission file number 001-41541</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Mobileye Global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_O749OV3MUaoHXyY_6RM5g_3_2"/>
      <w:bookmarkStart w:id="4" w:name="Tc_xanFX3YaQUSy5dBVHHVmBw_3_0"/>
      <w:bookmarkStart w:id="5" w:name="Tc_DJVjKel9fE2WyDDod_Zhxw_2_2"/>
      <w:bookmarkStart w:id="6" w:name="Tc_xKlGj43wPkOCa8MjFaIpVA_2_0"/>
      <w:bookmarkStart w:id="7" w:name="Tc_qBoNEBbjs0W23bHvJtV-yQ_1_2"/>
      <w:bookmarkStart w:id="8" w:name="Tc_vAX77WzhxE2KMY_N-IiZ_A_1_0"/>
      <w:bookmarkStart w:id="9" w:name="_2ba46547_6385_420a_bba6_576e9f27ef27"/>
      <w:bookmarkStart w:id="10" w:name="Tc__O749OV3MUaoHXyY_6RM5g_3_2"/>
      <w:bookmarkStart w:id="11" w:name="Tc_xanFX3YaQUSy5dBVHHVmBw_3_0"/>
      <w:bookmarkStart w:id="12" w:name="Tc_DJVjKel9fE2WyDDod_Zhxw_2_2"/>
      <w:bookmarkStart w:id="13" w:name="Tc_xKlGj43wPkOCa8MjFaIpVA_2_0"/>
      <w:bookmarkStart w:id="14" w:name="Tc_qBoNEBbjs0W23bHvJtV-yQ_1_2"/>
      <w:bookmarkStart w:id="15" w:name="Tc_vAX77WzhxE2KMY_N-IiZ_A_1_0"/>
      <w:bookmarkStart w:id="16" w:name="_2ba46547_6385_420a_bba6_576e9f27ef27"/>
      <w:bookmarkEnd w:id="10"/>
      <w:bookmarkEnd w:id="11"/>
      <w:bookmarkEnd w:id="12"/>
      <w:bookmarkEnd w:id="13"/>
      <w:bookmarkEnd w:id="14"/>
      <w:bookmarkEnd w:id="15"/>
      <w:bookmarkEnd w:id="16"/>
    </w:p>
    <w:tbl>
      <w:tblPr>
        <w:tblW w:w="9748" w:type="dxa"/>
        <w:jc w:val="left"/>
        <w:tblInd w:w="0" w:type="dxa"/>
        <w:tblLayout w:type="fixed"/>
        <w:tblCellMar>
          <w:top w:w="0" w:type="dxa"/>
          <w:left w:w="0" w:type="dxa"/>
          <w:bottom w:w="0" w:type="dxa"/>
          <w:right w:w="0" w:type="dxa"/>
        </w:tblCellMar>
      </w:tblPr>
      <w:tblGrid>
        <w:gridCol w:w="4966"/>
        <w:gridCol w:w="326"/>
        <w:gridCol w:w="4456"/>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44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88-0666433</w:t>
            </w:r>
          </w:p>
        </w:tc>
      </w:tr>
      <w:tr>
        <w:trPr/>
        <w:tc>
          <w:tcPr>
            <w:tcW w:w="49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966" w:type="dxa"/>
            <w:tcBorders/>
            <w:vAlign w:val="center"/>
          </w:tcPr>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c/o Mobileye B.V.</w:t>
            </w:r>
          </w:p>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Har Hotzvim, 13 Hartom Street</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 Box 45157 Jerusalem 9777513, Israel</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+972-2-541-7333</w:t>
            </w:r>
          </w:p>
        </w:tc>
      </w:tr>
      <w:tr>
        <w:trPr/>
        <w:tc>
          <w:tcPr>
            <w:tcW w:w="496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tc>
        <w:tc>
          <w:tcPr>
            <w:tcW w:w="32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hQp22VPvT0KRpU01keIaUg_0_4"/>
      <w:bookmarkStart w:id="18" w:name="Tc_T7-JdTls-0uhoZVu9J9_oQ_0_2"/>
      <w:bookmarkStart w:id="19" w:name="Tc_3jK_NyaCZE-kp4RDov848Q_0_0"/>
      <w:bookmarkStart w:id="20" w:name="_e53b84ab_02a2_412c_84fb_b5311e08afdb"/>
      <w:bookmarkStart w:id="21" w:name="Tc_hQp22VPvT0KRpU01keIaUg_0_4"/>
      <w:bookmarkStart w:id="22" w:name="Tc_T7-JdTls-0uhoZVu9J9_oQ_0_2"/>
      <w:bookmarkStart w:id="23" w:name="Tc_3jK_NyaCZE-kp4RDov848Q_0_0"/>
      <w:bookmarkStart w:id="24" w:name="_e53b84ab_02a2_412c_84fb_b5311e08afdb"/>
      <w:bookmarkEnd w:id="21"/>
      <w:bookmarkEnd w:id="22"/>
      <w:bookmarkEnd w:id="23"/>
      <w:bookmarkEnd w:id="24"/>
    </w:p>
    <w:tbl>
      <w:tblPr>
        <w:tblW w:w="9490" w:type="dxa"/>
        <w:jc w:val="left"/>
        <w:tblInd w:w="0" w:type="dxa"/>
        <w:tblLayout w:type="fixed"/>
        <w:tblCellMar>
          <w:top w:w="0" w:type="dxa"/>
          <w:left w:w="0" w:type="dxa"/>
          <w:bottom w:w="0" w:type="dxa"/>
          <w:right w:w="0" w:type="dxa"/>
        </w:tblCellMar>
      </w:tblPr>
      <w:tblGrid>
        <w:gridCol w:w="3316"/>
        <w:gridCol w:w="326"/>
        <w:gridCol w:w="1501"/>
        <w:gridCol w:w="326"/>
        <w:gridCol w:w="4021"/>
      </w:tblGrid>
      <w:tr>
        <w:trPr/>
        <w:tc>
          <w:tcPr>
            <w:tcW w:w="33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vAlign w:val="center"/>
          </w:tcPr>
          <w:p>
            <w:pPr>
              <w:pStyle w:val="TableContents"/>
              <w:bidi w:val="0"/>
              <w:spacing w:before="0" w:after="0"/>
              <w:ind w:left="0" w:right="0" w:hanging="0"/>
              <w:jc w:val="left"/>
              <w:rPr/>
            </w:pPr>
            <w:r>
              <w:rPr/>
              <w:t>    </w:t>
            </w:r>
          </w:p>
        </w:tc>
        <w:tc>
          <w:tcPr>
            <w:tcW w:w="40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31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$0.01</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MBLY</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right"/>
        <w:rPr>
          <w:rFonts w:ascii="Times New Roman;Times;serif" w:hAnsi="Times New Roman;Times;serif"/>
          <w:sz w:val="20"/>
        </w:rPr>
      </w:pPr>
      <w:r>
        <w:rPr>
          <w:rFonts w:ascii="Times New Roman;Times;serif" w:hAnsi="Times New Roman;Times;serif"/>
          <w:sz w:val="20"/>
        </w:rPr>
        <w:t>Yes ☒ No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58" w:type="dxa"/>
        <w:jc w:val="left"/>
        <w:tblInd w:w="0" w:type="dxa"/>
        <w:tblLayout w:type="fixed"/>
        <w:tblCellMar>
          <w:top w:w="0" w:type="dxa"/>
          <w:left w:w="0" w:type="dxa"/>
          <w:bottom w:w="0" w:type="dxa"/>
          <w:right w:w="0" w:type="dxa"/>
        </w:tblCellMar>
      </w:tblPr>
      <w:tblGrid>
        <w:gridCol w:w="2551"/>
        <w:gridCol w:w="326"/>
        <w:gridCol w:w="2581"/>
      </w:tblGrid>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Large accelerated filer ☐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Non-accelerated filer ☒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80"/>
        <w:ind w:left="0" w:right="533"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before="0" w:after="80"/>
        <w:ind w:left="0" w:right="0" w:hanging="0"/>
        <w:jc w:val="right"/>
        <w:rPr>
          <w:rFonts w:ascii="Times New Roman;Times;serif" w:hAnsi="Times New Roman;Times;serif"/>
          <w:sz w:val="20"/>
        </w:rPr>
      </w:pPr>
      <w:r>
        <w:rPr>
          <w:rFonts w:ascii="Times New Roman;Times;serif" w:hAnsi="Times New Roman;Times;serif"/>
          <w:sz w:val="20"/>
        </w:rPr>
        <w:t>Yes ☐ No ☒</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20"/>
        </w:rPr>
        <w:t>There were</w:t>
      </w:r>
      <w:r>
        <w:rPr>
          <w:rFonts w:ascii="Times New Roman;Times;serif" w:hAnsi="Times New Roman;Times;serif"/>
          <w:sz w:val="18"/>
        </w:rPr>
        <w:t xml:space="preserve"> </w:t>
      </w:r>
      <w:r>
        <w:rPr>
          <w:rFonts w:ascii="Times New Roman;Times;serif" w:hAnsi="Times New Roman;Times;serif"/>
          <w:sz w:val="20"/>
        </w:rPr>
        <w:t>94,647,954</w:t>
      </w:r>
      <w:r>
        <w:rPr>
          <w:rFonts w:ascii="Times New Roman;Times;serif" w:hAnsi="Times New Roman;Times;serif"/>
          <w:sz w:val="18"/>
        </w:rPr>
        <w:t xml:space="preserve"> </w:t>
      </w:r>
      <w:r>
        <w:rPr>
          <w:rFonts w:ascii="Times New Roman;Times;serif" w:hAnsi="Times New Roman;Times;serif"/>
          <w:sz w:val="20"/>
        </w:rPr>
        <w:t>shares</w:t>
      </w:r>
      <w:r>
        <w:rPr>
          <w:rFonts w:ascii="Times New Roman;Times;serif" w:hAnsi="Times New Roman;Times;serif"/>
          <w:sz w:val="18"/>
        </w:rPr>
        <w:t xml:space="preserve"> </w:t>
      </w:r>
      <w:r>
        <w:rPr>
          <w:rFonts w:ascii="Times New Roman;Times;serif" w:hAnsi="Times New Roman;Times;serif"/>
          <w:sz w:val="20"/>
        </w:rPr>
        <w:t>of Class A common stock, $0.01 par value, outstanding at November 2, 2023</w:t>
      </w:r>
      <w:r>
        <w:rPr>
          <w:rFonts w:ascii="Times New Roman;Times;serif" w:hAnsi="Times New Roman;Times;serif"/>
          <w:sz w:val="18"/>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8206d506_75cc_4a15_a6fa_87083bcce6ba"/>
      <w:bookmarkEnd w:id="25"/>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24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tbl>
      <w:tblPr>
        <w:tblW w:w="8763" w:type="dxa"/>
        <w:jc w:val="left"/>
        <w:tblInd w:w="0" w:type="dxa"/>
        <w:tblLayout w:type="fixed"/>
        <w:tblCellMar>
          <w:top w:w="0" w:type="dxa"/>
          <w:left w:w="0" w:type="dxa"/>
          <w:bottom w:w="0" w:type="dxa"/>
          <w:right w:w="0" w:type="dxa"/>
        </w:tblCellMar>
      </w:tblPr>
      <w:tblGrid>
        <w:gridCol w:w="811"/>
        <w:gridCol w:w="7366"/>
        <w:gridCol w:w="586"/>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w:t>
            </w:r>
          </w:p>
        </w:tc>
      </w:tr>
      <w:tr>
        <w:trPr/>
        <w:tc>
          <w:tcPr>
            <w:tcW w:w="811"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FINANCIAL INFORMATION</w:t>
              </w:r>
            </w:hyperlink>
          </w:p>
        </w:tc>
        <w:tc>
          <w:tcPr>
            <w:tcW w:w="586"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 (Unaudited)</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MBINEDBALANCESHEETS_521489">
              <w:r>
                <w:rPr>
                  <w:rStyle w:val="InternetLink"/>
                  <w:rFonts w:ascii="Times New Roman;Times;serif" w:hAnsi="Times New Roman;Times;serif"/>
                  <w:b w:val="false"/>
                  <w:i w:val="false"/>
                  <w:caps w:val="false"/>
                  <w:smallCaps w:val="false"/>
                  <w:sz w:val="20"/>
                </w:rPr>
                <w:t>Condensed Consolidated Balance Sheets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OPERATIONS_20748">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HANGESINEQUITY_373450">
              <w:r>
                <w:rPr>
                  <w:rStyle w:val="InternetLink"/>
                  <w:rFonts w:ascii="Times New Roman;Times;serif" w:hAnsi="Times New Roman;Times;serif"/>
                  <w:b w:val="false"/>
                  <w:i w:val="false"/>
                  <w:caps w:val="false"/>
                  <w:smallCaps w:val="false"/>
                  <w:sz w:val="20"/>
                </w:rPr>
                <w:t>Condensed Consolidated Statements of Changes in Equity</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_425786">
              <w:r>
                <w:rPr>
                  <w:rStyle w:val="InternetLink"/>
                  <w:rFonts w:ascii="Times New Roman;Times;serif" w:hAnsi="Times New Roman;Times;serif"/>
                  <w:b w:val="false"/>
                  <w:i w:val="false"/>
                  <w:caps w:val="false"/>
                  <w:smallCaps w:val="false"/>
                  <w:sz w:val="20"/>
                </w:rPr>
                <w:t>Condensed Consolidated Statements of Cash Flows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1GENERAL_726633">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Controls and Procedures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Legal Proceedings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Risk Factors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Defaults Upon Senior Securities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Mine Safety Disclosures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Exhibits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_811601">
              <w:r>
                <w:rPr>
                  <w:rStyle w:val="InternetLink"/>
                  <w:rFonts w:ascii="Times New Roman;Times;serif" w:hAnsi="Times New Roman;Times;serif"/>
                  <w:b w:val="false"/>
                  <w:i w:val="false"/>
                  <w:caps w:val="false"/>
                  <w:smallCaps w:val="false"/>
                  <w:sz w:val="20"/>
                </w:rPr>
                <w:t>Signatures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bookmarkStart w:id="27" w:name="_2fa50524_e145_44f5_a219_a0be97634627"/>
      <w:bookmarkEnd w:id="27"/>
      <w:r>
        <w:rPr>
          <w:rFonts w:ascii="Times New Roman;Times;serif" w:hAnsi="Times New Roman;Times;serif"/>
          <w:b/>
          <w:sz w:val="20"/>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We have a 52 or 53-week fiscal year that ends on the last Saturday in December. Fiscal year 2022 was a 53-week fiscal year; fiscal year 2023 is a 52-week fiscal year. The additional week in fiscal year 2022 was added in the first quarter, which consisted of 14 weeks.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Part1FINANCIALINFORMATION_877193"/>
      <w:bookmarkStart w:id="29" w:name="_8f7db5ba_c12e_423c_bcf1_239a0b44334f"/>
      <w:bookmarkEnd w:id="28"/>
      <w:bookmarkEnd w:id="29"/>
      <w:r>
        <w:rPr>
          <w:rFonts w:ascii="Times New Roman;Times;serif" w:hAnsi="Times New Roman;Times;serif"/>
          <w:b/>
          <w:sz w:val="20"/>
        </w:rPr>
        <w:t>Part 1: FINANCIAL INFORMATION</w:t>
      </w:r>
    </w:p>
    <w:p>
      <w:pPr>
        <w:pStyle w:val="TextBody"/>
        <w:bidi w:val="0"/>
        <w:spacing w:before="0" w:after="120"/>
        <w:ind w:left="0" w:right="0" w:hanging="0"/>
        <w:jc w:val="left"/>
        <w:rPr>
          <w:rFonts w:ascii="Times New Roman;Times;serif" w:hAnsi="Times New Roman;Times;serif"/>
          <w:b/>
          <w:sz w:val="20"/>
        </w:rPr>
      </w:pPr>
      <w:bookmarkStart w:id="30" w:name="ITEM1FINANCIALSTATEMENTS"/>
      <w:bookmarkEnd w:id="30"/>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31" w:name="CONDENSEDCOMBINEDBALANCESHEETS_521489"/>
      <w:bookmarkEnd w:id="3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 w:name="Tc_WlKqIG9eJUOp4JHFXlcETg_37_5"/>
      <w:bookmarkStart w:id="33" w:name="Tc_PhS-zin6p0CPnZLt3HDxNQ_37_2"/>
      <w:bookmarkStart w:id="34" w:name="Tc_UFS9ANWf60SqvC5FnG3MBw_37_0"/>
      <w:bookmarkStart w:id="35" w:name="Tc_KaG71MBW6U6sKLb0z8CHCw_36_0"/>
      <w:bookmarkStart w:id="36" w:name="Tc_3eT_eyikUEW_hZg5hu4cnw_35_0"/>
      <w:bookmarkStart w:id="37" w:name="Tc_Al4OOUfED0-wPc1I29BKDQ_34_3"/>
      <w:bookmarkStart w:id="38" w:name="Tc_qCuGZF7COkmMD79PPcHgXg_34_0"/>
      <w:bookmarkStart w:id="39" w:name="Tc_OHPpeoRz-UClq9XaMmbFGw_33_0"/>
      <w:bookmarkStart w:id="40" w:name="Tc_DRDkg8vm4kqrTIKy2GdGuA_32_0"/>
      <w:bookmarkStart w:id="41" w:name="Tc_YnYN_G0_O0aCw7o90yNJOA_31_0"/>
      <w:bookmarkStart w:id="42" w:name="Tc_0FTHKGwTykyDpap6D38PvA_30_0"/>
      <w:bookmarkStart w:id="43" w:name="Tc_mYWeB7R8r0aSTDV5zbTTuw_29_5"/>
      <w:bookmarkStart w:id="44" w:name="Tc_gIx1rU6jm0CXBnJ4hb66OA_29_2"/>
      <w:bookmarkStart w:id="45" w:name="Tc_Rs0pHdnxQki4haNXT1rmjA_29_0"/>
      <w:bookmarkStart w:id="46" w:name="Tc_dWM6HIshqUCEIU9jdJnvQA_28_0"/>
      <w:bookmarkStart w:id="47" w:name="Tc__fib5xMvVE-7MygxS0OSQQ_27_0"/>
      <w:bookmarkStart w:id="48" w:name="Tc_UDO85Id7D0CUAiVCDL1Eaw_26_0"/>
      <w:bookmarkStart w:id="49" w:name="Tc_PESYN43jwECX4Ftctc4keQ_25_0"/>
      <w:bookmarkStart w:id="50" w:name="Tc_abC6QPHahkOoDXNWF541Iw_24_0"/>
      <w:bookmarkStart w:id="51" w:name="Tc_rP_uu4eCp0-XKH4yIp_bCQ_23_0"/>
      <w:bookmarkStart w:id="52" w:name="Tc_C3XYMTa7JUWJ36yetczKiA_22_0"/>
      <w:bookmarkStart w:id="53" w:name="Tc_p3BWiDfJgUOxjND72lHcjA_21_0"/>
      <w:bookmarkStart w:id="54" w:name="Tc_VSNjI5G20kOny3N5Z1brVg_20_0"/>
      <w:bookmarkStart w:id="55" w:name="Tc_uOywBxlpNkSfvmNI7DATCg_19_0"/>
      <w:bookmarkStart w:id="56" w:name="Tc_gkdp0Pd_Dky76IshRUbWbQ_18_0"/>
      <w:bookmarkStart w:id="57" w:name="Tc_CkpaqM-v5EO6LoXWiRH6ZA_17_0"/>
      <w:bookmarkStart w:id="58" w:name="Tc_s-_vq-0M20OhpCHgSLQ_lQ_16_5"/>
      <w:bookmarkStart w:id="59" w:name="Tc_QrftTanS8kOkc-802OQAOg_16_2"/>
      <w:bookmarkStart w:id="60" w:name="Tc_cva2Qs3zq0ir3qRmM5m80w_16_0"/>
      <w:bookmarkStart w:id="61" w:name="Tc_kWUukwHZQUebsTptX7uWLg_15_0"/>
      <w:bookmarkStart w:id="62" w:name="Tc_MBDw6tA13kSEE90gNi8J3g_14_0"/>
      <w:bookmarkStart w:id="63" w:name="Tc_Pbc_qNMHpkieILi-up7qEw_13_0"/>
      <w:bookmarkStart w:id="64" w:name="Tc_qzccc9AtzkS4w6NEHjuF2Q_12_0"/>
      <w:bookmarkStart w:id="65" w:name="Tc_ubw9HeTBY0mtKfJ1d80vEQ_11_0"/>
      <w:bookmarkStart w:id="66" w:name="Tc_EBZEydYockOLC7AigZSiBQ_10_0"/>
      <w:bookmarkStart w:id="67" w:name="Tc_Dwm2gu5I1UKVw192FiU09g_9_5"/>
      <w:bookmarkStart w:id="68" w:name="Tc_P30Qk5ISuESV-GKXCFuf7A_9_2"/>
      <w:bookmarkStart w:id="69" w:name="Tc_RRDfmX67YkOUh0SEO44G0A_9_0"/>
      <w:bookmarkStart w:id="70" w:name="Tc_PxhsbiG_f0W6DoKKgY6uUg_8_0"/>
      <w:bookmarkStart w:id="71" w:name="Tc_WOY-mQU8Ek-gMz9JHwEXcg_7_0"/>
      <w:bookmarkStart w:id="72" w:name="Tc_uESoIALW-kCXnjnGBKcPyw_6_0"/>
      <w:bookmarkStart w:id="73" w:name="Tc_mrOVLtNP0UqnK2duGEArvQ_5_5"/>
      <w:bookmarkStart w:id="74" w:name="Tc_GcB2xyBqbUGPZRCUbZTVeA_5_2"/>
      <w:bookmarkStart w:id="75" w:name="Tc_SkftGnI1kU67j5bf-NaY5g_5_0"/>
      <w:bookmarkStart w:id="76" w:name="Tc_YJEVoxm_gEKzYI6WMASjFA_4_0"/>
      <w:bookmarkStart w:id="77" w:name="Tc_F2FxRLHY0kend7RJVdeg4w_3_0"/>
      <w:bookmarkStart w:id="78" w:name="Tc_f6dc9BvMTEOjAYSFvgvtgA_2_5"/>
      <w:bookmarkStart w:id="79" w:name="Tc_upbBosV9C0O_phnWhSRlrg_2_2"/>
      <w:bookmarkStart w:id="80" w:name="Tc_M0xgEdMVMEqVjjFmbcGlAQ_2_0"/>
      <w:bookmarkStart w:id="81" w:name="Tc_iKqWYnAUKUGCshCchfEVUA_1_5"/>
      <w:bookmarkStart w:id="82" w:name="Tc_dDL82-rxzkmGq0PJOe6dCA_1_2"/>
      <w:bookmarkStart w:id="83" w:name="_e11123f1_89d0_4594_a3ea_8a243b56e44b"/>
      <w:bookmarkStart w:id="84" w:name="Tc_WlKqIG9eJUOp4JHFXlcETg_37_5"/>
      <w:bookmarkStart w:id="85" w:name="Tc_PhS-zin6p0CPnZLt3HDxNQ_37_2"/>
      <w:bookmarkStart w:id="86" w:name="Tc_UFS9ANWf60SqvC5FnG3MBw_37_0"/>
      <w:bookmarkStart w:id="87" w:name="Tc_KaG71MBW6U6sKLb0z8CHCw_36_0"/>
      <w:bookmarkStart w:id="88" w:name="Tc_3eT_eyikUEW_hZg5hu4cnw_35_0"/>
      <w:bookmarkStart w:id="89" w:name="Tc_Al4OOUfED0-wPc1I29BKDQ_34_3"/>
      <w:bookmarkStart w:id="90" w:name="Tc_qCuGZF7COkmMD79PPcHgXg_34_0"/>
      <w:bookmarkStart w:id="91" w:name="Tc_OHPpeoRz-UClq9XaMmbFGw_33_0"/>
      <w:bookmarkStart w:id="92" w:name="Tc_DRDkg8vm4kqrTIKy2GdGuA_32_0"/>
      <w:bookmarkStart w:id="93" w:name="Tc_YnYN_G0_O0aCw7o90yNJOA_31_0"/>
      <w:bookmarkStart w:id="94" w:name="Tc_0FTHKGwTykyDpap6D38PvA_30_0"/>
      <w:bookmarkStart w:id="95" w:name="Tc_mYWeB7R8r0aSTDV5zbTTuw_29_5"/>
      <w:bookmarkStart w:id="96" w:name="Tc_gIx1rU6jm0CXBnJ4hb66OA_29_2"/>
      <w:bookmarkStart w:id="97" w:name="Tc_Rs0pHdnxQki4haNXT1rmjA_29_0"/>
      <w:bookmarkStart w:id="98" w:name="Tc_dWM6HIshqUCEIU9jdJnvQA_28_0"/>
      <w:bookmarkStart w:id="99" w:name="Tc__fib5xMvVE-7MygxS0OSQQ_27_0"/>
      <w:bookmarkStart w:id="100" w:name="Tc_UDO85Id7D0CUAiVCDL1Eaw_26_0"/>
      <w:bookmarkStart w:id="101" w:name="Tc_PESYN43jwECX4Ftctc4keQ_25_0"/>
      <w:bookmarkStart w:id="102" w:name="Tc_abC6QPHahkOoDXNWF541Iw_24_0"/>
      <w:bookmarkStart w:id="103" w:name="Tc_rP_uu4eCp0-XKH4yIp_bCQ_23_0"/>
      <w:bookmarkStart w:id="104" w:name="Tc_C3XYMTa7JUWJ36yetczKiA_22_0"/>
      <w:bookmarkStart w:id="105" w:name="Tc_p3BWiDfJgUOxjND72lHcjA_21_0"/>
      <w:bookmarkStart w:id="106" w:name="Tc_VSNjI5G20kOny3N5Z1brVg_20_0"/>
      <w:bookmarkStart w:id="107" w:name="Tc_uOywBxlpNkSfvmNI7DATCg_19_0"/>
      <w:bookmarkStart w:id="108" w:name="Tc_gkdp0Pd_Dky76IshRUbWbQ_18_0"/>
      <w:bookmarkStart w:id="109" w:name="Tc_CkpaqM-v5EO6LoXWiRH6ZA_17_0"/>
      <w:bookmarkStart w:id="110" w:name="Tc_s-_vq-0M20OhpCHgSLQ_lQ_16_5"/>
      <w:bookmarkStart w:id="111" w:name="Tc_QrftTanS8kOkc-802OQAOg_16_2"/>
      <w:bookmarkStart w:id="112" w:name="Tc_cva2Qs3zq0ir3qRmM5m80w_16_0"/>
      <w:bookmarkStart w:id="113" w:name="Tc_kWUukwHZQUebsTptX7uWLg_15_0"/>
      <w:bookmarkStart w:id="114" w:name="Tc_MBDw6tA13kSEE90gNi8J3g_14_0"/>
      <w:bookmarkStart w:id="115" w:name="Tc_Pbc_qNMHpkieILi-up7qEw_13_0"/>
      <w:bookmarkStart w:id="116" w:name="Tc_qzccc9AtzkS4w6NEHjuF2Q_12_0"/>
      <w:bookmarkStart w:id="117" w:name="Tc_ubw9HeTBY0mtKfJ1d80vEQ_11_0"/>
      <w:bookmarkStart w:id="118" w:name="Tc_EBZEydYockOLC7AigZSiBQ_10_0"/>
      <w:bookmarkStart w:id="119" w:name="Tc_Dwm2gu5I1UKVw192FiU09g_9_5"/>
      <w:bookmarkStart w:id="120" w:name="Tc_P30Qk5ISuESV-GKXCFuf7A_9_2"/>
      <w:bookmarkStart w:id="121" w:name="Tc_RRDfmX67YkOUh0SEO44G0A_9_0"/>
      <w:bookmarkStart w:id="122" w:name="Tc_PxhsbiG_f0W6DoKKgY6uUg_8_0"/>
      <w:bookmarkStart w:id="123" w:name="Tc_WOY-mQU8Ek-gMz9JHwEXcg_7_0"/>
      <w:bookmarkStart w:id="124" w:name="Tc_uESoIALW-kCXnjnGBKcPyw_6_0"/>
      <w:bookmarkStart w:id="125" w:name="Tc_mrOVLtNP0UqnK2duGEArvQ_5_5"/>
      <w:bookmarkStart w:id="126" w:name="Tc_GcB2xyBqbUGPZRCUbZTVeA_5_2"/>
      <w:bookmarkStart w:id="127" w:name="Tc_SkftGnI1kU67j5bf-NaY5g_5_0"/>
      <w:bookmarkStart w:id="128" w:name="Tc_YJEVoxm_gEKzYI6WMASjFA_4_0"/>
      <w:bookmarkStart w:id="129" w:name="Tc_F2FxRLHY0kend7RJVdeg4w_3_0"/>
      <w:bookmarkStart w:id="130" w:name="Tc_f6dc9BvMTEOjAYSFvgvtgA_2_5"/>
      <w:bookmarkStart w:id="131" w:name="Tc_upbBosV9C0O_phnWhSRlrg_2_2"/>
      <w:bookmarkStart w:id="132" w:name="Tc_M0xgEdMVMEqVjjFmbcGlAQ_2_0"/>
      <w:bookmarkStart w:id="133" w:name="Tc_iKqWYnAUKUGCshCchfEVUA_1_5"/>
      <w:bookmarkStart w:id="134" w:name="Tc_dDL82-rxzkmGq0PJOe6dCA_1_2"/>
      <w:bookmarkStart w:id="135" w:name="_e11123f1_89d0_4594_a3ea_8a243b56e44b"/>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7497"/>
        <w:gridCol w:w="326"/>
        <w:gridCol w:w="237"/>
        <w:gridCol w:w="761"/>
        <w:gridCol w:w="326"/>
        <w:gridCol w:w="224"/>
        <w:gridCol w:w="834"/>
      </w:tblGrid>
      <w:tr>
        <w:trPr/>
        <w:tc>
          <w:tcPr>
            <w:tcW w:w="7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60595" cy="175260"/>
                      <wp:effectExtent l="0" t="0" r="0" b="0"/>
                      <wp:wrapNone/>
                      <wp:docPr id="1" name="Frame1"/>
                      <a:graphic xmlns:a="http://schemas.openxmlformats.org/drawingml/2006/main">
                        <a:graphicData uri="http://schemas.microsoft.com/office/word/2010/wordprocessingShape">
                          <wps:wsp>
                            <wps:cNvSpPr txBox="1"/>
                            <wps:spPr>
                              <a:xfrm>
                                <a:off x="0" y="0"/>
                                <a:ext cx="4760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0495" cy="175260"/>
                      <wp:effectExtent l="0" t="0" r="0" b="0"/>
                      <wp:wrapNone/>
                      <wp:docPr id="3" name="Frame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83235" cy="175260"/>
                      <wp:effectExtent l="0" t="0" r="0" b="0"/>
                      <wp:wrapNone/>
                      <wp:docPr id="4" name="Frame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240" cy="175260"/>
                      <wp:effectExtent l="0" t="0" r="0" b="0"/>
                      <wp:wrapNone/>
                      <wp:docPr id="6" name="Frame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9590" cy="175260"/>
                      <wp:effectExtent l="0" t="0" r="0" b="0"/>
                      <wp:wrapNone/>
                      <wp:docPr id="7" name="Frame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  </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  </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1,516</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  </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10,895</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13,597</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13,925</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15,505</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15,441</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  </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  </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accrued expenses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Related party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  </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632</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647</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  </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$0.01 par value; 4,000,000,000 shares authorized;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94,164,300 as of September 30, 2023 and 51,911,905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B common stock: $0.01 par value; 1,500,000,000 shares authorized;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711,500,000 as of September 30, 2023 and 750,000,000 as of December 31, 2022</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14,737</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 (accumulated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49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EQUITY </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14,873</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14,794</w:t>
            </w:r>
          </w:p>
        </w:tc>
      </w:tr>
      <w:tr>
        <w:trPr/>
        <w:tc>
          <w:tcPr>
            <w:tcW w:w="749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15,505</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15,441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36" w:name="_c55da612_9dd6_4a03_9b41_0f73e32ff37f"/>
      <w:bookmarkEnd w:id="136"/>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137" w:name="STATEMENTSOFOPERATIONS_20748"/>
      <w:bookmarkEnd w:id="137"/>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8" w:name="Tc_Q1Odt0UydUW72YAMfH6-4w_26_11"/>
      <w:bookmarkStart w:id="139" w:name="Tc_nfgRn9lyPUCvXRe0LMxxog_26_8"/>
      <w:bookmarkStart w:id="140" w:name="Tc_MJKGTEXlQ0uBnvCr9jxoBg_26_5"/>
      <w:bookmarkStart w:id="141" w:name="Tc_Do18IqcLNUiq3Nc_fW-U5w_26_2"/>
      <w:bookmarkStart w:id="142" w:name="Tc_S56HWVB-GUWCA9ddEjtu4A_26_0"/>
      <w:bookmarkStart w:id="143" w:name="Tc_PAhcekn-bkmNLq7z4Hcd0g_25_3"/>
      <w:bookmarkStart w:id="144" w:name="Tc_71tWO-zawUmmT-NVKMxqcQ_25_0"/>
      <w:bookmarkStart w:id="145" w:name="Tc_e1Svf0hJWE2zwrvqRdqytQ_24_0"/>
      <w:bookmarkStart w:id="146" w:name="Tc_m-cy47kt20yMqEU4OXeo_g_23_0"/>
      <w:bookmarkStart w:id="147" w:name="Tc_HtvrUMm3wEmwfm7UlM2riw_22_0"/>
      <w:bookmarkStart w:id="148" w:name="Tc_vD4qbA231U-h9je5bg-K6A_21_0"/>
      <w:bookmarkStart w:id="149" w:name="Tc_GoWq3ZnQQk-Lfk-VStu_mA_20_11"/>
      <w:bookmarkStart w:id="150" w:name="Tc_G2sjhqT16EiwZDe_AaGw3A_20_8"/>
      <w:bookmarkStart w:id="151" w:name="Tc_Oq-MlAyDjkqxrJogQZXECg_20_5"/>
      <w:bookmarkStart w:id="152" w:name="Tc_ypCjU-jzUEeknRvHoyHCsg_20_2"/>
      <w:bookmarkStart w:id="153" w:name="Tc_kzRq8UJi_0aN1TCgoDQA1A_20_0"/>
      <w:bookmarkStart w:id="154" w:name="Tc_M7Y73WyDZkeFXn00or0IDw_19_11"/>
      <w:bookmarkStart w:id="155" w:name="Tc_RyqNpwAsi0eir6B0SWBiAQ_19_8"/>
      <w:bookmarkStart w:id="156" w:name="Tc_igher2thfUiT3LPy99p8yA_19_5"/>
      <w:bookmarkStart w:id="157" w:name="Tc_Fdavl87uSkWp3w5KSJpnMQ_19_2"/>
      <w:bookmarkStart w:id="158" w:name="Tc_uCqZnVpt8k2ECVGxbzIPrQ_19_0"/>
      <w:bookmarkStart w:id="159" w:name="Tc_t8SAJ55I-EqMGOGcsO0JKw_18_0"/>
      <w:bookmarkStart w:id="160" w:name="Tc_Yz5B7RGogkysL3PBmlW8BQ_17_11"/>
      <w:bookmarkStart w:id="161" w:name="Tc_cWAWxL32rkGp9mLHn0FNyg_17_8"/>
      <w:bookmarkStart w:id="162" w:name="Tc__idpUa6c8EOk1MR1v2DKDg_17_5"/>
      <w:bookmarkStart w:id="163" w:name="Tc_ySBXiRrKIE2QocBFsdeufg_17_2"/>
      <w:bookmarkStart w:id="164" w:name="Tc_OJP_IEAyXEiEIz1xUEy2VA_17_0"/>
      <w:bookmarkStart w:id="165" w:name="Tc_oB4FuNPojkOFbL9R6IBHvg_16_0"/>
      <w:bookmarkStart w:id="166" w:name="Tc_sIdzFg464kyd1hYLCoHuHw_15_0"/>
      <w:bookmarkStart w:id="167" w:name="Tc_yGCXov2soU270LJBn8OgPw_14_0"/>
      <w:bookmarkStart w:id="168" w:name="Tc_xw5yAa8XXkyzkgDQkxMsag_13_9"/>
      <w:bookmarkStart w:id="169" w:name="Tc_81xLU7r9SEaMWjzUpUiDWQ_13_3"/>
      <w:bookmarkStart w:id="170" w:name="Tc_KazIK-NaTkWEfcMLRtSTXg_13_0"/>
      <w:bookmarkStart w:id="171" w:name="Tc_GyIuyO6KiEG4BltPBAs18Q_12_9"/>
      <w:bookmarkStart w:id="172" w:name="Tc_xeW5G-TAhUu_Vwy_CoK6hw_12_3"/>
      <w:bookmarkStart w:id="173" w:name="Tc_o3AQvROOIkuFtwNDnWyXAg_12_0"/>
      <w:bookmarkStart w:id="174" w:name="Tc_6sKmHedslUKgsHmMmfRhmw_11_0"/>
      <w:bookmarkStart w:id="175" w:name="Tc_z4wSjicQv0mevE9ygvgwFQ_10_0"/>
      <w:bookmarkStart w:id="176" w:name="Tc_Ez-Kd6w5SU2qJ23Bptx-Fw_9_0"/>
      <w:bookmarkStart w:id="177" w:name="Tc_1BaCjlhk50KoXoU1mmYkUA_8_0"/>
      <w:bookmarkStart w:id="178" w:name="Tc_0m0k6YZbL0ac-0fboaZQYQ_7_0"/>
      <w:bookmarkStart w:id="179" w:name="Tc_hMbvzj1OyUOQn8zqW2md4A_6_0"/>
      <w:bookmarkStart w:id="180" w:name="Tc_SaEq0Bu-x0i1E4I6UoHg5Q_5_0"/>
      <w:bookmarkStart w:id="181" w:name="Tc_kkH_QrVGXkKS7nlpI6MadA_4_11"/>
      <w:bookmarkStart w:id="182" w:name="Tc_840spFWQqkCTYu4AmSLFWg_4_8"/>
      <w:bookmarkStart w:id="183" w:name="Tc_CFEvlM273EamVq5J-_O1ZQ_4_5"/>
      <w:bookmarkStart w:id="184" w:name="Tc_WpRKmh4DWUiVIx622pYLcg_4_2"/>
      <w:bookmarkStart w:id="185" w:name="Tc_ubOBQZH5SUaAsaweuofC0w_4_0"/>
      <w:bookmarkStart w:id="186" w:name="Tc_IHVLbsPVvUWhRAltURyihQ_3_11"/>
      <w:bookmarkStart w:id="187" w:name="Tc_LeRtMto3IEq9UwWzrNeCug_3_8"/>
      <w:bookmarkStart w:id="188" w:name="Tc_pacMj25Ee0O6twDSsZq46A_3_5"/>
      <w:bookmarkStart w:id="189" w:name="Tc_re95joUCLkS2mZJ6RY-V8g_3_2"/>
      <w:bookmarkStart w:id="190" w:name="Tc_fmEBcom-9Uet4vm1EJU4Fw_3_0"/>
      <w:bookmarkStart w:id="191" w:name="Tc_pCxCnxn4DE6mwiHW7kDr2g_2_11"/>
      <w:bookmarkStart w:id="192" w:name="Tc_4JfaLJx6x0O-6v3KJ0WnDg_2_8"/>
      <w:bookmarkStart w:id="193" w:name="Tc_BgU9MwqhPE6MoyjXr5N4hg_2_5"/>
      <w:bookmarkStart w:id="194" w:name="Tc_JL7h01PIrEC1DqX-l3V3dw_2_2"/>
      <w:bookmarkStart w:id="195" w:name="Tc_c2sg4xqrNUK45s6QOw3EVQ_1_8"/>
      <w:bookmarkStart w:id="196" w:name="Tc_ahrHiIbWTEyNCfI1mETOrA_1_2"/>
      <w:bookmarkStart w:id="197" w:name="_2505a9fe_96a3_4bd2_8985_dd7a03cadefc"/>
      <w:bookmarkStart w:id="198" w:name="Tc_Q1Odt0UydUW72YAMfH6-4w_26_11"/>
      <w:bookmarkStart w:id="199" w:name="Tc_nfgRn9lyPUCvXRe0LMxxog_26_8"/>
      <w:bookmarkStart w:id="200" w:name="Tc_MJKGTEXlQ0uBnvCr9jxoBg_26_5"/>
      <w:bookmarkStart w:id="201" w:name="Tc_Do18IqcLNUiq3Nc_fW-U5w_26_2"/>
      <w:bookmarkStart w:id="202" w:name="Tc_S56HWVB-GUWCA9ddEjtu4A_26_0"/>
      <w:bookmarkStart w:id="203" w:name="Tc_PAhcekn-bkmNLq7z4Hcd0g_25_3"/>
      <w:bookmarkStart w:id="204" w:name="Tc_71tWO-zawUmmT-NVKMxqcQ_25_0"/>
      <w:bookmarkStart w:id="205" w:name="Tc_e1Svf0hJWE2zwrvqRdqytQ_24_0"/>
      <w:bookmarkStart w:id="206" w:name="Tc_m-cy47kt20yMqEU4OXeo_g_23_0"/>
      <w:bookmarkStart w:id="207" w:name="Tc_HtvrUMm3wEmwfm7UlM2riw_22_0"/>
      <w:bookmarkStart w:id="208" w:name="Tc_vD4qbA231U-h9je5bg-K6A_21_0"/>
      <w:bookmarkStart w:id="209" w:name="Tc_GoWq3ZnQQk-Lfk-VStu_mA_20_11"/>
      <w:bookmarkStart w:id="210" w:name="Tc_G2sjhqT16EiwZDe_AaGw3A_20_8"/>
      <w:bookmarkStart w:id="211" w:name="Tc_Oq-MlAyDjkqxrJogQZXECg_20_5"/>
      <w:bookmarkStart w:id="212" w:name="Tc_ypCjU-jzUEeknRvHoyHCsg_20_2"/>
      <w:bookmarkStart w:id="213" w:name="Tc_kzRq8UJi_0aN1TCgoDQA1A_20_0"/>
      <w:bookmarkStart w:id="214" w:name="Tc_M7Y73WyDZkeFXn00or0IDw_19_11"/>
      <w:bookmarkStart w:id="215" w:name="Tc_RyqNpwAsi0eir6B0SWBiAQ_19_8"/>
      <w:bookmarkStart w:id="216" w:name="Tc_igher2thfUiT3LPy99p8yA_19_5"/>
      <w:bookmarkStart w:id="217" w:name="Tc_Fdavl87uSkWp3w5KSJpnMQ_19_2"/>
      <w:bookmarkStart w:id="218" w:name="Tc_uCqZnVpt8k2ECVGxbzIPrQ_19_0"/>
      <w:bookmarkStart w:id="219" w:name="Tc_t8SAJ55I-EqMGOGcsO0JKw_18_0"/>
      <w:bookmarkStart w:id="220" w:name="Tc_Yz5B7RGogkysL3PBmlW8BQ_17_11"/>
      <w:bookmarkStart w:id="221" w:name="Tc_cWAWxL32rkGp9mLHn0FNyg_17_8"/>
      <w:bookmarkStart w:id="222" w:name="Tc__idpUa6c8EOk1MR1v2DKDg_17_5"/>
      <w:bookmarkStart w:id="223" w:name="Tc_ySBXiRrKIE2QocBFsdeufg_17_2"/>
      <w:bookmarkStart w:id="224" w:name="Tc_OJP_IEAyXEiEIz1xUEy2VA_17_0"/>
      <w:bookmarkStart w:id="225" w:name="Tc_oB4FuNPojkOFbL9R6IBHvg_16_0"/>
      <w:bookmarkStart w:id="226" w:name="Tc_sIdzFg464kyd1hYLCoHuHw_15_0"/>
      <w:bookmarkStart w:id="227" w:name="Tc_yGCXov2soU270LJBn8OgPw_14_0"/>
      <w:bookmarkStart w:id="228" w:name="Tc_xw5yAa8XXkyzkgDQkxMsag_13_9"/>
      <w:bookmarkStart w:id="229" w:name="Tc_81xLU7r9SEaMWjzUpUiDWQ_13_3"/>
      <w:bookmarkStart w:id="230" w:name="Tc_KazIK-NaTkWEfcMLRtSTXg_13_0"/>
      <w:bookmarkStart w:id="231" w:name="Tc_GyIuyO6KiEG4BltPBAs18Q_12_9"/>
      <w:bookmarkStart w:id="232" w:name="Tc_xeW5G-TAhUu_Vwy_CoK6hw_12_3"/>
      <w:bookmarkStart w:id="233" w:name="Tc_o3AQvROOIkuFtwNDnWyXAg_12_0"/>
      <w:bookmarkStart w:id="234" w:name="Tc_6sKmHedslUKgsHmMmfRhmw_11_0"/>
      <w:bookmarkStart w:id="235" w:name="Tc_z4wSjicQv0mevE9ygvgwFQ_10_0"/>
      <w:bookmarkStart w:id="236" w:name="Tc_Ez-Kd6w5SU2qJ23Bptx-Fw_9_0"/>
      <w:bookmarkStart w:id="237" w:name="Tc_1BaCjlhk50KoXoU1mmYkUA_8_0"/>
      <w:bookmarkStart w:id="238" w:name="Tc_0m0k6YZbL0ac-0fboaZQYQ_7_0"/>
      <w:bookmarkStart w:id="239" w:name="Tc_hMbvzj1OyUOQn8zqW2md4A_6_0"/>
      <w:bookmarkStart w:id="240" w:name="Tc_SaEq0Bu-x0i1E4I6UoHg5Q_5_0"/>
      <w:bookmarkStart w:id="241" w:name="Tc_kkH_QrVGXkKS7nlpI6MadA_4_11"/>
      <w:bookmarkStart w:id="242" w:name="Tc_840spFWQqkCTYu4AmSLFWg_4_8"/>
      <w:bookmarkStart w:id="243" w:name="Tc_CFEvlM273EamVq5J-_O1ZQ_4_5"/>
      <w:bookmarkStart w:id="244" w:name="Tc_WpRKmh4DWUiVIx622pYLcg_4_2"/>
      <w:bookmarkStart w:id="245" w:name="Tc_ubOBQZH5SUaAsaweuofC0w_4_0"/>
      <w:bookmarkStart w:id="246" w:name="Tc_IHVLbsPVvUWhRAltURyihQ_3_11"/>
      <w:bookmarkStart w:id="247" w:name="Tc_LeRtMto3IEq9UwWzrNeCug_3_8"/>
      <w:bookmarkStart w:id="248" w:name="Tc_pacMj25Ee0O6twDSsZq46A_3_5"/>
      <w:bookmarkStart w:id="249" w:name="Tc_re95joUCLkS2mZJ6RY-V8g_3_2"/>
      <w:bookmarkStart w:id="250" w:name="Tc_fmEBcom-9Uet4vm1EJU4Fw_3_0"/>
      <w:bookmarkStart w:id="251" w:name="Tc_pCxCnxn4DE6mwiHW7kDr2g_2_11"/>
      <w:bookmarkStart w:id="252" w:name="Tc_4JfaLJx6x0O-6v3KJ0WnDg_2_8"/>
      <w:bookmarkStart w:id="253" w:name="Tc_BgU9MwqhPE6MoyjXr5N4hg_2_5"/>
      <w:bookmarkStart w:id="254" w:name="Tc_JL7h01PIrEC1DqX-l3V3dw_2_2"/>
      <w:bookmarkStart w:id="255" w:name="Tc_c2sg4xqrNUK45s6QOw3EVQ_1_8"/>
      <w:bookmarkStart w:id="256" w:name="Tc_ahrHiIbWTEyNCfI1mETOrA_1_2"/>
      <w:bookmarkStart w:id="257" w:name="_2505a9fe_96a3_4bd2_8985_dd7a03cadefc"/>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tbl>
      <w:tblPr>
        <w:tblW w:w="10205" w:type="dxa"/>
        <w:jc w:val="left"/>
        <w:tblInd w:w="0" w:type="dxa"/>
        <w:tblLayout w:type="fixed"/>
        <w:tblCellMar>
          <w:top w:w="0" w:type="dxa"/>
          <w:left w:w="0" w:type="dxa"/>
          <w:bottom w:w="0" w:type="dxa"/>
          <w:right w:w="0" w:type="dxa"/>
        </w:tblCellMar>
      </w:tblPr>
      <w:tblGrid>
        <w:gridCol w:w="5331"/>
        <w:gridCol w:w="326"/>
        <w:gridCol w:w="299"/>
        <w:gridCol w:w="661"/>
        <w:gridCol w:w="326"/>
        <w:gridCol w:w="218"/>
        <w:gridCol w:w="567"/>
        <w:gridCol w:w="326"/>
        <w:gridCol w:w="259"/>
        <w:gridCol w:w="701"/>
        <w:gridCol w:w="326"/>
        <w:gridCol w:w="218"/>
        <w:gridCol w:w="647"/>
      </w:tblGrid>
      <w:tr>
        <w:trPr/>
        <w:tc>
          <w:tcPr>
            <w:tcW w:w="5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385185" cy="175260"/>
                      <wp:effectExtent l="0" t="0" r="0" b="0"/>
                      <wp:wrapNone/>
                      <wp:docPr id="8" name="Frame8"/>
                      <a:graphic xmlns:a="http://schemas.openxmlformats.org/drawingml/2006/main">
                        <a:graphicData uri="http://schemas.microsoft.com/office/word/2010/wordprocessingShape">
                          <wps:wsp>
                            <wps:cNvSpPr txBox="1"/>
                            <wps:spPr>
                              <a:xfrm>
                                <a:off x="0" y="0"/>
                                <a:ext cx="338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89865" cy="175260"/>
                      <wp:effectExtent l="0" t="0" r="0" b="0"/>
                      <wp:wrapNone/>
                      <wp:docPr id="10" name="Frame1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9735" cy="175260"/>
                      <wp:effectExtent l="0" t="0" r="0" b="0"/>
                      <wp:wrapNone/>
                      <wp:docPr id="11" name="Frame1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8430" cy="175260"/>
                      <wp:effectExtent l="0" t="0" r="0" b="0"/>
                      <wp:wrapNone/>
                      <wp:docPr id="13" name="Frame1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60045" cy="175260"/>
                      <wp:effectExtent l="0" t="0" r="0" b="0"/>
                      <wp:wrapNone/>
                      <wp:docPr id="14" name="Frame14"/>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64465" cy="175260"/>
                      <wp:effectExtent l="0" t="0" r="0" b="0"/>
                      <wp:wrapNone/>
                      <wp:docPr id="16" name="Frame1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45135" cy="175260"/>
                      <wp:effectExtent l="0" t="0" r="0" b="0"/>
                      <wp:wrapNone/>
                      <wp:docPr id="17" name="Frame17"/>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8430" cy="175260"/>
                      <wp:effectExtent l="0" t="0" r="0" b="0"/>
                      <wp:wrapNone/>
                      <wp:docPr id="19" name="Frame1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0845" cy="175260"/>
                      <wp:effectExtent l="0" t="0" r="0" b="0"/>
                      <wp:wrapNone/>
                      <wp:docPr id="20" name="Frame2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    </w:t>
            </w:r>
          </w:p>
        </w:tc>
        <w:tc>
          <w:tcPr>
            <w:tcW w:w="2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8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622</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683</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with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with related party</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 attributed to Class A and Class B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number of shares used in computation of earnings (loss) per share attributed to Class A and Class B stockholders (in millions):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w:t>
            </w:r>
          </w:p>
        </w:tc>
      </w:tr>
      <w:tr>
        <w:trPr/>
        <w:tc>
          <w:tcPr>
            <w:tcW w:w="53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righ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3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COMPREHENSIVE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26" w:type="dxa"/>
            <w:tcBorders/>
            <w:shd w:fill="CCEEFF" w:val="clear"/>
            <w:vAlign w:val="center"/>
          </w:tcPr>
          <w:p>
            <w:pPr>
              <w:pStyle w:val="TableContents"/>
              <w:bidi w:val="0"/>
              <w:spacing w:before="0" w:after="0"/>
              <w:ind w:left="0" w:right="0" w:hanging="0"/>
              <w:jc w:val="righ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8" w:name="_43359d52_80c3_488c_9e52_71b0d203cf73"/>
      <w:bookmarkEnd w:id="258"/>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259" w:name="STATEMENTSOFCHANGESINEQUITY_373450"/>
      <w:bookmarkEnd w:id="259"/>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0" w:name="Tc_sZq63snafEu1tLn2ABFc8Q_37_19"/>
      <w:bookmarkStart w:id="261" w:name="Tc_29QICEKUrEeSfWyAR91qng_37_16"/>
      <w:bookmarkStart w:id="262" w:name="Tc_955SkC7RjEqnNJkiwP57kg_37_13"/>
      <w:bookmarkStart w:id="263" w:name="Tc_Eq62PJa8VUeqQFnsDnFBFw_37_10"/>
      <w:bookmarkStart w:id="264" w:name="Tc_FIJkHUhttkCXWhuTD1hlAw_37_7"/>
      <w:bookmarkStart w:id="265" w:name="Tc_hvRLT7kafEm8TsouD7YGMQ_37_4"/>
      <w:bookmarkStart w:id="266" w:name="Tc_08uKYOI95k2rbE1bRuV8Gw_37_0"/>
      <w:bookmarkStart w:id="267" w:name="Tc_ss3Dufpfg0ap1StXLrojhw_36_0"/>
      <w:bookmarkStart w:id="268" w:name="Tc_fRX73QHo4EiIrtQRoXfrFg_35_0"/>
      <w:bookmarkStart w:id="269" w:name="Tc_DgPVCsuv-Uqi_RlTH2PxpQ_34_0"/>
      <w:bookmarkStart w:id="270" w:name="Tc_jcZqV1HKp0KQllLbvWhdJg_33_0"/>
      <w:bookmarkStart w:id="271" w:name="Tc_1NdZPkIt_0O88U9xZJpViw_32_0"/>
      <w:bookmarkStart w:id="272" w:name="Tc_EbVy_Pn1AEeleFP9sZLbpw_31_0"/>
      <w:bookmarkStart w:id="273" w:name="Tc_dgEsI0DqTE2pMWxTBqAsiw_30_0"/>
      <w:bookmarkStart w:id="274" w:name="Tc_OZ6mkG_DpEGjgbNWlqF4Cg_29_19"/>
      <w:bookmarkStart w:id="275" w:name="Tc_uLwASZvuqkaAXO_52_Ui_A_29_16"/>
      <w:bookmarkStart w:id="276" w:name="Tc_ppS5RAtndEGTN9i8I5_ktw_29_13"/>
      <w:bookmarkStart w:id="277" w:name="Tc_kaw5zmbp60KpLTOUDD4K1g_29_10"/>
      <w:bookmarkStart w:id="278" w:name="Tc_JHuW4AV700OcETZ-o_mTXw_29_7"/>
      <w:bookmarkStart w:id="279" w:name="Tc_jCBcAQYARUyLP6rjgrJ4jQ_29_4"/>
      <w:bookmarkStart w:id="280" w:name="Tc_fpM4FAeabUyTm9isQD3dTA_29_0"/>
      <w:bookmarkStart w:id="281" w:name="Tc_j9IZ-ANhtESjkXxOeJeh5w_27_19"/>
      <w:bookmarkStart w:id="282" w:name="Tc_DaAJFZuyvE2Rc6wauXYOQg_27_16"/>
      <w:bookmarkStart w:id="283" w:name="Tc_RyuLIjTMn0aGZtn8IbHfsw_27_13"/>
      <w:bookmarkStart w:id="284" w:name="Tc_NQHKISWUaUaRr3iWVZBR_Q_27_10"/>
      <w:bookmarkStart w:id="285" w:name="Tc_yAMN4X0Fd0iBWnxYx6eiqQ_27_7"/>
      <w:bookmarkStart w:id="286" w:name="Tc_H_6jIoKHqka6-2Vvl_ySDA_27_4"/>
      <w:bookmarkStart w:id="287" w:name="Tc_wxEuJxWTMEGpCqzRksyBLA_27_0"/>
      <w:bookmarkStart w:id="288" w:name="Tc_dLIXiZL8T0O2yfeWs6fJQQ_26_20"/>
      <w:bookmarkStart w:id="289" w:name="Tc_z5Wl95pLVke-WzjNiWNqhg_26_5"/>
      <w:bookmarkStart w:id="290" w:name="Tc_6MrgUD7T4UysT26rjug_3g_26_2"/>
      <w:bookmarkStart w:id="291" w:name="Tc_VjN1IaBD0U2OJxPBjQKlsw_26_0"/>
      <w:bookmarkStart w:id="292" w:name="Tc_gkk1dthGDESw3aoWb2pvRQ_25_0"/>
      <w:bookmarkStart w:id="293" w:name="Tc_mzT9c7bhUkC0qcAtrgdoRQ_24_0"/>
      <w:bookmarkStart w:id="294" w:name="Tc_tIYrD7dCEUGPV5EK3B34Mw_23_0"/>
      <w:bookmarkStart w:id="295" w:name="Tc_saF4koYpLkSIkjCYGJAmmA_22_0"/>
      <w:bookmarkStart w:id="296" w:name="Tc_JJWRcaFY6kyJGAggoZg-IQ_21_0"/>
      <w:bookmarkStart w:id="297" w:name="Tc_tqdIlM2qPUOgiT0XvIpH-g_20_19"/>
      <w:bookmarkStart w:id="298" w:name="Tc_u1A8wi8RBEyxriJ0KQCynA_20_16"/>
      <w:bookmarkStart w:id="299" w:name="Tc_6698V9C3-ESvH7IH6HsS1g_20_13"/>
      <w:bookmarkStart w:id="300" w:name="Tc_iKq8jOpTiUu5rDxXlKvqVw_20_10"/>
      <w:bookmarkStart w:id="301" w:name="Tc_nvoQgco24kugYuSYLiD_NQ_20_7"/>
      <w:bookmarkStart w:id="302" w:name="Tc_xCzaHsCDUkOBMMSupUwGZQ_20_4"/>
      <w:bookmarkStart w:id="303" w:name="Tc_MXYnCizMLUG9c1lCD1yVeQ_20_0"/>
      <w:bookmarkStart w:id="304" w:name="Tc_D4ci5EzgVk27mkA4qkNgEg_19_0"/>
      <w:bookmarkStart w:id="305" w:name="Tc_YxPFf1z2ZUmiM7xwDB146w_17_19"/>
      <w:bookmarkStart w:id="306" w:name="Tc_sbxIwFXiAEmVP2koekrIIw_17_16"/>
      <w:bookmarkStart w:id="307" w:name="Tc_lOH1tZpB2EafmNswd-JxFQ_17_13"/>
      <w:bookmarkStart w:id="308" w:name="Tc_s5tgYaWcsE-pk_SD2EBLdg_17_10"/>
      <w:bookmarkStart w:id="309" w:name="Tc_-3W_MeOHhk6tUOlTWKR9CA_17_7"/>
      <w:bookmarkStart w:id="310" w:name="Tc_NV_Ts3QGoEaGgqINRcFUOw_17_4"/>
      <w:bookmarkStart w:id="311" w:name="Tc_i0QfKRWQ5EaDgopb78NOoQ_17_0"/>
      <w:bookmarkStart w:id="312" w:name="Tc_HM-XWKWavE-ivxl7CHPWpQ_16_0"/>
      <w:bookmarkStart w:id="313" w:name="Tc_PgRVMejAjkCiaT3yRdKjHQ_15_0"/>
      <w:bookmarkStart w:id="314" w:name="Tc__31u_DGHI0C2fNMpiiihpw_14_0"/>
      <w:bookmarkStart w:id="315" w:name="Tc_ptL2OGU3AUGO3cmM3Wpz0A_13_0"/>
      <w:bookmarkStart w:id="316" w:name="Tc_dQ4a_Qcby0WlA36Y6KtaGA_12_19"/>
      <w:bookmarkStart w:id="317" w:name="Tc_4EGByYXfAEiR9ZKRfLae2w_12_16"/>
      <w:bookmarkStart w:id="318" w:name="Tc_W_jN-C6XT0W_CheYZfPjJg_12_13"/>
      <w:bookmarkStart w:id="319" w:name="Tc_NxPrcFl2SUiYIi_I42GLVg_12_10"/>
      <w:bookmarkStart w:id="320" w:name="Tc_z_W4F6ygBUmsN6CtLvPOGw_12_7"/>
      <w:bookmarkStart w:id="321" w:name="Tc_3IeyIsXlekmwDjUCVQqcXw_12_4"/>
      <w:bookmarkStart w:id="322" w:name="Tc__16KMqmpLUygwHWUcVOIxQ_12_0"/>
      <w:bookmarkStart w:id="323" w:name="Tc_j3L0DjLc_kuGvdmSmqCypw_10_0"/>
      <w:bookmarkStart w:id="324" w:name="Tc_ikBc4AyUYU2UVIxxUsDQ_Q_9_0"/>
      <w:bookmarkStart w:id="325" w:name="Tc_jb5XDEzqq0mYAQ58WquImg_8_0"/>
      <w:bookmarkStart w:id="326" w:name="Tc_Q3EZ83x78UaEzedbdDHi-w_7_0"/>
      <w:bookmarkStart w:id="327" w:name="Tc_BnlJOZW2wUa-zKxJFnSM4Q_6_19"/>
      <w:bookmarkStart w:id="328" w:name="Tc_D82ZU0VbeEGAYB15nZDHcw_6_16"/>
      <w:bookmarkStart w:id="329" w:name="Tc_ZbZOddvKhkmbHXhx1W9_Jg_6_13"/>
      <w:bookmarkStart w:id="330" w:name="Tc_yZYsiSSKW0OwsLIG0BJ6Tw_6_10"/>
      <w:bookmarkStart w:id="331" w:name="Tc_0UDVx0zij0GY_zQ4FNyH-Q_6_7"/>
      <w:bookmarkStart w:id="332" w:name="Tc_ZgWDqnSSCUq8CK52M60aBw_6_4"/>
      <w:bookmarkStart w:id="333" w:name="Tc_D571d7k5IEK3yi-PRfwhxg_6_0"/>
      <w:bookmarkStart w:id="334" w:name="Tc_NVr6E08bV0-0LIsKC5RmZQ_5_0"/>
      <w:bookmarkStart w:id="335" w:name="Tc_yVYxVbSt4EWVrrptq8Bm_g_4_19"/>
      <w:bookmarkStart w:id="336" w:name="Tc_lMbaZENjNEOEVsBPHJrtDQ_4_16"/>
      <w:bookmarkStart w:id="337" w:name="Tc_ajqTtGczUkiF1jP_iFnysg_4_13"/>
      <w:bookmarkStart w:id="338" w:name="Tc_ke-asWMowUufA5ruoa6h4g_4_10"/>
      <w:bookmarkStart w:id="339" w:name="Tc_iVwLQRwe3kiCnn3K0bfBXA_4_7"/>
      <w:bookmarkStart w:id="340" w:name="Tc__thsziuMXUaUKAqggj8PsA_4_4"/>
      <w:bookmarkStart w:id="341" w:name="Tc_R1Q3jXvO-EKTzTowPFhRYw_4_2"/>
      <w:bookmarkStart w:id="342" w:name="Tc_4Nl7zDJLcEmk9x_CJigMwQ_4_0"/>
      <w:bookmarkStart w:id="343" w:name="Tc_1chsk9ks00yhvunvErW0Xw_3_19"/>
      <w:bookmarkStart w:id="344" w:name="Tc_iZNfyhuI3UK2LBrGOOtViw_3_16"/>
      <w:bookmarkStart w:id="345" w:name="Tc_x3N-TVNp9EWbDm4uRw28YQ_3_13"/>
      <w:bookmarkStart w:id="346" w:name="Tc_kKGGkHV-okWL-5ckrSvO2Q_3_10"/>
      <w:bookmarkStart w:id="347" w:name="Tc_wrn903KkHE-A5LmFwCMZnw_3_7"/>
      <w:bookmarkStart w:id="348" w:name="Tc_vGYIMRtS2UmbgeULSvnyPg_3_2"/>
      <w:bookmarkStart w:id="349" w:name="Tc_jhY6jk7WS0qpEbnMdTuOtA_2_19"/>
      <w:bookmarkStart w:id="350" w:name="Tc_rRVlFd_0hkqiFD042aVW9g_2_16"/>
      <w:bookmarkStart w:id="351" w:name="Tc_Qvaz0vOi002IItT6Ibb_Xw_2_13"/>
      <w:bookmarkStart w:id="352" w:name="Tc_n4rv9YPoikCz9cYRM1l4Ng_2_7"/>
      <w:bookmarkStart w:id="353" w:name="Tc_-TQRr1QPhU-5nGktKv84Zw_2_2"/>
      <w:bookmarkStart w:id="354" w:name="Tc_DVCKWnH4rEiqAxyPo6pr-A_1_16"/>
      <w:bookmarkStart w:id="355" w:name="_5f39f89c_bc8f_4be9_b977_cb391ed1fdf5"/>
      <w:bookmarkStart w:id="356" w:name="Tc_sZq63snafEu1tLn2ABFc8Q_37_19"/>
      <w:bookmarkStart w:id="357" w:name="Tc_29QICEKUrEeSfWyAR91qng_37_16"/>
      <w:bookmarkStart w:id="358" w:name="Tc_955SkC7RjEqnNJkiwP57kg_37_13"/>
      <w:bookmarkStart w:id="359" w:name="Tc_Eq62PJa8VUeqQFnsDnFBFw_37_10"/>
      <w:bookmarkStart w:id="360" w:name="Tc_FIJkHUhttkCXWhuTD1hlAw_37_7"/>
      <w:bookmarkStart w:id="361" w:name="Tc_hvRLT7kafEm8TsouD7YGMQ_37_4"/>
      <w:bookmarkStart w:id="362" w:name="Tc_08uKYOI95k2rbE1bRuV8Gw_37_0"/>
      <w:bookmarkStart w:id="363" w:name="Tc_ss3Dufpfg0ap1StXLrojhw_36_0"/>
      <w:bookmarkStart w:id="364" w:name="Tc_fRX73QHo4EiIrtQRoXfrFg_35_0"/>
      <w:bookmarkStart w:id="365" w:name="Tc_DgPVCsuv-Uqi_RlTH2PxpQ_34_0"/>
      <w:bookmarkStart w:id="366" w:name="Tc_jcZqV1HKp0KQllLbvWhdJg_33_0"/>
      <w:bookmarkStart w:id="367" w:name="Tc_1NdZPkIt_0O88U9xZJpViw_32_0"/>
      <w:bookmarkStart w:id="368" w:name="Tc_EbVy_Pn1AEeleFP9sZLbpw_31_0"/>
      <w:bookmarkStart w:id="369" w:name="Tc_dgEsI0DqTE2pMWxTBqAsiw_30_0"/>
      <w:bookmarkStart w:id="370" w:name="Tc_OZ6mkG_DpEGjgbNWlqF4Cg_29_19"/>
      <w:bookmarkStart w:id="371" w:name="Tc_uLwASZvuqkaAXO_52_Ui_A_29_16"/>
      <w:bookmarkStart w:id="372" w:name="Tc_ppS5RAtndEGTN9i8I5_ktw_29_13"/>
      <w:bookmarkStart w:id="373" w:name="Tc_kaw5zmbp60KpLTOUDD4K1g_29_10"/>
      <w:bookmarkStart w:id="374" w:name="Tc_JHuW4AV700OcETZ-o_mTXw_29_7"/>
      <w:bookmarkStart w:id="375" w:name="Tc_jCBcAQYARUyLP6rjgrJ4jQ_29_4"/>
      <w:bookmarkStart w:id="376" w:name="Tc_fpM4FAeabUyTm9isQD3dTA_29_0"/>
      <w:bookmarkStart w:id="377" w:name="Tc_j9IZ-ANhtESjkXxOeJeh5w_27_19"/>
      <w:bookmarkStart w:id="378" w:name="Tc_DaAJFZuyvE2Rc6wauXYOQg_27_16"/>
      <w:bookmarkStart w:id="379" w:name="Tc_RyuLIjTMn0aGZtn8IbHfsw_27_13"/>
      <w:bookmarkStart w:id="380" w:name="Tc_NQHKISWUaUaRr3iWVZBR_Q_27_10"/>
      <w:bookmarkStart w:id="381" w:name="Tc_yAMN4X0Fd0iBWnxYx6eiqQ_27_7"/>
      <w:bookmarkStart w:id="382" w:name="Tc_H_6jIoKHqka6-2Vvl_ySDA_27_4"/>
      <w:bookmarkStart w:id="383" w:name="Tc_wxEuJxWTMEGpCqzRksyBLA_27_0"/>
      <w:bookmarkStart w:id="384" w:name="Tc_dLIXiZL8T0O2yfeWs6fJQQ_26_20"/>
      <w:bookmarkStart w:id="385" w:name="Tc_z5Wl95pLVke-WzjNiWNqhg_26_5"/>
      <w:bookmarkStart w:id="386" w:name="Tc_6MrgUD7T4UysT26rjug_3g_26_2"/>
      <w:bookmarkStart w:id="387" w:name="Tc_VjN1IaBD0U2OJxPBjQKlsw_26_0"/>
      <w:bookmarkStart w:id="388" w:name="Tc_gkk1dthGDESw3aoWb2pvRQ_25_0"/>
      <w:bookmarkStart w:id="389" w:name="Tc_mzT9c7bhUkC0qcAtrgdoRQ_24_0"/>
      <w:bookmarkStart w:id="390" w:name="Tc_tIYrD7dCEUGPV5EK3B34Mw_23_0"/>
      <w:bookmarkStart w:id="391" w:name="Tc_saF4koYpLkSIkjCYGJAmmA_22_0"/>
      <w:bookmarkStart w:id="392" w:name="Tc_JJWRcaFY6kyJGAggoZg-IQ_21_0"/>
      <w:bookmarkStart w:id="393" w:name="Tc_tqdIlM2qPUOgiT0XvIpH-g_20_19"/>
      <w:bookmarkStart w:id="394" w:name="Tc_u1A8wi8RBEyxriJ0KQCynA_20_16"/>
      <w:bookmarkStart w:id="395" w:name="Tc_6698V9C3-ESvH7IH6HsS1g_20_13"/>
      <w:bookmarkStart w:id="396" w:name="Tc_iKq8jOpTiUu5rDxXlKvqVw_20_10"/>
      <w:bookmarkStart w:id="397" w:name="Tc_nvoQgco24kugYuSYLiD_NQ_20_7"/>
      <w:bookmarkStart w:id="398" w:name="Tc_xCzaHsCDUkOBMMSupUwGZQ_20_4"/>
      <w:bookmarkStart w:id="399" w:name="Tc_MXYnCizMLUG9c1lCD1yVeQ_20_0"/>
      <w:bookmarkStart w:id="400" w:name="Tc_D4ci5EzgVk27mkA4qkNgEg_19_0"/>
      <w:bookmarkStart w:id="401" w:name="Tc_YxPFf1z2ZUmiM7xwDB146w_17_19"/>
      <w:bookmarkStart w:id="402" w:name="Tc_sbxIwFXiAEmVP2koekrIIw_17_16"/>
      <w:bookmarkStart w:id="403" w:name="Tc_lOH1tZpB2EafmNswd-JxFQ_17_13"/>
      <w:bookmarkStart w:id="404" w:name="Tc_s5tgYaWcsE-pk_SD2EBLdg_17_10"/>
      <w:bookmarkStart w:id="405" w:name="Tc_-3W_MeOHhk6tUOlTWKR9CA_17_7"/>
      <w:bookmarkStart w:id="406" w:name="Tc_NV_Ts3QGoEaGgqINRcFUOw_17_4"/>
      <w:bookmarkStart w:id="407" w:name="Tc_i0QfKRWQ5EaDgopb78NOoQ_17_0"/>
      <w:bookmarkStart w:id="408" w:name="Tc_HM-XWKWavE-ivxl7CHPWpQ_16_0"/>
      <w:bookmarkStart w:id="409" w:name="Tc_PgRVMejAjkCiaT3yRdKjHQ_15_0"/>
      <w:bookmarkStart w:id="410" w:name="Tc__31u_DGHI0C2fNMpiiihpw_14_0"/>
      <w:bookmarkStart w:id="411" w:name="Tc_ptL2OGU3AUGO3cmM3Wpz0A_13_0"/>
      <w:bookmarkStart w:id="412" w:name="Tc_dQ4a_Qcby0WlA36Y6KtaGA_12_19"/>
      <w:bookmarkStart w:id="413" w:name="Tc_4EGByYXfAEiR9ZKRfLae2w_12_16"/>
      <w:bookmarkStart w:id="414" w:name="Tc_W_jN-C6XT0W_CheYZfPjJg_12_13"/>
      <w:bookmarkStart w:id="415" w:name="Tc_NxPrcFl2SUiYIi_I42GLVg_12_10"/>
      <w:bookmarkStart w:id="416" w:name="Tc_z_W4F6ygBUmsN6CtLvPOGw_12_7"/>
      <w:bookmarkStart w:id="417" w:name="Tc_3IeyIsXlekmwDjUCVQqcXw_12_4"/>
      <w:bookmarkStart w:id="418" w:name="Tc__16KMqmpLUygwHWUcVOIxQ_12_0"/>
      <w:bookmarkStart w:id="419" w:name="Tc_j3L0DjLc_kuGvdmSmqCypw_10_0"/>
      <w:bookmarkStart w:id="420" w:name="Tc_ikBc4AyUYU2UVIxxUsDQ_Q_9_0"/>
      <w:bookmarkStart w:id="421" w:name="Tc_jb5XDEzqq0mYAQ58WquImg_8_0"/>
      <w:bookmarkStart w:id="422" w:name="Tc_Q3EZ83x78UaEzedbdDHi-w_7_0"/>
      <w:bookmarkStart w:id="423" w:name="Tc_BnlJOZW2wUa-zKxJFnSM4Q_6_19"/>
      <w:bookmarkStart w:id="424" w:name="Tc_D82ZU0VbeEGAYB15nZDHcw_6_16"/>
      <w:bookmarkStart w:id="425" w:name="Tc_ZbZOddvKhkmbHXhx1W9_Jg_6_13"/>
      <w:bookmarkStart w:id="426" w:name="Tc_yZYsiSSKW0OwsLIG0BJ6Tw_6_10"/>
      <w:bookmarkStart w:id="427" w:name="Tc_0UDVx0zij0GY_zQ4FNyH-Q_6_7"/>
      <w:bookmarkStart w:id="428" w:name="Tc_ZgWDqnSSCUq8CK52M60aBw_6_4"/>
      <w:bookmarkStart w:id="429" w:name="Tc_D571d7k5IEK3yi-PRfwhxg_6_0"/>
      <w:bookmarkStart w:id="430" w:name="Tc_NVr6E08bV0-0LIsKC5RmZQ_5_0"/>
      <w:bookmarkStart w:id="431" w:name="Tc_yVYxVbSt4EWVrrptq8Bm_g_4_19"/>
      <w:bookmarkStart w:id="432" w:name="Tc_lMbaZENjNEOEVsBPHJrtDQ_4_16"/>
      <w:bookmarkStart w:id="433" w:name="Tc_ajqTtGczUkiF1jP_iFnysg_4_13"/>
      <w:bookmarkStart w:id="434" w:name="Tc_ke-asWMowUufA5ruoa6h4g_4_10"/>
      <w:bookmarkStart w:id="435" w:name="Tc_iVwLQRwe3kiCnn3K0bfBXA_4_7"/>
      <w:bookmarkStart w:id="436" w:name="Tc__thsziuMXUaUKAqggj8PsA_4_4"/>
      <w:bookmarkStart w:id="437" w:name="Tc_R1Q3jXvO-EKTzTowPFhRYw_4_2"/>
      <w:bookmarkStart w:id="438" w:name="Tc_4Nl7zDJLcEmk9x_CJigMwQ_4_0"/>
      <w:bookmarkStart w:id="439" w:name="Tc_1chsk9ks00yhvunvErW0Xw_3_19"/>
      <w:bookmarkStart w:id="440" w:name="Tc_iZNfyhuI3UK2LBrGOOtViw_3_16"/>
      <w:bookmarkStart w:id="441" w:name="Tc_x3N-TVNp9EWbDm4uRw28YQ_3_13"/>
      <w:bookmarkStart w:id="442" w:name="Tc_kKGGkHV-okWL-5ckrSvO2Q_3_10"/>
      <w:bookmarkStart w:id="443" w:name="Tc_wrn903KkHE-A5LmFwCMZnw_3_7"/>
      <w:bookmarkStart w:id="444" w:name="Tc_vGYIMRtS2UmbgeULSvnyPg_3_2"/>
      <w:bookmarkStart w:id="445" w:name="Tc_jhY6jk7WS0qpEbnMdTuOtA_2_19"/>
      <w:bookmarkStart w:id="446" w:name="Tc_rRVlFd_0hkqiFD042aVW9g_2_16"/>
      <w:bookmarkStart w:id="447" w:name="Tc_Qvaz0vOi002IItT6Ibb_Xw_2_13"/>
      <w:bookmarkStart w:id="448" w:name="Tc_n4rv9YPoikCz9cYRM1l4Ng_2_7"/>
      <w:bookmarkStart w:id="449" w:name="Tc_-TQRr1QPhU-5nGktKv84Zw_2_2"/>
      <w:bookmarkStart w:id="450" w:name="Tc_DVCKWnH4rEiqAxyPo6pr-A_1_16"/>
      <w:bookmarkStart w:id="451" w:name="_5f39f89c_bc8f_4be9_b977_cb391ed1fdf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tbl>
      <w:tblPr>
        <w:tblW w:w="10205" w:type="dxa"/>
        <w:jc w:val="left"/>
        <w:tblInd w:w="0" w:type="dxa"/>
        <w:tblLayout w:type="fixed"/>
        <w:tblCellMar>
          <w:top w:w="0" w:type="dxa"/>
          <w:left w:w="0" w:type="dxa"/>
          <w:bottom w:w="0" w:type="dxa"/>
          <w:right w:w="0" w:type="dxa"/>
        </w:tblCellMar>
      </w:tblPr>
      <w:tblGrid>
        <w:gridCol w:w="2077"/>
        <w:gridCol w:w="326"/>
        <w:gridCol w:w="627"/>
        <w:gridCol w:w="326"/>
        <w:gridCol w:w="196"/>
        <w:gridCol w:w="375"/>
        <w:gridCol w:w="326"/>
        <w:gridCol w:w="198"/>
        <w:gridCol w:w="561"/>
        <w:gridCol w:w="326"/>
        <w:gridCol w:w="199"/>
        <w:gridCol w:w="567"/>
        <w:gridCol w:w="326"/>
        <w:gridCol w:w="427"/>
        <w:gridCol w:w="819"/>
        <w:gridCol w:w="326"/>
        <w:gridCol w:w="313"/>
        <w:gridCol w:w="603"/>
        <w:gridCol w:w="326"/>
        <w:gridCol w:w="221"/>
        <w:gridCol w:w="740"/>
      </w:tblGrid>
      <w:tr>
        <w:trPr/>
        <w:tc>
          <w:tcPr>
            <w:tcW w:w="2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18895" cy="175260"/>
                      <wp:effectExtent l="0" t="0" r="0" b="0"/>
                      <wp:wrapNone/>
                      <wp:docPr id="21" name="Frame21"/>
                      <a:graphic xmlns:a="http://schemas.openxmlformats.org/drawingml/2006/main">
                        <a:graphicData uri="http://schemas.microsoft.com/office/word/2010/wordprocessingShape">
                          <wps:wsp>
                            <wps:cNvSpPr txBox="1"/>
                            <wps:spPr>
                              <a:xfrm>
                                <a:off x="0" y="0"/>
                                <a:ext cx="1318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98145" cy="175260"/>
                      <wp:effectExtent l="0" t="0" r="0" b="0"/>
                      <wp:wrapNone/>
                      <wp:docPr id="23" name="Frame23"/>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8125" cy="175260"/>
                      <wp:effectExtent l="0" t="0" r="0" b="0"/>
                      <wp:wrapNone/>
                      <wp:docPr id="26" name="Frame2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5730" cy="175260"/>
                      <wp:effectExtent l="0" t="0" r="0" b="0"/>
                      <wp:wrapNone/>
                      <wp:docPr id="28" name="Frame28"/>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56235" cy="175260"/>
                      <wp:effectExtent l="0" t="0" r="0" b="0"/>
                      <wp:wrapNone/>
                      <wp:docPr id="29" name="Frame2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6365" cy="175260"/>
                      <wp:effectExtent l="0" t="0" r="0" b="0"/>
                      <wp:wrapNone/>
                      <wp:docPr id="31" name="Frame3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0045" cy="175260"/>
                      <wp:effectExtent l="0" t="0" r="0" b="0"/>
                      <wp:wrapNone/>
                      <wp:docPr id="32" name="Frame32"/>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71145" cy="175260"/>
                      <wp:effectExtent l="0" t="0" r="0" b="0"/>
                      <wp:wrapNone/>
                      <wp:docPr id="34" name="Frame34"/>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0065" cy="175260"/>
                      <wp:effectExtent l="0" t="0" r="0" b="0"/>
                      <wp:wrapNone/>
                      <wp:docPr id="35" name="Frame3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8755" cy="175260"/>
                      <wp:effectExtent l="0" t="0" r="0" b="0"/>
                      <wp:wrapNone/>
                      <wp:docPr id="37" name="Frame37"/>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82905" cy="175260"/>
                      <wp:effectExtent l="0" t="0" r="0" b="0"/>
                      <wp:wrapNone/>
                      <wp:docPr id="38" name="Frame3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0335" cy="175260"/>
                      <wp:effectExtent l="0" t="0" r="0" b="0"/>
                      <wp:wrapNone/>
                      <wp:docPr id="40" name="Frame4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9900" cy="175260"/>
                      <wp:effectExtent l="0" t="0" r="0" b="0"/>
                      <wp:wrapNone/>
                      <wp:docPr id="41" name="Frame41"/>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left"/>
              <w:rPr/>
            </w:pPr>
            <w:r>
              <w:rPr/>
              <w:t>​</w:t>
            </w:r>
          </w:p>
        </w:tc>
      </w:tr>
      <w:tr>
        <w:trPr/>
        <w:tc>
          <w:tcPr>
            <w:tcW w:w="2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Number of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Parent Net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20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dollars 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0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Three Months Ended</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July 1, 2023</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14,842</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(50)</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14,800</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September 30, 2023</w:t>
            </w:r>
          </w:p>
        </w:tc>
        <w:tc>
          <w:tcPr>
            <w:tcW w:w="326" w:type="dxa"/>
            <w:tcBorders/>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14,898</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w:t>
            </w:r>
          </w:p>
        </w:tc>
        <w:tc>
          <w:tcPr>
            <w:tcW w:w="326" w:type="dxa"/>
            <w:tcBorders/>
            <w:vAlign w:val="center"/>
          </w:tcPr>
          <w:p>
            <w:pPr>
              <w:pStyle w:val="TableContents"/>
              <w:bidi w:val="0"/>
              <w:spacing w:before="0" w:after="0"/>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14,873</w:t>
            </w:r>
          </w:p>
        </w:tc>
      </w:tr>
      <w:tr>
        <w:trPr/>
        <w:tc>
          <w:tcPr>
            <w:tcW w:w="20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July 2, 2022</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11,223</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11,199</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transfer from (to) Parent</w:t>
            </w:r>
          </w:p>
        </w:tc>
        <w:tc>
          <w:tcPr>
            <w:tcW w:w="326" w:type="dxa"/>
            <w:tcBorders/>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October 1, 2022</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11,178</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11,160</w:t>
            </w:r>
          </w:p>
        </w:tc>
      </w:tr>
      <w:tr>
        <w:trPr/>
        <w:tc>
          <w:tcPr>
            <w:tcW w:w="20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Nine Months Ended</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2022</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14,737</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14,794</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pPr>
            <w:r>
              <w:rPr/>
              <w:t>—</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Secondary offering</w:t>
            </w:r>
          </w:p>
        </w:tc>
        <w:tc>
          <w:tcPr>
            <w:tcW w:w="326" w:type="dxa"/>
            <w:tcBorders/>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14,898</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14,873</w:t>
            </w:r>
          </w:p>
        </w:tc>
      </w:tr>
      <w:tr>
        <w:trPr/>
        <w:tc>
          <w:tcPr>
            <w:tcW w:w="20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25, 2021</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15,884</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15,889</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transaction in connection with the legal purchase of Moovit entities</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Note with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(3,500)</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(3,500)</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distribution</w:t>
            </w:r>
          </w:p>
        </w:tc>
        <w:tc>
          <w:tcPr>
            <w:tcW w:w="326"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6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2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transfer from (to) Parent</w:t>
            </w:r>
          </w:p>
        </w:tc>
        <w:tc>
          <w:tcPr>
            <w:tcW w:w="326" w:type="dxa"/>
            <w:tcBorders/>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October 1, 2022</w:t>
            </w:r>
          </w:p>
        </w:tc>
        <w:tc>
          <w:tcPr>
            <w:tcW w:w="326" w:type="dxa"/>
            <w:tcBorders/>
            <w:shd w:fill="CCEEFF" w:val="cle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11,178</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11,160</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*Rounding of Class A and Class B share amounts due to Secondary offering.</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452" w:name="_d7526689_c786_4c5f_b7ba_6bdb53707831"/>
      <w:bookmarkEnd w:id="452"/>
      <w:r>
        <w:rPr>
          <w:rFonts w:ascii="Times New Roman;Times;serif" w:hAnsi="Times New Roman;Times;serif"/>
          <w:b/>
          <w:sz w:val="20"/>
        </w:rPr>
        <w:t>MOBILEYE GLOBAL INC.</w:t>
      </w:r>
    </w:p>
    <w:p>
      <w:pPr>
        <w:pStyle w:val="TextBody"/>
        <w:bidi w:val="0"/>
        <w:spacing w:before="0" w:after="100"/>
        <w:ind w:left="0" w:right="0" w:hanging="0"/>
        <w:jc w:val="center"/>
        <w:rPr>
          <w:rFonts w:ascii="Times New Roman;Times;serif" w:hAnsi="Times New Roman;Times;serif"/>
          <w:b/>
          <w:sz w:val="20"/>
        </w:rPr>
      </w:pPr>
      <w:bookmarkStart w:id="453" w:name="CASHFLOWS_425786"/>
      <w:bookmarkEnd w:id="453"/>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54" w:name="Tc_l0VstsIITUKHKEELAcNSgQ_49_0"/>
      <w:bookmarkStart w:id="455" w:name="Tc_KmU5x2VaJUK0ksrefPx0TA_48_5"/>
      <w:bookmarkStart w:id="456" w:name="Tc__pCTBJDJXkO741j9dGDgmQ_48_2"/>
      <w:bookmarkStart w:id="457" w:name="Tc_5f8n6P2_OkuJWcOOme_Ukw_48_0"/>
      <w:bookmarkStart w:id="458" w:name="Tc_AClYzIKGnEi_V0E3Ouu4EQ_47_0"/>
      <w:bookmarkStart w:id="459" w:name="Tc_6ISzlghKMka_s5QwzKG-Xg_46_3"/>
      <w:bookmarkStart w:id="460" w:name="Tc_yMcKo9GzJU-cs3Q1JTelkg_46_0"/>
      <w:bookmarkStart w:id="461" w:name="Tc_WjoiYru32E6vePM4eH0EBQ_45_3"/>
      <w:bookmarkStart w:id="462" w:name="Tc_Vd37AqfvfUmsS-EHisvavg_45_0"/>
      <w:bookmarkStart w:id="463" w:name="Tc_wfm-v7y4RUe71Kf_vIWqnw_44_3"/>
      <w:bookmarkStart w:id="464" w:name="Tc_MHIF0IuJLEKM20X4bPxe8g_44_0"/>
      <w:bookmarkStart w:id="465" w:name="Tc_jPoU5L9b60KjxvJ-5Tj6cg_43_3"/>
      <w:bookmarkStart w:id="466" w:name="Tc_fjqHLjEbM0uIK96rrAk7tQ_43_0"/>
      <w:bookmarkStart w:id="467" w:name="Tc_C6GBJjOyiUqij2oGa7eOtA_42_3"/>
      <w:bookmarkStart w:id="468" w:name="Tc_6rHGYLCq7UOLQ_IaQocQXA_42_0"/>
      <w:bookmarkStart w:id="469" w:name="Tc_uYocpf7hu0ujNXikOnzdQA_41_5"/>
      <w:bookmarkStart w:id="470" w:name="Tc_ilIuE1tFUkuZqZ-p56uhoQ_41_2"/>
      <w:bookmarkStart w:id="471" w:name="Tc_WTZFBVQTG0CvkVtVSlW44Q_41_0"/>
      <w:bookmarkStart w:id="472" w:name="Tc_IGR8WqZtD0-7DegWXX4wbA_40_0"/>
      <w:bookmarkStart w:id="473" w:name="Tc_iqFlM_ix8kq0r_GMKPn7oQ_39_5"/>
      <w:bookmarkStart w:id="474" w:name="Tc_s9MtkZaRLEOgbHKW_Q47IA_39_2"/>
      <w:bookmarkStart w:id="475" w:name="Tc_BNh80PYJiU2J73lVPpqJ9Q_39_0"/>
      <w:bookmarkStart w:id="476" w:name="Tc_Z2PXaUZSQ0Gf9jgeZ5IhCQ_38_0"/>
      <w:bookmarkStart w:id="477" w:name="Tc_-QInv2FOg02isGfBaZvGXQ_37_0"/>
      <w:bookmarkStart w:id="478" w:name="Tc_SoOF0tVQ1kqpMCKR9nr_Aw_36_0"/>
      <w:bookmarkStart w:id="479" w:name="Tc_kmc9eeVq7EWPAn2HCzMbxw_35_0"/>
      <w:bookmarkStart w:id="480" w:name="Tc_-I8PuNRDK0q5ExUS4Z0XRw_34_3"/>
      <w:bookmarkStart w:id="481" w:name="Tc_Mfw8htwxXEqRLJnHlo_D7w_34_0"/>
      <w:bookmarkStart w:id="482" w:name="Tc_vkXOfgWCgUKVIet3ShRzvw_33_0"/>
      <w:bookmarkStart w:id="483" w:name="Tc_YAAQVuiTK0mgb4pQ8sjoBg_32_3"/>
      <w:bookmarkStart w:id="484" w:name="Tc_5K3pIzz1T0u3DD-ESLuPJg_32_0"/>
      <w:bookmarkStart w:id="485" w:name="Tc_efd6IxCOlkqVSvKmWFO3Mw_31_3"/>
      <w:bookmarkStart w:id="486" w:name="Tc_EzY5HH2Li0CdPvdTZ7ptGA_31_0"/>
      <w:bookmarkStart w:id="487" w:name="Tc_KqzNP2O5skql8OnUyC3bAA_30_0"/>
      <w:bookmarkStart w:id="488" w:name="Tc_Fwq9Vq5PA0y-zd7n7FoxJA_29_0"/>
      <w:bookmarkStart w:id="489" w:name="Tc_HIX0wb59bkuetkVJOeg5mA_28_3"/>
      <w:bookmarkStart w:id="490" w:name="Tc_O0u31mSGG0WPPDgUXW8pXg_28_0"/>
      <w:bookmarkStart w:id="491" w:name="Tc_4xNh2UVH5EKLe0jWYWF-CQ_27_3"/>
      <w:bookmarkStart w:id="492" w:name="Tc_xuOkhTKrz0qhIxJalTvJwA_27_0"/>
      <w:bookmarkStart w:id="493" w:name="Tc_FtE7MytPKUGDef7LjiAgUg_26_0"/>
      <w:bookmarkStart w:id="494" w:name="Tc_eZFl-j96t0Sd4UVPKzv6XA_25_0"/>
      <w:bookmarkStart w:id="495" w:name="Tc_mujhQaFRHEagS00gCMQa0Q_24_0"/>
      <w:bookmarkStart w:id="496" w:name="Tc_WbP2BCSfEEKc11FvFWroiA_23_3"/>
      <w:bookmarkStart w:id="497" w:name="Tc_FZRl_TG_tUSqBFd9ZpN0SQ_23_0"/>
      <w:bookmarkStart w:id="498" w:name="Tc_HCpNMzdR30WhXsPyS3Gf7Q_22_0"/>
      <w:bookmarkStart w:id="499" w:name="Tc_0J_FgGjlcUW-RYm-2WtqSg_21_0"/>
      <w:bookmarkStart w:id="500" w:name="Tc_IYj3zUpkikK3F8e-SaHhIw_20_0"/>
      <w:bookmarkStart w:id="501" w:name="Tc_2Tjog-T7SE2g1MQG7MQDIA_19_0"/>
      <w:bookmarkStart w:id="502" w:name="Tc_U2MgIlKODUi91K1ZkDpxQw_18_0"/>
      <w:bookmarkStart w:id="503" w:name="Tc_yPao4T8wdUKfEgMcaRINmQ_17_0"/>
      <w:bookmarkStart w:id="504" w:name="Tc_-ukGI8DlsUmsAmij5RKbAg_16_0"/>
      <w:bookmarkStart w:id="505" w:name="Tc_-2FmngMvykCsGRXgW0H8oA_15_0"/>
      <w:bookmarkStart w:id="506" w:name="Tc_i-OTa3HBikaiPvJUhtL-Yg_14_0"/>
      <w:bookmarkStart w:id="507" w:name="Tc_dV9OnOvLDUmsnS-3PjbSzw_13_0"/>
      <w:bookmarkStart w:id="508" w:name="Tc_Nzvuo6ppIkW8pC623weKkA_12_3"/>
      <w:bookmarkStart w:id="509" w:name="Tc_0r25yCYT5UuVfweG7hVnxQ_12_0"/>
      <w:bookmarkStart w:id="510" w:name="Tc_6PTox7TllUGAp9NDHmMafw_11_0"/>
      <w:bookmarkStart w:id="511" w:name="Tc_gaXtkEWB2kWS5Qozr2-U4Q_10_0"/>
      <w:bookmarkStart w:id="512" w:name="Tc_wgIBh6V_2EOvu5JLbUUgdg_9_0"/>
      <w:bookmarkStart w:id="513" w:name="Tc_xiyhfXmZyU68lhrBn42NUw_8_0"/>
      <w:bookmarkStart w:id="514" w:name="Tc_uBLpI4JtZEeMe8NRyB7dvw_7_0"/>
      <w:bookmarkStart w:id="515" w:name="Tc_QlixwsntFkyN8FHd7fSwDg_6_0"/>
      <w:bookmarkStart w:id="516" w:name="Tc_wCgT-l70akKdNP2fYVH3uQ_5_5"/>
      <w:bookmarkStart w:id="517" w:name="Tc_edFILcHH8k-kbW25Kz4YNA_5_2"/>
      <w:bookmarkStart w:id="518" w:name="Tc_-U4EaHeVM02hm19MHNNJpA_5_0"/>
      <w:bookmarkStart w:id="519" w:name="Tc_yRz1R7SdW0K5BXGnaFUODQ_4_0"/>
      <w:bookmarkStart w:id="520" w:name="Tc_9mTlQtKpLE2QusNuAxhgvw_3_5"/>
      <w:bookmarkStart w:id="521" w:name="Tc_-JFpyQWYsk6-cLQST2iyQQ_3_2"/>
      <w:bookmarkStart w:id="522" w:name="Tc_6Xu9cTXotESV1WFfQaF6-A_3_0"/>
      <w:bookmarkStart w:id="523" w:name="Tc_xFOd0TwA5EKeSXGEsImXow_2_5"/>
      <w:bookmarkStart w:id="524" w:name="Tc_P1u_6NqFy0WQdC32qGvodg_2_2"/>
      <w:bookmarkStart w:id="525" w:name="Tc_ivyr-QurCEiWebmne5__jQ_1_2"/>
      <w:bookmarkStart w:id="526" w:name="_b16203a8_7b97_40a7_a893_ec4e17838d84"/>
      <w:bookmarkStart w:id="527" w:name="Tc_l0VstsIITUKHKEELAcNSgQ_49_0"/>
      <w:bookmarkStart w:id="528" w:name="Tc_KmU5x2VaJUK0ksrefPx0TA_48_5"/>
      <w:bookmarkStart w:id="529" w:name="Tc__pCTBJDJXkO741j9dGDgmQ_48_2"/>
      <w:bookmarkStart w:id="530" w:name="Tc_5f8n6P2_OkuJWcOOme_Ukw_48_0"/>
      <w:bookmarkStart w:id="531" w:name="Tc_AClYzIKGnEi_V0E3Ouu4EQ_47_0"/>
      <w:bookmarkStart w:id="532" w:name="Tc_6ISzlghKMka_s5QwzKG-Xg_46_3"/>
      <w:bookmarkStart w:id="533" w:name="Tc_yMcKo9GzJU-cs3Q1JTelkg_46_0"/>
      <w:bookmarkStart w:id="534" w:name="Tc_WjoiYru32E6vePM4eH0EBQ_45_3"/>
      <w:bookmarkStart w:id="535" w:name="Tc_Vd37AqfvfUmsS-EHisvavg_45_0"/>
      <w:bookmarkStart w:id="536" w:name="Tc_wfm-v7y4RUe71Kf_vIWqnw_44_3"/>
      <w:bookmarkStart w:id="537" w:name="Tc_MHIF0IuJLEKM20X4bPxe8g_44_0"/>
      <w:bookmarkStart w:id="538" w:name="Tc_jPoU5L9b60KjxvJ-5Tj6cg_43_3"/>
      <w:bookmarkStart w:id="539" w:name="Tc_fjqHLjEbM0uIK96rrAk7tQ_43_0"/>
      <w:bookmarkStart w:id="540" w:name="Tc_C6GBJjOyiUqij2oGa7eOtA_42_3"/>
      <w:bookmarkStart w:id="541" w:name="Tc_6rHGYLCq7UOLQ_IaQocQXA_42_0"/>
      <w:bookmarkStart w:id="542" w:name="Tc_uYocpf7hu0ujNXikOnzdQA_41_5"/>
      <w:bookmarkStart w:id="543" w:name="Tc_ilIuE1tFUkuZqZ-p56uhoQ_41_2"/>
      <w:bookmarkStart w:id="544" w:name="Tc_WTZFBVQTG0CvkVtVSlW44Q_41_0"/>
      <w:bookmarkStart w:id="545" w:name="Tc_IGR8WqZtD0-7DegWXX4wbA_40_0"/>
      <w:bookmarkStart w:id="546" w:name="Tc_iqFlM_ix8kq0r_GMKPn7oQ_39_5"/>
      <w:bookmarkStart w:id="547" w:name="Tc_s9MtkZaRLEOgbHKW_Q47IA_39_2"/>
      <w:bookmarkStart w:id="548" w:name="Tc_BNh80PYJiU2J73lVPpqJ9Q_39_0"/>
      <w:bookmarkStart w:id="549" w:name="Tc_Z2PXaUZSQ0Gf9jgeZ5IhCQ_38_0"/>
      <w:bookmarkStart w:id="550" w:name="Tc_-QInv2FOg02isGfBaZvGXQ_37_0"/>
      <w:bookmarkStart w:id="551" w:name="Tc_SoOF0tVQ1kqpMCKR9nr_Aw_36_0"/>
      <w:bookmarkStart w:id="552" w:name="Tc_kmc9eeVq7EWPAn2HCzMbxw_35_0"/>
      <w:bookmarkStart w:id="553" w:name="Tc_-I8PuNRDK0q5ExUS4Z0XRw_34_3"/>
      <w:bookmarkStart w:id="554" w:name="Tc_Mfw8htwxXEqRLJnHlo_D7w_34_0"/>
      <w:bookmarkStart w:id="555" w:name="Tc_vkXOfgWCgUKVIet3ShRzvw_33_0"/>
      <w:bookmarkStart w:id="556" w:name="Tc_YAAQVuiTK0mgb4pQ8sjoBg_32_3"/>
      <w:bookmarkStart w:id="557" w:name="Tc_5K3pIzz1T0u3DD-ESLuPJg_32_0"/>
      <w:bookmarkStart w:id="558" w:name="Tc_efd6IxCOlkqVSvKmWFO3Mw_31_3"/>
      <w:bookmarkStart w:id="559" w:name="Tc_EzY5HH2Li0CdPvdTZ7ptGA_31_0"/>
      <w:bookmarkStart w:id="560" w:name="Tc_KqzNP2O5skql8OnUyC3bAA_30_0"/>
      <w:bookmarkStart w:id="561" w:name="Tc_Fwq9Vq5PA0y-zd7n7FoxJA_29_0"/>
      <w:bookmarkStart w:id="562" w:name="Tc_HIX0wb59bkuetkVJOeg5mA_28_3"/>
      <w:bookmarkStart w:id="563" w:name="Tc_O0u31mSGG0WPPDgUXW8pXg_28_0"/>
      <w:bookmarkStart w:id="564" w:name="Tc_4xNh2UVH5EKLe0jWYWF-CQ_27_3"/>
      <w:bookmarkStart w:id="565" w:name="Tc_xuOkhTKrz0qhIxJalTvJwA_27_0"/>
      <w:bookmarkStart w:id="566" w:name="Tc_FtE7MytPKUGDef7LjiAgUg_26_0"/>
      <w:bookmarkStart w:id="567" w:name="Tc_eZFl-j96t0Sd4UVPKzv6XA_25_0"/>
      <w:bookmarkStart w:id="568" w:name="Tc_mujhQaFRHEagS00gCMQa0Q_24_0"/>
      <w:bookmarkStart w:id="569" w:name="Tc_WbP2BCSfEEKc11FvFWroiA_23_3"/>
      <w:bookmarkStart w:id="570" w:name="Tc_FZRl_TG_tUSqBFd9ZpN0SQ_23_0"/>
      <w:bookmarkStart w:id="571" w:name="Tc_HCpNMzdR30WhXsPyS3Gf7Q_22_0"/>
      <w:bookmarkStart w:id="572" w:name="Tc_0J_FgGjlcUW-RYm-2WtqSg_21_0"/>
      <w:bookmarkStart w:id="573" w:name="Tc_IYj3zUpkikK3F8e-SaHhIw_20_0"/>
      <w:bookmarkStart w:id="574" w:name="Tc_2Tjog-T7SE2g1MQG7MQDIA_19_0"/>
      <w:bookmarkStart w:id="575" w:name="Tc_U2MgIlKODUi91K1ZkDpxQw_18_0"/>
      <w:bookmarkStart w:id="576" w:name="Tc_yPao4T8wdUKfEgMcaRINmQ_17_0"/>
      <w:bookmarkStart w:id="577" w:name="Tc_-ukGI8DlsUmsAmij5RKbAg_16_0"/>
      <w:bookmarkStart w:id="578" w:name="Tc_-2FmngMvykCsGRXgW0H8oA_15_0"/>
      <w:bookmarkStart w:id="579" w:name="Tc_i-OTa3HBikaiPvJUhtL-Yg_14_0"/>
      <w:bookmarkStart w:id="580" w:name="Tc_dV9OnOvLDUmsnS-3PjbSzw_13_0"/>
      <w:bookmarkStart w:id="581" w:name="Tc_Nzvuo6ppIkW8pC623weKkA_12_3"/>
      <w:bookmarkStart w:id="582" w:name="Tc_0r25yCYT5UuVfweG7hVnxQ_12_0"/>
      <w:bookmarkStart w:id="583" w:name="Tc_6PTox7TllUGAp9NDHmMafw_11_0"/>
      <w:bookmarkStart w:id="584" w:name="Tc_gaXtkEWB2kWS5Qozr2-U4Q_10_0"/>
      <w:bookmarkStart w:id="585" w:name="Tc_wgIBh6V_2EOvu5JLbUUgdg_9_0"/>
      <w:bookmarkStart w:id="586" w:name="Tc_xiyhfXmZyU68lhrBn42NUw_8_0"/>
      <w:bookmarkStart w:id="587" w:name="Tc_uBLpI4JtZEeMe8NRyB7dvw_7_0"/>
      <w:bookmarkStart w:id="588" w:name="Tc_QlixwsntFkyN8FHd7fSwDg_6_0"/>
      <w:bookmarkStart w:id="589" w:name="Tc_wCgT-l70akKdNP2fYVH3uQ_5_5"/>
      <w:bookmarkStart w:id="590" w:name="Tc_edFILcHH8k-kbW25Kz4YNA_5_2"/>
      <w:bookmarkStart w:id="591" w:name="Tc_-U4EaHeVM02hm19MHNNJpA_5_0"/>
      <w:bookmarkStart w:id="592" w:name="Tc_yRz1R7SdW0K5BXGnaFUODQ_4_0"/>
      <w:bookmarkStart w:id="593" w:name="Tc_9mTlQtKpLE2QusNuAxhgvw_3_5"/>
      <w:bookmarkStart w:id="594" w:name="Tc_-JFpyQWYsk6-cLQST2iyQQ_3_2"/>
      <w:bookmarkStart w:id="595" w:name="Tc_6Xu9cTXotESV1WFfQaF6-A_3_0"/>
      <w:bookmarkStart w:id="596" w:name="Tc_xFOd0TwA5EKeSXGEsImXow_2_5"/>
      <w:bookmarkStart w:id="597" w:name="Tc_P1u_6NqFy0WQdC32qGvodg_2_2"/>
      <w:bookmarkStart w:id="598" w:name="Tc_ivyr-QurCEiWebmne5__jQ_1_2"/>
      <w:bookmarkStart w:id="599" w:name="_b16203a8_7b97_40a7_a893_ec4e17838d84"/>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10088" w:type="dxa"/>
        <w:jc w:val="left"/>
        <w:tblInd w:w="0" w:type="dxa"/>
        <w:tblLayout w:type="fixed"/>
        <w:tblCellMar>
          <w:top w:w="0" w:type="dxa"/>
          <w:left w:w="0" w:type="dxa"/>
          <w:bottom w:w="0" w:type="dxa"/>
          <w:right w:w="0" w:type="dxa"/>
        </w:tblCellMar>
      </w:tblPr>
      <w:tblGrid>
        <w:gridCol w:w="7366"/>
        <w:gridCol w:w="326"/>
        <w:gridCol w:w="307"/>
        <w:gridCol w:w="833"/>
        <w:gridCol w:w="326"/>
        <w:gridCol w:w="237"/>
        <w:gridCol w:w="693"/>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677410" cy="175260"/>
                      <wp:effectExtent l="0" t="0" r="0" b="0"/>
                      <wp:wrapNone/>
                      <wp:docPr id="42" name="Frame4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94945" cy="175260"/>
                      <wp:effectExtent l="0" t="0" r="0" b="0"/>
                      <wp:wrapNone/>
                      <wp:docPr id="44" name="Frame4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28955" cy="175260"/>
                      <wp:effectExtent l="0" t="0" r="0" b="0"/>
                      <wp:wrapNone/>
                      <wp:docPr id="45" name="Frame4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0495" cy="175260"/>
                      <wp:effectExtent l="0" t="0" r="0" b="0"/>
                      <wp:wrapNone/>
                      <wp:docPr id="47" name="Frame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40055" cy="175260"/>
                      <wp:effectExtent l="0" t="0" r="0" b="0"/>
                      <wp:wrapNone/>
                      <wp:docPr id="48" name="Frame48"/>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7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Adjustments to reconcile net income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of property and equipment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413</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Exchange rate differences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on Dividend Note to related party, net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with related party, net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trade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current assets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accounts payable, accrued expenses and related party payable</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employee-related accrued expenses and long term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other current liabilities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long 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long term liabilities</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285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loan due from related party</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734</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of loan to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(75)</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319</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transfers from Parent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Dividend paid</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 recharge</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(29)</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(451)</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Effect of foreign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of cash, cash equivalents and restricted cash,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625</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of 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1,207</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6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882</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Supplementary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purchase of property and equipment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share based compensation recharge</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transaction in connection with the legal purchase of Moovit entities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Dividend Note with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 cash deferred offering costs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Tax sharing agreement with Parent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93" w:type="dxa"/>
            <w:tcBorders/>
            <w:vAlign w:val="center"/>
          </w:tcPr>
          <w:p>
            <w:pPr>
              <w:pStyle w:val="TableContents"/>
              <w:bidi w:val="0"/>
              <w:spacing w:before="0" w:after="0"/>
              <w:ind w:left="0" w:right="0" w:hanging="0"/>
              <w:jc w:val="right"/>
              <w:rPr/>
            </w:pPr>
            <w:r>
              <w:rPr/>
              <w:t>  </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received (paid) for income taxes,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received from related party</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93"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600" w:name="NOTE1GENERAL_726633"/>
      <w:bookmarkEnd w:id="600"/>
      <w:r>
        <w:rPr>
          <w:rFonts w:ascii="Times New Roman;Times;serif" w:hAnsi="Times New Roman;Times;serif"/>
          <w:b/>
          <w:sz w:val="20"/>
        </w:rPr>
        <w:t>NOTE 1 - GENERAL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Mobileye operates as a subsidiary of Intel Corporation (“Intel” or the “Parent”), which acquired a majority stake in Mobileye in August 2017 (the “Mobileye Acquisition”). The remaining issued and outstanding shares of Mobileye were acquired by Intel in 2018.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Before the completion of the Mobileye IPO and the Reorganization (both as defined below) in October 2022, the Company consisted of the “Mobileye Group”, which combined the operations of Cyclops Holdings LLC (“Cyclops”), Mobileye B.V. and its subsidiaries, GG Acquisition Ltd. and Moovit App Global Ltd. and its subsidiaries (“Moovit”) and certain Intel employees mainly in research and development (the “Intel Aligned Groups”).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Mobileye IPO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28, 2022, the initial public offering of Mobileye (the “Mobileye IPO”) was completed and we issued 41,000,000 shares of our Class A common stock, at $21 per share, before underwriting discounts and commissions. Concurrently with the closing of the Mobileye IPO, the Company issued an additional 4,761,905 shares of its Class A common stock to General Atlantic (ME), L.P., a Delaware limited partnership, at $21 per share, pursuant to a private placement exempt from registration under Section 4(a)(2) of the Securities Act of 1933, as amended, for gross proceeds of $100 million (the “Concurrent Private Placement”). On November 1, 2022, we closed the sale of an additional 6,150,000 Class A shares pursuant to the exercise of the underwriters’ over-allotment option.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Upon completion of the Mobileye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Secondary Offering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“Secondary Offering”). The Company did not receive any proceeds from this offering. The Company paid the costs associated with the registration of shares in connection with the Secondary Offering in the amount of $1 million, other than underwriting discounts, fees and commissions. These costs were expensed as incurred within general and administrative expenses. Upon the completion of the Secondary Offering, Intel continues to directly or indirectly hold all of the Class B common stock of Mobileye, which represents approximately 88.3% of our outstanding common stock and 98.7% of the voting power of our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 52- or 53-week fiscal year that ends on the last Saturday in December. Fiscal year 2022 was a 53-week fiscal year; fiscal year 2023 is a 52-week fiscal year. The additional week in fiscal year 2022 was added in the first quarter, which consisted of 14 weeks.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results of operations for the three and nine months ended September 30, 2023 shown in this report are not necessarily indicative of the results to be expected for the full year ending 2023. The condensed consolidated financial statements should be read in conjunction with the audited consolidated financial statements for the fiscal year ended December 31, 2022.</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condensed consolidated financial statements on a historical cost basis, as included in the consolidated financial statements of Intel.</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Following the completion of the Mobileye IPO, the condensed consolidated financial statements include the accounts of the Company and its wholly-owned subsidiaries.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20"/>
        <w:ind w:left="0" w:right="0" w:firstLine="360"/>
        <w:jc w:val="both"/>
        <w:rPr>
          <w:rFonts w:ascii="Times New Roman;Times;serif" w:hAnsi="Times New Roman;Times;serif"/>
          <w:sz w:val="20"/>
        </w:rPr>
      </w:pPr>
      <w:bookmarkStart w:id="601" w:name="Tc_8BR5t8NPuEKDNs-pDgUTtA_7_5"/>
      <w:bookmarkStart w:id="602" w:name="Tc_n2C1m62HjEubv6oX7YUcTQ_7_2"/>
      <w:bookmarkStart w:id="603" w:name="Tc_Korb1eCjLUmKdLHDL90MUA_7_0"/>
      <w:bookmarkStart w:id="604" w:name="Tc_Tw1WjA50GkeoGOjiH20K1w_5_0"/>
      <w:bookmarkStart w:id="605" w:name="Tc_7ml-KHkdqkGWk7P_j3tzcg_4_0"/>
      <w:bookmarkStart w:id="606" w:name="Tc__XAFLA1WgE-Posj0VcagUA_3_5"/>
      <w:bookmarkStart w:id="607" w:name="Tc_yGe8Zmz4HUuh1vD0CReMIw_3_2"/>
      <w:bookmarkStart w:id="608" w:name="Tc_vwzXrOzr7EGsXDbfDQiOMA_3_0"/>
      <w:bookmarkStart w:id="609" w:name="Tc_iTBnXO9Vx02MgxescBl_0A_2_5"/>
      <w:bookmarkStart w:id="610" w:name="Tc_mmnVZLzr9E-fZERC3TRz_Q_2_2"/>
      <w:bookmarkStart w:id="611" w:name="Tc_EKNlsvGLiUWq-gsj1pULNg_2_0"/>
      <w:bookmarkStart w:id="612" w:name="Tc_aZ3JKe1sn0urUf-_OQsMEA_1_2"/>
      <w:bookmarkEnd w:id="601"/>
      <w:bookmarkEnd w:id="602"/>
      <w:bookmarkEnd w:id="603"/>
      <w:bookmarkEnd w:id="604"/>
      <w:bookmarkEnd w:id="605"/>
      <w:bookmarkEnd w:id="606"/>
      <w:bookmarkEnd w:id="607"/>
      <w:bookmarkEnd w:id="608"/>
      <w:bookmarkEnd w:id="609"/>
      <w:bookmarkEnd w:id="610"/>
      <w:bookmarkEnd w:id="611"/>
      <w:bookmarkEnd w:id="612"/>
      <w:r>
        <w:rPr>
          <w:rFonts w:ascii="Times New Roman;Times;serif" w:hAnsi="Times New Roman;Times;serif"/>
          <w:sz w:val="20"/>
        </w:rPr>
        <w:t>There have been no material changes in our significant accounting policies as described in our consolidated financial statements for the fiscal year ended December 31, 2022. For further detail, see Note 2 in the audited consolidated financial statements for the fiscal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an on-going basis, management evaluates its estimates, judgments, and assumptions. The most significant estimates and assumptions relate to useful lives of intangible assets, impairment assessment of goodwill and income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reconciliation of the cash, cash equivalents and restricted cash as of each period end:</w:t>
      </w:r>
    </w:p>
    <w:p>
      <w:pPr>
        <w:pStyle w:val="TextBody"/>
        <w:bidi w:val="0"/>
        <w:spacing w:before="0" w:after="0"/>
        <w:ind w:left="0" w:right="0" w:hanging="0"/>
        <w:jc w:val="left"/>
        <w:rPr/>
      </w:pPr>
      <w:r>
        <w:rPr/>
        <w:t>​</w:t>
      </w:r>
    </w:p>
    <w:tbl>
      <w:tblPr>
        <w:tblW w:w="9068" w:type="dxa"/>
        <w:jc w:val="left"/>
        <w:tblInd w:w="0" w:type="dxa"/>
        <w:tblLayout w:type="fixed"/>
        <w:tblCellMar>
          <w:top w:w="0" w:type="dxa"/>
          <w:left w:w="0" w:type="dxa"/>
          <w:bottom w:w="0" w:type="dxa"/>
          <w:right w:w="0" w:type="dxa"/>
        </w:tblCellMar>
      </w:tblPr>
      <w:tblGrid>
        <w:gridCol w:w="5326"/>
        <w:gridCol w:w="326"/>
        <w:gridCol w:w="417"/>
        <w:gridCol w:w="1128"/>
        <w:gridCol w:w="326"/>
        <w:gridCol w:w="367"/>
        <w:gridCol w:w="1178"/>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382010" cy="175260"/>
                      <wp:effectExtent l="0" t="0" r="0" b="0"/>
                      <wp:wrapNone/>
                      <wp:docPr id="49" name="Frame49"/>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64795" cy="175260"/>
                      <wp:effectExtent l="0" t="0" r="0" b="0"/>
                      <wp:wrapNone/>
                      <wp:docPr id="51" name="Frame5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16280" cy="175260"/>
                      <wp:effectExtent l="0" t="0" r="0" b="0"/>
                      <wp:wrapNone/>
                      <wp:docPr id="52" name="Frame52"/>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3045" cy="175260"/>
                      <wp:effectExtent l="0" t="0" r="0" b="0"/>
                      <wp:wrapNone/>
                      <wp:docPr id="54" name="Frame5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48030" cy="175260"/>
                      <wp:effectExtent l="0" t="0" r="0" b="0"/>
                      <wp:wrapNone/>
                      <wp:docPr id="55" name="Frame55"/>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deposits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(within other current and other long-term assets) </w:t>
            </w:r>
          </w:p>
        </w:tc>
        <w:tc>
          <w:tcPr>
            <w:tcW w:w="326" w:type="dxa"/>
            <w:tcBorders/>
            <w:vAlign w:val="center"/>
          </w:tcPr>
          <w:p>
            <w:pPr>
              <w:pStyle w:val="TableContents"/>
              <w:bidi w:val="0"/>
              <w:spacing w:before="0" w:after="0"/>
              <w:ind w:left="0" w:right="0" w:hanging="0"/>
              <w:jc w:val="left"/>
              <w:rPr/>
            </w:pPr>
            <w:r>
              <w:rPr/>
              <w:t> </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cash equivalents and restricted cash </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carrying value of short term deposits classified as cash equivalents approximates their fair value due to the short maturity of these items.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money market funds is measured at fair value and consists of financial assets for which quoted prices are available in an active market. Interest income related to money market funds for the three and nine months ended September 30, 2023 amounted to $15 million and $35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trade accounts receivable and accounts payable approximate fair value because of their generally short maturities.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as incurred, and consist primarily of personnel, facilities, equipment, and supplies for research and development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613" w:name="Tc_MvSkL-VJB0S7zAK5NlA06w_6_11"/>
      <w:bookmarkStart w:id="614" w:name="Tc_v7cgfp_BdUqIANAybX439A_6_8"/>
      <w:bookmarkStart w:id="615" w:name="Tc_d8AKeuQ3KU6dpApDBQvu_Q_6_5"/>
      <w:bookmarkStart w:id="616" w:name="Tc_nKvC519bX020o4QkX1oPrw_6_3"/>
      <w:bookmarkStart w:id="617" w:name="Tc_y3mWlgvZwE6zqP4GY-4HLw_6_2"/>
      <w:bookmarkStart w:id="618" w:name="Tc_qMiXhWwb5UyPWHWi7XjYsQ_6_0"/>
      <w:bookmarkStart w:id="619" w:name="Tc_Vro2POi0kUmT02aQMaAfbA_5_3"/>
      <w:bookmarkStart w:id="620" w:name="Tc_Aeqa_eGijU-RauSAhx7E3g_5_0"/>
      <w:bookmarkStart w:id="621" w:name="Tc_Do3uA5JDD0Oz-S2cneGJuQ_4_3"/>
      <w:bookmarkStart w:id="622" w:name="Tc_sKts9DkMkUO08In_fnjy2w_4_0"/>
      <w:bookmarkStart w:id="623" w:name="Tc_3nacRx3P3UuGfnv2XzBQkA_3_11"/>
      <w:bookmarkStart w:id="624" w:name="Tc_u72Jsl93Zk68aVFAjA387w_3_9"/>
      <w:bookmarkStart w:id="625" w:name="Tc_IXCV4k1Pik2v4ZOYNlLomA_3_8"/>
      <w:bookmarkStart w:id="626" w:name="Tc_q0A2hK6ah0u6ul8kC_jLfQ_3_5"/>
      <w:bookmarkStart w:id="627" w:name="Tc_tSt757MtNEK2NUDI2RZH9w_3_3"/>
      <w:bookmarkStart w:id="628" w:name="Tc_GJhX7kjieESrjrfUVH_22Q_3_2"/>
      <w:bookmarkStart w:id="629" w:name="Tc_kFGLfJYA6E2ZVJUmIkpcOg_3_0"/>
      <w:bookmarkStart w:id="630" w:name="Tc_ed44ts09VEGbpsti9LgC4w_2_11"/>
      <w:bookmarkStart w:id="631" w:name="Tc_9d2hKxt6eUecwLVax_yTWA_2_8"/>
      <w:bookmarkStart w:id="632" w:name="Tc_9RVf9iTTFUGaJABCp6N4aw_2_5"/>
      <w:bookmarkStart w:id="633" w:name="Tc_q5hgWeE9802mMnMP3RjMnA_2_2"/>
      <w:bookmarkStart w:id="634" w:name="Tc_3CYsdnBUukarSwcYY3-IJQ_2_0"/>
      <w:bookmarkStart w:id="635" w:name="Tc_4vsMo5mcXUa-9qZk_-4epA_1_8"/>
      <w:bookmarkStart w:id="636" w:name="Tc_QdpM3C7KfkSfE-LsckjPNw_1_2"/>
      <w:bookmarkStart w:id="637" w:name="Tc_V7ZgsmYTNk2AoS7WVU0Xew_4_5"/>
      <w:bookmarkStart w:id="638" w:name="Tc_vFrFLV1b6UWEPCZUXU_Fdw_4_3"/>
      <w:bookmarkStart w:id="639" w:name="Tc_VYyW9MdzBUK0WJz2Ft12Fg_4_2"/>
      <w:bookmarkStart w:id="640" w:name="Tc_ORHkz9LufEe4jtjGQfqbcQ_4_0"/>
      <w:bookmarkStart w:id="641" w:name="Tc_JxyzH7xVXUqs3zFIi3ceFw_3_5"/>
      <w:bookmarkStart w:id="642" w:name="Tc_zKA1-HBGEkGzspL6Z-RnRA_3_3"/>
      <w:bookmarkStart w:id="643" w:name="Tc_6Mmm8rhykUOG8wklQG0HYA_3_2"/>
      <w:bookmarkStart w:id="644" w:name="Tc_1Da28MWpuk2fTTcXHthKUQ_3_0"/>
      <w:bookmarkStart w:id="645" w:name="Tc_nX4-9GBU6Eqse7N1CteSOw_2_5"/>
      <w:bookmarkStart w:id="646" w:name="Tc_GK8LtVYmUE20IPuAKCsh3w_2_2"/>
      <w:bookmarkStart w:id="647" w:name="Tc_lHloOulwWUCsDmTGATQUVg_2_0"/>
      <w:bookmarkStart w:id="648" w:name="Tc_fMf7QoliG0CWSMjSRCBaww_1_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rPr>
          <w:rFonts w:ascii="Times New Roman;Times;serif" w:hAnsi="Times New Roman;Times;serif"/>
          <w:sz w:val="20"/>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$24 million and $15 million were offset against research and development costs in the three months ended September 30, 2023 and October 1, 2022, respectively; and $57 million and $40 million were offset in the nine months ended September 30, 2023 and October 1,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Beginning in 2021, as part of Intel’s corporate hedging program, Intel hedges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2022, the Company de-designated its remaining cash flow hedges for forecasted operating expenses denominated in ILS.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 As of September 30, 2023, there are no outstanding hedging instruments and all of the related accumulated other comprehensive income (loss) was reclassified into the statement of operations and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notional amount and fair value of derivatives outstanding at Intel on behalf of Mobileye were:</w:t>
      </w:r>
    </w:p>
    <w:p>
      <w:pPr>
        <w:pStyle w:val="TextBody"/>
        <w:bidi w:val="0"/>
        <w:spacing w:before="0" w:after="0"/>
        <w:ind w:left="0" w:right="0" w:hanging="0"/>
        <w:jc w:val="left"/>
        <w:rPr/>
      </w:pPr>
      <w:r>
        <w:rPr/>
        <w:t>​</w:t>
      </w:r>
    </w:p>
    <w:tbl>
      <w:tblPr>
        <w:tblW w:w="8573" w:type="dxa"/>
        <w:jc w:val="left"/>
        <w:tblInd w:w="0" w:type="dxa"/>
        <w:tblLayout w:type="fixed"/>
        <w:tblCellMar>
          <w:top w:w="0" w:type="dxa"/>
          <w:left w:w="0" w:type="dxa"/>
          <w:bottom w:w="0" w:type="dxa"/>
          <w:right w:w="0" w:type="dxa"/>
        </w:tblCellMar>
      </w:tblPr>
      <w:tblGrid>
        <w:gridCol w:w="4831"/>
        <w:gridCol w:w="326"/>
        <w:gridCol w:w="583"/>
        <w:gridCol w:w="962"/>
        <w:gridCol w:w="326"/>
        <w:gridCol w:w="569"/>
        <w:gridCol w:w="976"/>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067685" cy="175260"/>
                      <wp:effectExtent l="0" t="0" r="0" b="0"/>
                      <wp:wrapNone/>
                      <wp:docPr id="56" name="Frame56"/>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70205" cy="175260"/>
                      <wp:effectExtent l="0" t="0" r="0" b="0"/>
                      <wp:wrapNone/>
                      <wp:docPr id="58" name="Frame5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0870" cy="175260"/>
                      <wp:effectExtent l="0" t="0" r="0" b="0"/>
                      <wp:wrapNone/>
                      <wp:docPr id="59" name="Frame5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1315" cy="175260"/>
                      <wp:effectExtent l="0" t="0" r="0" b="0"/>
                      <wp:wrapNone/>
                      <wp:docPr id="61" name="Frame61"/>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19760" cy="175260"/>
                      <wp:effectExtent l="0" t="0" r="0" b="0"/>
                      <wp:wrapNone/>
                      <wp:docPr id="62" name="Frame6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Notional amount of derivatives</w:t>
            </w:r>
          </w:p>
        </w:tc>
        <w:tc>
          <w:tcPr>
            <w:tcW w:w="326"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derivatives receivable from (payable to) Intel</w:t>
            </w:r>
          </w:p>
        </w:tc>
        <w:tc>
          <w:tcPr>
            <w:tcW w:w="326"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accumulated other comprehensive income (loss) relating to gains (losses) on derivatives used for hedging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76"/>
        <w:gridCol w:w="326"/>
        <w:gridCol w:w="490"/>
        <w:gridCol w:w="804"/>
        <w:gridCol w:w="394"/>
        <w:gridCol w:w="468"/>
        <w:gridCol w:w="604"/>
        <w:gridCol w:w="109"/>
        <w:gridCol w:w="488"/>
        <w:gridCol w:w="805"/>
        <w:gridCol w:w="120"/>
        <w:gridCol w:w="348"/>
        <w:gridCol w:w="773"/>
      </w:tblGrid>
      <w:tr>
        <w:trPr/>
        <w:tc>
          <w:tcPr>
            <w:tcW w:w="4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842260" cy="175260"/>
                      <wp:effectExtent l="0" t="0" r="0" b="0"/>
                      <wp:wrapNone/>
                      <wp:docPr id="63" name="Frame63"/>
                      <a:graphic xmlns:a="http://schemas.openxmlformats.org/drawingml/2006/main">
                        <a:graphicData uri="http://schemas.microsoft.com/office/word/2010/wordprocessingShape">
                          <wps:wsp>
                            <wps:cNvSpPr txBox="1"/>
                            <wps:spPr>
                              <a:xfrm>
                                <a:off x="0" y="0"/>
                                <a:ext cx="284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11150" cy="175260"/>
                      <wp:effectExtent l="0" t="0" r="0" b="0"/>
                      <wp:wrapNone/>
                      <wp:docPr id="65" name="Frame65"/>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10540" cy="175260"/>
                      <wp:effectExtent l="0" t="0" r="0" b="0"/>
                      <wp:wrapNone/>
                      <wp:docPr id="66" name="Frame6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50190" cy="175260"/>
                      <wp:effectExtent l="0" t="0" r="0" b="0"/>
                      <wp:wrapNone/>
                      <wp:docPr id="67" name="Frame6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97180" cy="175260"/>
                      <wp:effectExtent l="0" t="0" r="0" b="0"/>
                      <wp:wrapNone/>
                      <wp:docPr id="68" name="Frame68"/>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83540" cy="175260"/>
                      <wp:effectExtent l="0" t="0" r="0" b="0"/>
                      <wp:wrapNone/>
                      <wp:docPr id="69" name="Frame69"/>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09880" cy="175260"/>
                      <wp:effectExtent l="0" t="0" r="0" b="0"/>
                      <wp:wrapNone/>
                      <wp:docPr id="71" name="Frame71"/>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1175" cy="175260"/>
                      <wp:effectExtent l="0" t="0" r="0" b="0"/>
                      <wp:wrapNone/>
                      <wp:docPr id="72" name="Frame72"/>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6200" cy="175260"/>
                      <wp:effectExtent l="0" t="0" r="0" b="0"/>
                      <wp:wrapNone/>
                      <wp:docPr id="73" name="Frame73"/>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0980" cy="175260"/>
                      <wp:effectExtent l="0" t="0" r="0" b="0"/>
                      <wp:wrapNone/>
                      <wp:docPr id="74" name="Frame74"/>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90855" cy="175260"/>
                      <wp:effectExtent l="0" t="0" r="0" b="0"/>
                      <wp:wrapNone/>
                      <wp:docPr id="75" name="Frame75"/>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109"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w:t>
            </w:r>
          </w:p>
        </w:tc>
      </w:tr>
      <w:tr>
        <w:trPr/>
        <w:tc>
          <w:tcPr>
            <w:tcW w:w="447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94" w:type="dxa"/>
            <w:tcBorders/>
            <w:vAlign w:val="center"/>
          </w:tcPr>
          <w:p>
            <w:pPr>
              <w:pStyle w:val="TableContents"/>
              <w:bidi w:val="0"/>
              <w:spacing w:before="0" w:after="1"/>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1"/>
              <w:ind w:left="0" w:right="0" w:hanging="0"/>
              <w:jc w:val="left"/>
              <w:rPr/>
            </w:pPr>
            <w:r>
              <w:rPr/>
              <w:t>​</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20" w:type="dxa"/>
            <w:tcBorders/>
            <w:vAlign w:val="center"/>
          </w:tcPr>
          <w:p>
            <w:pPr>
              <w:pStyle w:val="TableContents"/>
              <w:bidi w:val="0"/>
              <w:spacing w:before="0" w:after="1"/>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44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    </w:t>
            </w:r>
          </w:p>
        </w:tc>
        <w:tc>
          <w:tcPr>
            <w:tcW w:w="4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4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1"/>
              <w:ind w:left="0" w:right="0" w:hanging="0"/>
              <w:jc w:val="right"/>
              <w:rPr/>
            </w:pPr>
            <w:r>
              <w:rPr/>
              <w:t>—</w:t>
            </w:r>
          </w:p>
        </w:tc>
        <w:tc>
          <w:tcPr>
            <w:tcW w:w="120"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4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out of accumulated other comprehensive income (loss)</w:t>
            </w:r>
          </w:p>
        </w:tc>
        <w:tc>
          <w:tcPr>
            <w:tcW w:w="326" w:type="dxa"/>
            <w:tcBorders/>
            <w:vAlign w:val="center"/>
          </w:tcPr>
          <w:p>
            <w:pPr>
              <w:pStyle w:val="TableContents"/>
              <w:bidi w:val="0"/>
              <w:spacing w:before="0" w:after="1"/>
              <w:ind w:left="0" w:right="0" w:hanging="0"/>
              <w:jc w:val="left"/>
              <w:rPr/>
            </w:pPr>
            <w:r>
              <w:rPr/>
              <w:t> </w:t>
            </w:r>
          </w:p>
        </w:tc>
        <w:tc>
          <w:tcPr>
            <w:tcW w:w="490"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 </w:t>
            </w:r>
          </w:p>
        </w:tc>
        <w:tc>
          <w:tcPr>
            <w:tcW w:w="468"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20"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right"/>
              <w:rPr/>
            </w:pPr>
            <w:r>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4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effects</w:t>
            </w:r>
          </w:p>
        </w:tc>
        <w:tc>
          <w:tcPr>
            <w:tcW w:w="326" w:type="dxa"/>
            <w:tcBorders/>
            <w:shd w:fill="CCEEFF" w:val="clear"/>
            <w:vAlign w:val="center"/>
          </w:tcPr>
          <w:p>
            <w:pPr>
              <w:pStyle w:val="TableContents"/>
              <w:bidi w:val="0"/>
              <w:spacing w:before="0" w:after="1"/>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20" w:type="dxa"/>
            <w:tcBorders/>
            <w:shd w:fill="CCEEFF" w:val="clear"/>
            <w:vAlign w:val="center"/>
          </w:tcPr>
          <w:p>
            <w:pPr>
              <w:pStyle w:val="TableContents"/>
              <w:bidi w:val="0"/>
              <w:spacing w:before="0" w:after="1"/>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4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w:t>
            </w:r>
          </w:p>
        </w:tc>
        <w:tc>
          <w:tcPr>
            <w:tcW w:w="326" w:type="dxa"/>
            <w:tcBorders/>
            <w:vAlign w:val="center"/>
          </w:tcPr>
          <w:p>
            <w:pPr>
              <w:pStyle w:val="TableContents"/>
              <w:bidi w:val="0"/>
              <w:spacing w:before="0" w:after="1"/>
              <w:ind w:left="0" w:right="0" w:hanging="0"/>
              <w:jc w:val="left"/>
              <w:rPr/>
            </w:pPr>
            <w:r>
              <w:rPr/>
              <w:t> </w:t>
            </w:r>
          </w:p>
        </w:tc>
        <w:tc>
          <w:tcPr>
            <w:tcW w:w="4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04" w:type="dxa"/>
            <w:tcBorders/>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 </w:t>
            </w:r>
          </w:p>
        </w:tc>
        <w:tc>
          <w:tcPr>
            <w:tcW w:w="4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109"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0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120"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or benefit for those jurisdictions is recorded separately.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periods presented in the condensed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reflects tax loss and tax credit carry-forward attributes under the separate return method approach. Such tax attributes may not be benefited in the same period as the Company’s Parent on a consolidated tax return.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believes that there are no current matters that would have a material effect on the Company’s condensed consolidated balance sheets, statements of operations or cash flows. Legal fees are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primarily of cash and cash equivalents, which include short-term deposits and money market funds, and also trade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Accordingly, management believes that these bank deposits and money market funds, have minimal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for accounts receivable by considering a number of factors, including the length of time accounts receivable are past due, the Company’s previous loss history from such customers, and the customers’ current ability to pay its obligation to the Company. As of September 30, 2023 and December 31, 2022, the credit losses for accounts receivable were not material. The Company writes off accounts receivable when they are deemed uncollectible. For the three and nine months ended September 30, 2023 and October 1, 2022, the charge-offs and recoveries in relation to the credit losses accounts were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Dependence on a single supplier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experienced during 2022 and may experience in the future, including in ECUs for SuperVision™ and other components for our products.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Supply chain risk</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During the fiscal year ended December 31, 2022, due to global supply chain constraints and shortage of semiconductors, the Company’s sole supplier was not able to meet demand of the Company for EyeQ® SoCs, causing a significant reduction in the Company’s inventory levels. We may experience a shortfall of EyeQ® SoCs, ECUs for SuperVision™ and other components for our products. The reoccurrence of shortages and supply chain constraints in EyeQ® SoCs and ECUs for SuperVision™ and in components of our other products, may impair the Company’s ability to meet its customers’ requirements in a timely manner and may adversely affect the Company’s business, results of operations and financial condition. Moreover, to the extent that a global semiconductor shortage results in reduced production or production delays by automakers, those delays could result in reduced or delayed demand for the Company’s products. In addition, issues relating to the COVID-19 pandemic led to port congestion and intermittent supplier shutdowns and delays in the delivery of critical components, which resulted in additional expenses to expedite delivery of critical parts. Sustaining the Company’s production trajectory requires the readiness and solvency of its suppliers and vendors, a stable and motivated production workforce and ongoing government cooperation, including for travel and visa allowances, which governments may restrict. Although we cannot fully predict the length and the severity of the impact these pressures would have on a long-term basis, we do not anticipate that short-term supply chain constraints would materially adversely affect our results of operations, capital resources, sales, profits, and liquidity.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49" w:name="Tc_3GWNaJPBckiWtrBcgD2cjw_6_5"/>
      <w:bookmarkStart w:id="650" w:name="Tc_40jl_z6YWUSQYrPcHugWCA_6_2"/>
      <w:bookmarkStart w:id="651" w:name="Tc_i5F2fjxFhkuoFwh8MKBWiw_6_0"/>
      <w:bookmarkStart w:id="652" w:name="Tc_wH3a4tBjD0i2R5jJY7V3jw_5_0"/>
      <w:bookmarkStart w:id="653" w:name="Tc_iFki68CKHUaqJaaDLTXihg_4_6"/>
      <w:bookmarkStart w:id="654" w:name="Tc_7wXiu3t7NU2b9CEVRuNINA_4_0"/>
      <w:bookmarkStart w:id="655" w:name="Tc_zjBgiL7Yakixj6zH2FywFA_3_5"/>
      <w:bookmarkStart w:id="656" w:name="Tc_BW7SdiQxt0OqPOcYOkWItg_3_2"/>
      <w:bookmarkStart w:id="657" w:name="Tc_Fbwg4LnbDEydOr0zS9Wicw_3_0"/>
      <w:bookmarkStart w:id="658" w:name="Tc_0UVg5J67YUS-To4kKB0VNA_2_5"/>
      <w:bookmarkStart w:id="659" w:name="Tc_U0yOczs1kUGIrgK07dH0oQ_2_2"/>
      <w:bookmarkStart w:id="660" w:name="Tc_zsw_ybLgl0KvvZfcFZN3Zg_2_0"/>
      <w:bookmarkStart w:id="661" w:name="Tc_7oIzJLq1Vk-evQpc0jNLwQ_1_2"/>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sz w:val="20"/>
        </w:rPr>
        <w:t>NOTE 3 - OTHER FINANCIAL STATEMENT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0"/>
        <w:ind w:left="0" w:right="0" w:hanging="0"/>
        <w:jc w:val="left"/>
        <w:rPr/>
      </w:pPr>
      <w:r>
        <w:rPr/>
        <w:t>​</w:t>
      </w:r>
    </w:p>
    <w:tbl>
      <w:tblPr>
        <w:tblW w:w="5483" w:type="dxa"/>
        <w:jc w:val="left"/>
        <w:tblInd w:w="0" w:type="dxa"/>
        <w:tblLayout w:type="fixed"/>
        <w:tblCellMar>
          <w:top w:w="0" w:type="dxa"/>
          <w:left w:w="0" w:type="dxa"/>
          <w:bottom w:w="0" w:type="dxa"/>
          <w:right w:w="0" w:type="dxa"/>
        </w:tblCellMar>
      </w:tblPr>
      <w:tblGrid>
        <w:gridCol w:w="1741"/>
        <w:gridCol w:w="326"/>
        <w:gridCol w:w="514"/>
        <w:gridCol w:w="1031"/>
        <w:gridCol w:w="326"/>
        <w:gridCol w:w="441"/>
        <w:gridCol w:w="110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05535" cy="175260"/>
                      <wp:effectExtent l="0" t="0" r="0" b="0"/>
                      <wp:wrapNone/>
                      <wp:docPr id="76" name="Frame7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26390" cy="175260"/>
                      <wp:effectExtent l="0" t="0" r="0" b="0"/>
                      <wp:wrapNone/>
                      <wp:docPr id="78" name="Frame7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4685" cy="175260"/>
                      <wp:effectExtent l="0" t="0" r="0" b="0"/>
                      <wp:wrapNone/>
                      <wp:docPr id="79" name="Frame79"/>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0035" cy="175260"/>
                      <wp:effectExtent l="0" t="0" r="0" b="0"/>
                      <wp:wrapNone/>
                      <wp:docPr id="81" name="Frame8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01040" cy="175260"/>
                      <wp:effectExtent l="0" t="0" r="0" b="0"/>
                      <wp:wrapNone/>
                      <wp:docPr id="82" name="Frame8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inventories</w:t>
            </w:r>
          </w:p>
        </w:tc>
        <w:tc>
          <w:tcPr>
            <w:tcW w:w="326"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662" w:name="Tc_0rYM09LvPEioCDWndVRy5Q_10_5"/>
      <w:bookmarkStart w:id="663" w:name="Tc_S5YmdyEqXU2DRWSg9ZbDdw_10_2"/>
      <w:bookmarkStart w:id="664" w:name="Tc_-YoADDHuPUKcsrQnd5Hmkw_10_0"/>
      <w:bookmarkStart w:id="665" w:name="Tc_Q4diqeNAdEKvHnaMEJnnCA_9_0"/>
      <w:bookmarkStart w:id="666" w:name="Tc_nOgHBkqV0UmdoDO7sj7m1A_8_5"/>
      <w:bookmarkStart w:id="667" w:name="Tc_8foKkX9EBkmg4gAECpCuWQ_8_2"/>
      <w:bookmarkStart w:id="668" w:name="Tc_b_xD7xgcLEqZA5AvzrjxLQ_8_0"/>
      <w:bookmarkStart w:id="669" w:name="Tc_TyTnqLW59kiEj0XuGOUE9g_7_0"/>
      <w:bookmarkStart w:id="670" w:name="Tc_fjY4A01RYEuEkNGNc7fN7Q_6_0"/>
      <w:bookmarkStart w:id="671" w:name="Tc_ZMY_-XFFJUqOzU6LooCbtQ_5_0"/>
      <w:bookmarkStart w:id="672" w:name="Tc_FeVQS-yEU0yOyVpZ4po0PQ_4_0"/>
      <w:bookmarkStart w:id="673" w:name="Tc_N-JiLemmJUebIk-czOsbOg_3_5"/>
      <w:bookmarkStart w:id="674" w:name="Tc_8h5SeRq1vUuR__XIIdIVxA_3_2"/>
      <w:bookmarkStart w:id="675" w:name="Tc_zQ_gp3hnDUuGhsnqaL0QYQ_3_0"/>
      <w:bookmarkStart w:id="676" w:name="Tc_nHgYpqcuKUuE2o-c_sTAVw_2_5"/>
      <w:bookmarkStart w:id="677" w:name="Tc_zaZngZSoNEK5WFdYt5zy_Q_2_2"/>
      <w:bookmarkStart w:id="678" w:name="Tc_tEiF653J60uiFyp0pB9bwg_2_0"/>
      <w:bookmarkStart w:id="679" w:name="Tc_06KM-MuQ8kWmON77pQaX2g_1_2"/>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ascii="Times New Roman;Times;serif" w:hAnsi="Times New Roman;Times;serif"/>
          <w:sz w:val="20"/>
        </w:rPr>
        <w:t>Inventory write-downs and write-offs were not material for the periods presented in these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p>
      <w:pPr>
        <w:pStyle w:val="TextBody"/>
        <w:bidi w:val="0"/>
        <w:spacing w:before="0" w:after="0"/>
        <w:ind w:left="0" w:right="0" w:hanging="0"/>
        <w:jc w:val="left"/>
        <w:rPr/>
      </w:pPr>
      <w:r>
        <w:rPr/>
        <w:t>​</w:t>
      </w:r>
    </w:p>
    <w:tbl>
      <w:tblPr>
        <w:tblW w:w="7628" w:type="dxa"/>
        <w:jc w:val="left"/>
        <w:tblInd w:w="0" w:type="dxa"/>
        <w:tblLayout w:type="fixed"/>
        <w:tblCellMar>
          <w:top w:w="0" w:type="dxa"/>
          <w:left w:w="0" w:type="dxa"/>
          <w:bottom w:w="0" w:type="dxa"/>
          <w:right w:w="0" w:type="dxa"/>
        </w:tblCellMar>
      </w:tblPr>
      <w:tblGrid>
        <w:gridCol w:w="3886"/>
        <w:gridCol w:w="326"/>
        <w:gridCol w:w="470"/>
        <w:gridCol w:w="1075"/>
        <w:gridCol w:w="326"/>
        <w:gridCol w:w="441"/>
        <w:gridCol w:w="1104"/>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467610" cy="175260"/>
                      <wp:effectExtent l="0" t="0" r="0" b="0"/>
                      <wp:wrapNone/>
                      <wp:docPr id="83" name="Frame8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98450" cy="175260"/>
                      <wp:effectExtent l="0" t="0" r="0" b="0"/>
                      <wp:wrapNone/>
                      <wp:docPr id="85" name="Frame85"/>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82625" cy="175260"/>
                      <wp:effectExtent l="0" t="0" r="0" b="0"/>
                      <wp:wrapNone/>
                      <wp:docPr id="86" name="Frame8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80035" cy="175260"/>
                      <wp:effectExtent l="0" t="0" r="0" b="0"/>
                      <wp:wrapNone/>
                      <wp:docPr id="88" name="Frame88"/>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01040" cy="175260"/>
                      <wp:effectExtent l="0" t="0" r="0" b="0"/>
                      <wp:wrapNone/>
                      <wp:docPr id="89" name="Frame89"/>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electronic equipment and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470"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bidi w:val="0"/>
              <w:spacing w:before="0" w:after="0"/>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gross</w:t>
            </w:r>
          </w:p>
        </w:tc>
        <w:tc>
          <w:tcPr>
            <w:tcW w:w="326"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531</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26" w:type="dxa"/>
            <w:tcBorders/>
            <w:vAlign w:val="center"/>
          </w:tcPr>
          <w:p>
            <w:pPr>
              <w:pStyle w:val="TableContents"/>
              <w:bidi w:val="0"/>
              <w:spacing w:before="0" w:after="0"/>
              <w:ind w:left="0" w:right="0" w:hanging="0"/>
              <w:jc w:val="left"/>
              <w:rPr/>
            </w:pPr>
            <w:r>
              <w:rPr/>
              <w:t> </w:t>
            </w:r>
          </w:p>
        </w:tc>
        <w:tc>
          <w:tcPr>
            <w:tcW w:w="4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426</w:t>
            </w:r>
          </w:p>
        </w:tc>
        <w:tc>
          <w:tcPr>
            <w:tcW w:w="326" w:type="dxa"/>
            <w:tcBorders/>
            <w:vAlign w:val="center"/>
          </w:tcPr>
          <w:p>
            <w:pPr>
              <w:pStyle w:val="TableContents"/>
              <w:bidi w:val="0"/>
              <w:spacing w:before="0" w:after="0"/>
              <w:ind w:left="0" w:right="0" w:hanging="0"/>
              <w:jc w:val="left"/>
              <w:rPr/>
            </w:pPr>
            <w:r>
              <w:rPr/>
              <w:t> </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384</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expenses totaled $9 million and $7 million for the three months ended September 30, 2023 and October 1, 2022, respectively; and $24 million and $17 million for the nine months ended September 30, 2023 and October 1, 2022,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80" w:name="Tc_Swxg5tLeek-bjYD0HAVO2w_8_5"/>
      <w:bookmarkStart w:id="681" w:name="Tc_VdKZ2ulNaU-c2BSMaYKX1A_8_0"/>
      <w:bookmarkStart w:id="682" w:name="Tc_H9TiT-8xuEerYcchJyUslw_7_0"/>
      <w:bookmarkStart w:id="683" w:name="Tc_yHNBddMinkK9EPKLfepr3Q_6_0"/>
      <w:bookmarkStart w:id="684" w:name="Tc_2SV6kBOTMUiW4xa8XhCRww_5_0"/>
      <w:bookmarkStart w:id="685" w:name="Tc_C9A9dUpkPUG_g3qkJkWorQ_4_5"/>
      <w:bookmarkStart w:id="686" w:name="Tc_2qctyvFpCk2EXwxdmsuwfg_4_0"/>
      <w:bookmarkStart w:id="687" w:name="Tc_R1v1lA-wKUKDOUBsh7McSw_3_5"/>
      <w:bookmarkStart w:id="688" w:name="Tc_rHQZSULjUkWJSOmKeOYzOg_3_2"/>
      <w:bookmarkStart w:id="689" w:name="Tc_B4uo1k0MzEGwKHQ6hsHGeg_2_5"/>
      <w:bookmarkStart w:id="690" w:name="Tc_QN7ICeXHN0yQiY8c5K94zg_2_2"/>
      <w:bookmarkStart w:id="691" w:name="Tc_SkNPK1KzhU6N-g7b6LnpKw_1_5"/>
      <w:bookmarkEnd w:id="680"/>
      <w:bookmarkEnd w:id="681"/>
      <w:bookmarkEnd w:id="682"/>
      <w:bookmarkEnd w:id="683"/>
      <w:bookmarkEnd w:id="684"/>
      <w:bookmarkEnd w:id="685"/>
      <w:bookmarkEnd w:id="686"/>
      <w:bookmarkEnd w:id="687"/>
      <w:bookmarkEnd w:id="688"/>
      <w:bookmarkEnd w:id="689"/>
      <w:bookmarkEnd w:id="690"/>
      <w:bookmarkEnd w:id="691"/>
      <w:r>
        <w:rPr>
          <w:rFonts w:ascii="Times New Roman;Times;serif" w:hAnsi="Times New Roman;Times;serif"/>
          <w:b/>
          <w:sz w:val="20"/>
        </w:rPr>
        <w:t>NOTE 4 - EQUITY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Share-based compensation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Mobileye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RSUs activity for the nine months ended September 30, 2023 for RSUs granted to Company’s employees under the 2022 Plan was as follows:</w:t>
      </w:r>
    </w:p>
    <w:p>
      <w:pPr>
        <w:pStyle w:val="TextBody"/>
        <w:bidi w:val="0"/>
        <w:spacing w:before="0" w:after="0"/>
        <w:ind w:left="0" w:right="0" w:hanging="0"/>
        <w:jc w:val="left"/>
        <w:rPr/>
      </w:pPr>
      <w:r>
        <w:rPr/>
        <w:t>​</w:t>
      </w:r>
    </w:p>
    <w:tbl>
      <w:tblPr>
        <w:tblW w:w="7195" w:type="dxa"/>
        <w:jc w:val="left"/>
        <w:tblInd w:w="0" w:type="dxa"/>
        <w:tblLayout w:type="fixed"/>
        <w:tblCellMar>
          <w:top w:w="0" w:type="dxa"/>
          <w:left w:w="0" w:type="dxa"/>
          <w:bottom w:w="0" w:type="dxa"/>
          <w:right w:w="0" w:type="dxa"/>
        </w:tblCellMar>
      </w:tblPr>
      <w:tblGrid>
        <w:gridCol w:w="3301"/>
        <w:gridCol w:w="326"/>
        <w:gridCol w:w="183"/>
        <w:gridCol w:w="1138"/>
        <w:gridCol w:w="326"/>
        <w:gridCol w:w="518"/>
        <w:gridCol w:w="1403"/>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96135" cy="175260"/>
                      <wp:effectExtent l="0" t="0" r="0" b="0"/>
                      <wp:wrapNone/>
                      <wp:docPr id="90" name="Frame9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16205" cy="175260"/>
                      <wp:effectExtent l="0" t="0" r="0" b="0"/>
                      <wp:wrapNone/>
                      <wp:docPr id="92" name="Frame92"/>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22630" cy="175260"/>
                      <wp:effectExtent l="0" t="0" r="0" b="0"/>
                      <wp:wrapNone/>
                      <wp:docPr id="93" name="Frame93"/>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28930" cy="175260"/>
                      <wp:effectExtent l="0" t="0" r="0" b="0"/>
                      <wp:wrapNone/>
                      <wp:docPr id="95" name="Frame9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90905" cy="175260"/>
                      <wp:effectExtent l="0" t="0" r="0" b="0"/>
                      <wp:wrapNone/>
                      <wp:docPr id="96" name="Frame96"/>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3"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12,564</w:t>
            </w:r>
          </w:p>
        </w:tc>
        <w:tc>
          <w:tcPr>
            <w:tcW w:w="326"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w:t>
            </w:r>
          </w:p>
        </w:tc>
        <w:tc>
          <w:tcPr>
            <w:tcW w:w="326"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w:t>
            </w:r>
          </w:p>
        </w:tc>
        <w:tc>
          <w:tcPr>
            <w:tcW w:w="326"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14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14,762</w:t>
            </w:r>
          </w:p>
        </w:tc>
        <w:tc>
          <w:tcPr>
            <w:tcW w:w="326"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692" w:name="Tc_A2KijPwpmk6aNwOZjVVS3Q_9_9"/>
      <w:bookmarkStart w:id="693" w:name="Tc_FaOOUSNa2UGdOH9lgr9aag_9_6"/>
      <w:bookmarkStart w:id="694" w:name="Tc_28dEiQeizEG2R1OPZfUCtw_9_0"/>
      <w:bookmarkStart w:id="695" w:name="Tc_hIL2OyXiIE6WJ53g5j3zmQ_8_9"/>
      <w:bookmarkStart w:id="696" w:name="Tc_zH8KVm7L2ESq8gPbnzDibw_8_6"/>
      <w:bookmarkStart w:id="697" w:name="Tc_8-aLv6PAgkmvoMFW-HtFqQ_8_0"/>
      <w:bookmarkStart w:id="698" w:name="Tc_MzBt7uFBY0qE2eaKRkYMvA_7_10"/>
      <w:bookmarkStart w:id="699" w:name="Tc_tGlWvMrcFk679IpXKWaeZw_7_4"/>
      <w:bookmarkStart w:id="700" w:name="Tc_kAiugdsrtEK90rDHJXJX4w_7_0"/>
      <w:bookmarkStart w:id="701" w:name="Tc_-JO7GnZ2fkCjleuJI867NQ_6_10"/>
      <w:bookmarkStart w:id="702" w:name="Tc_WPXo9rGwmkSCqy13-7SXhw_6_4"/>
      <w:bookmarkStart w:id="703" w:name="Tc_dSwYFH4jOkWHfk3O0LYaSw_6_0"/>
      <w:bookmarkStart w:id="704" w:name="Tc_EFmxg1EyD0Kdn-TyNUqKtQ_5_9"/>
      <w:bookmarkStart w:id="705" w:name="Tc_2MB0bRoPqUKoQ8KZRfepmQ_5_6"/>
      <w:bookmarkStart w:id="706" w:name="Tc_-v_hCUPgOkWIVueARNmoSQ_5_0"/>
      <w:bookmarkStart w:id="707" w:name="Tc_WvwxodEcS0mQ15yPCoJG7A_4_9"/>
      <w:bookmarkStart w:id="708" w:name="Tc_5tbLsgCWdUKQmr1SizFmkQ_4_6"/>
      <w:bookmarkStart w:id="709" w:name="Tc_YnGQ1mJ-bkCmJMAWZ1k3tw_4_4"/>
      <w:bookmarkStart w:id="710" w:name="Tc_T4YV2ug7vkqUI91K97qedg_4_2"/>
      <w:bookmarkStart w:id="711" w:name="Tc_QLWT3l5ksUu-U6Julw3hAA_3_9"/>
      <w:bookmarkStart w:id="712" w:name="Tc_yf007wAbXEyqkEsellcMKQ_3_6"/>
      <w:bookmarkStart w:id="713" w:name="Tc_AKIEFbT6Rk-Rt1cdT0PcnQ_3_4"/>
      <w:bookmarkStart w:id="714" w:name="Tc_clPPQCs92k6iFyFl-sbrjA_3_2"/>
      <w:bookmarkStart w:id="715" w:name="Tc_fnnJJxI-ZEu3cod-kegfUg_2_9"/>
      <w:bookmarkStart w:id="716" w:name="Tc_GjosyoNHb0GWD7JOO53RMg_2_6"/>
      <w:bookmarkStart w:id="717" w:name="Tc_8pX7DIwHd0qFH-4WK9E16g_2_4"/>
      <w:bookmarkStart w:id="718" w:name="Tc_twNLIDZ1l0quMCtddlxhmA_2_2"/>
      <w:bookmarkStart w:id="719" w:name="Tc_DMllefsVNkOXeWI2p4RleA_1_9"/>
      <w:bookmarkStart w:id="720" w:name="Tc_yth4nebkBUCXqIzQR8uKIw_1_6"/>
      <w:bookmarkStart w:id="721" w:name="Tc_RehQ9pX4MUuwFzz8jOMjVw_1_4"/>
      <w:bookmarkStart w:id="722" w:name="Tc__u64DrvkDEy8S9a-zNaDuQ_9_11"/>
      <w:bookmarkStart w:id="723" w:name="Tc_jJyxhCxOM02Atns6Ielawg_9_6"/>
      <w:bookmarkStart w:id="724" w:name="Tc_MS8HZMqqiE2RGweZ4L9Pag_9_0"/>
      <w:bookmarkStart w:id="725" w:name="Tc_2qLhrnRFdk-VqSQQLvvYog_8_0"/>
      <w:bookmarkStart w:id="726" w:name="Tc_kSAAmxCRSEmjyqEPYKCheA_7_0"/>
      <w:bookmarkStart w:id="727" w:name="Tc_NxVT8tIjcEaFt8eejYqz6A_6_11"/>
      <w:bookmarkStart w:id="728" w:name="Tc_LFKUtqRCZkqXKAw0JiZ2zQ_6_6"/>
      <w:bookmarkStart w:id="729" w:name="Tc_gwuZaKnrxU-Y7ribbwf0Mg_6_0"/>
      <w:bookmarkStart w:id="730" w:name="Tc_fwWS3tlAkkSaYFAI_miVQA_5_11"/>
      <w:bookmarkStart w:id="731" w:name="Tc_q_9i8sbRHU6eJkoZYYfQHA_5_9"/>
      <w:bookmarkStart w:id="732" w:name="Tc_tHYaYUIIskefh8lk_RaJyg_5_6"/>
      <w:bookmarkStart w:id="733" w:name="Tc_tyn3oglxX0G_AxyQ0lFBOw_5_4"/>
      <w:bookmarkStart w:id="734" w:name="Tc_F3DfSvReuku45zE3dkLX1Q_5_2"/>
      <w:bookmarkStart w:id="735" w:name="Tc_Op9mLHZulkmdHcwdYCNpMw_5_0"/>
      <w:bookmarkStart w:id="736" w:name="Tc_-aQDVsvf_EiweSuigyMLrQ_4_11"/>
      <w:bookmarkStart w:id="737" w:name="Tc_8D70CrBf20yDct8Md8teFQ_4_9"/>
      <w:bookmarkStart w:id="738" w:name="Tc_wwo7CSVsSUyIW1TWWUUIJQ_4_6"/>
      <w:bookmarkStart w:id="739" w:name="Tc_wQhCMUWbPEKllCs9khOC5A_4_4"/>
      <w:bookmarkStart w:id="740" w:name="Tc_J8u_uCHiP0mtd8P2sFHorg_4_2"/>
      <w:bookmarkStart w:id="741" w:name="Tc_YUjOLr8utE2aLpHpS3tFEw_4_0"/>
      <w:bookmarkStart w:id="742" w:name="Tc_rnU-TXTu40CeVRMz_oiBjg_3_11"/>
      <w:bookmarkStart w:id="743" w:name="Tc_Sw3zxQHbs0SgRLt-QivnwQ_3_9"/>
      <w:bookmarkStart w:id="744" w:name="Tc_SfsLiWCVFEKYcuYrdgu4sw_3_6"/>
      <w:bookmarkStart w:id="745" w:name="Tc_Xfyiv5MZYkyL8CZrEQmiBA_3_4"/>
      <w:bookmarkStart w:id="746" w:name="Tc_8GVHtd6Xr0SHf6wxhW45Ww_3_2"/>
      <w:bookmarkStart w:id="747" w:name="Tc_u5ttMWGhKUKJD5BJQZ3T9w_2_4"/>
      <w:bookmarkStart w:id="748" w:name="Tc_tGrz-A_2I0a0gYEG91UNaQ_1_9"/>
      <w:bookmarkStart w:id="749" w:name="Tc_7Jp-hQ3UGkSmCcgLOCuomA_1_2"/>
      <w:bookmarkStart w:id="750" w:name="_83702fa5_6382_476d_9bf0_855265445299"/>
      <w:bookmarkStart w:id="751" w:name="Tc_fdDdPtdmT0K4jOXXcfsq9Q_8_4"/>
      <w:bookmarkStart w:id="752" w:name="Tc_QAqDrnVLUkylgzPSA-YkZg_8_0"/>
      <w:bookmarkStart w:id="753" w:name="Tc_N6Z1BFfY5Ui3OFhG1ykMTg_7_0"/>
      <w:bookmarkStart w:id="754" w:name="Tc_u2kDLiUyhEmdIJyd5U2jiA_6_0"/>
      <w:bookmarkStart w:id="755" w:name="Tc_WqvKyMngf0WdWMhn76GIqA_5_0"/>
      <w:bookmarkStart w:id="756" w:name="Tc_LTZTcZdMeUmeVzOXIy_OUA_4_4"/>
      <w:bookmarkStart w:id="757" w:name="Tc_q_7p2f2l50mGfLhYViEWAg_4_0"/>
      <w:bookmarkStart w:id="758" w:name="Tc_8ofNZz3BUEKvEWvtFWYwKQ_3_4"/>
      <w:bookmarkStart w:id="759" w:name="Tc_9JQ43j7zGE-gt4g7ZwdGLw_3_2"/>
      <w:bookmarkStart w:id="760" w:name="Tc_D6BjAkapqEm3DSRsvmiZ_g_2_4"/>
      <w:bookmarkStart w:id="761" w:name="Tc_vMzvFMslXk6BYvtGsVqOwA_2_2"/>
      <w:bookmarkStart w:id="762" w:name="Tc_TzivrjhzAEWX3SYBqOhtqQ_1_4"/>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sz w:val="20"/>
        </w:rPr>
        <w:t>The RSUs activity for the three months ended September 30, 2023 for RSUs granted to Company’s employees under the 2022 Plan was as follows:</w:t>
      </w:r>
    </w:p>
    <w:p>
      <w:pPr>
        <w:pStyle w:val="TextBody"/>
        <w:bidi w:val="0"/>
        <w:spacing w:before="0" w:after="0"/>
        <w:ind w:left="0" w:right="0" w:hanging="0"/>
        <w:jc w:val="left"/>
        <w:rPr/>
      </w:pPr>
      <w:r>
        <w:rPr/>
        <w:t>​</w:t>
      </w:r>
    </w:p>
    <w:tbl>
      <w:tblPr>
        <w:tblW w:w="7225" w:type="dxa"/>
        <w:jc w:val="left"/>
        <w:tblInd w:w="0" w:type="dxa"/>
        <w:tblLayout w:type="fixed"/>
        <w:tblCellMar>
          <w:top w:w="0" w:type="dxa"/>
          <w:left w:w="0" w:type="dxa"/>
          <w:bottom w:w="0" w:type="dxa"/>
          <w:right w:w="0" w:type="dxa"/>
        </w:tblCellMar>
      </w:tblPr>
      <w:tblGrid>
        <w:gridCol w:w="3331"/>
        <w:gridCol w:w="326"/>
        <w:gridCol w:w="1321"/>
        <w:gridCol w:w="326"/>
        <w:gridCol w:w="518"/>
        <w:gridCol w:w="1403"/>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15185" cy="175260"/>
                      <wp:effectExtent l="0" t="0" r="0" b="0"/>
                      <wp:wrapNone/>
                      <wp:docPr id="97" name="Frame97"/>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838835" cy="175260"/>
                      <wp:effectExtent l="0" t="0" r="0" b="0"/>
                      <wp:wrapNone/>
                      <wp:docPr id="99" name="Frame9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28930" cy="175260"/>
                      <wp:effectExtent l="0" t="0" r="0" b="0"/>
                      <wp:wrapNone/>
                      <wp:docPr id="101" name="Frame101"/>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90905" cy="175260"/>
                      <wp:effectExtent l="0" t="0" r="0" b="0"/>
                      <wp:wrapNone/>
                      <wp:docPr id="102" name="Frame102"/>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1"/>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    </w:t>
            </w:r>
          </w:p>
        </w:tc>
        <w:tc>
          <w:tcPr>
            <w:tcW w:w="1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dollars    </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Options outstanding as of July 1, 2023</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9,354</w:t>
            </w:r>
          </w:p>
        </w:tc>
        <w:tc>
          <w:tcPr>
            <w:tcW w:w="326" w:type="dxa"/>
            <w:tcBorders/>
            <w:shd w:fill="CCEEFF" w:val="clear"/>
            <w:vAlign w:val="center"/>
          </w:tcPr>
          <w:p>
            <w:pPr>
              <w:pStyle w:val="TableContents"/>
              <w:bidi w:val="0"/>
              <w:spacing w:before="0" w:after="1"/>
              <w:ind w:left="0" w:right="0" w:hanging="0"/>
              <w:jc w:val="right"/>
              <w:rPr/>
            </w:pPr>
            <w:r>
              <w:rPr/>
              <w:t>​</w:t>
            </w:r>
          </w:p>
        </w:tc>
        <w:tc>
          <w:tcPr>
            <w:tcW w:w="51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5,524</w:t>
            </w:r>
          </w:p>
        </w:tc>
        <w:tc>
          <w:tcPr>
            <w:tcW w:w="326" w:type="dxa"/>
            <w:tcBorders/>
            <w:vAlign w:val="center"/>
          </w:tcPr>
          <w:p>
            <w:pPr>
              <w:pStyle w:val="TableContents"/>
              <w:bidi w:val="0"/>
              <w:spacing w:before="0" w:after="1"/>
              <w:ind w:left="0" w:right="0" w:hanging="0"/>
              <w:jc w:val="right"/>
              <w:rPr/>
            </w:pPr>
            <w:r>
              <w:rPr/>
              <w:t>​</w:t>
            </w:r>
          </w:p>
        </w:tc>
        <w:tc>
          <w:tcPr>
            <w:tcW w:w="518" w:type="dxa"/>
            <w:tcBorders/>
            <w:vAlign w:val="center"/>
          </w:tcPr>
          <w:p>
            <w:pPr>
              <w:pStyle w:val="TableContents"/>
              <w:bidi w:val="0"/>
              <w:spacing w:before="0" w:after="1"/>
              <w:ind w:left="0" w:right="0" w:hanging="0"/>
              <w:jc w:val="left"/>
              <w:rPr/>
            </w:pPr>
            <w:r>
              <w:rPr/>
              <w:t>​</w:t>
            </w:r>
          </w:p>
        </w:tc>
        <w:tc>
          <w:tcPr>
            <w:tcW w:w="14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right"/>
              <w:rPr/>
            </w:pPr>
            <w:r>
              <w:rPr/>
              <w:t>​</w:t>
            </w:r>
          </w:p>
        </w:tc>
        <w:tc>
          <w:tcPr>
            <w:tcW w:w="518" w:type="dxa"/>
            <w:tcBorders/>
            <w:shd w:fill="CCEEFF" w:val="clear"/>
            <w:vAlign w:val="center"/>
          </w:tcPr>
          <w:p>
            <w:pPr>
              <w:pStyle w:val="TableContents"/>
              <w:bidi w:val="0"/>
              <w:spacing w:before="0" w:after="1"/>
              <w:ind w:left="0" w:right="0" w:hanging="0"/>
              <w:jc w:val="left"/>
              <w:rPr/>
            </w:pPr>
            <w:r>
              <w:rPr/>
              <w:t>​</w:t>
            </w:r>
          </w:p>
        </w:tc>
        <w:tc>
          <w:tcPr>
            <w:tcW w:w="14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1"/>
              <w:ind w:left="0" w:right="0" w:hanging="0"/>
              <w:jc w:val="righ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14,762</w:t>
            </w:r>
          </w:p>
        </w:tc>
        <w:tc>
          <w:tcPr>
            <w:tcW w:w="326" w:type="dxa"/>
            <w:tcBorders/>
            <w:shd w:fill="CCEEFF" w:val="clear"/>
            <w:vAlign w:val="center"/>
          </w:tcPr>
          <w:p>
            <w:pPr>
              <w:pStyle w:val="TableContents"/>
              <w:bidi w:val="0"/>
              <w:spacing w:before="0" w:after="1"/>
              <w:ind w:left="0" w:right="0" w:hanging="0"/>
              <w:jc w:val="righ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September 30, 2023, the unrecognized compensation cost related to all unvested RSUs granted under the 2022 Plan, was $327 million, which is expected to be recognized as expense over a weighted-average period of 2.4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Intel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Outstanding and exercisable options for Intel’s common stock under Intel’s plan as of September 30, 2023 were as follows:</w:t>
      </w:r>
    </w:p>
    <w:tbl>
      <w:tblPr>
        <w:tblW w:w="9091" w:type="dxa"/>
        <w:jc w:val="left"/>
        <w:tblInd w:w="0" w:type="dxa"/>
        <w:tblLayout w:type="fixed"/>
        <w:tblCellMar>
          <w:top w:w="0" w:type="dxa"/>
          <w:left w:w="0" w:type="dxa"/>
          <w:bottom w:w="0" w:type="dxa"/>
          <w:right w:w="0" w:type="dxa"/>
        </w:tblCellMar>
      </w:tblPr>
      <w:tblGrid>
        <w:gridCol w:w="1141"/>
        <w:gridCol w:w="326"/>
        <w:gridCol w:w="1021"/>
        <w:gridCol w:w="146"/>
        <w:gridCol w:w="1471"/>
        <w:gridCol w:w="326"/>
        <w:gridCol w:w="458"/>
        <w:gridCol w:w="1013"/>
        <w:gridCol w:w="326"/>
        <w:gridCol w:w="1021"/>
        <w:gridCol w:w="326"/>
        <w:gridCol w:w="409"/>
        <w:gridCol w:w="1107"/>
      </w:tblGrid>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 </w:t>
            </w:r>
          </w:p>
        </w:tc>
        <w:tc>
          <w:tcPr>
            <w:tcW w:w="28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c>
          <w:tcPr>
            <w:tcW w:w="326"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46"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r>
      <w:tr>
        <w:trPr/>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$ 4.0 - 21.6</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$ 22.4 - 24.3</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$55.2 </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46" w:type="dxa"/>
            <w:tcBorders/>
            <w:shd w:fill="CCEEFF" w:val="clear"/>
            <w:vAlign w:val="center"/>
          </w:tcPr>
          <w:p>
            <w:pPr>
              <w:pStyle w:val="TableContents"/>
              <w:bidi w:val="0"/>
              <w:spacing w:before="0" w:after="0"/>
              <w:ind w:left="0" w:right="0" w:hanging="0"/>
              <w:jc w:val="left"/>
              <w:rPr/>
            </w:pPr>
            <w:r>
              <w:rPr/>
              <w:t> </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11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146" w:type="dxa"/>
            <w:tcBorders/>
            <w:vAlign w:val="center"/>
          </w:tcPr>
          <w:p>
            <w:pPr>
              <w:pStyle w:val="TableContents"/>
              <w:bidi w:val="0"/>
              <w:spacing w:before="0" w:after="0"/>
              <w:ind w:left="0" w:right="0" w:hanging="0"/>
              <w:jc w:val="left"/>
              <w:rPr/>
            </w:pPr>
            <w:r>
              <w:rPr/>
              <w:t> </w:t>
            </w:r>
          </w:p>
        </w:tc>
        <w:tc>
          <w:tcPr>
            <w:tcW w:w="14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26" w:type="dxa"/>
            <w:tcBorders/>
            <w:vAlign w:val="center"/>
          </w:tcPr>
          <w:p>
            <w:pPr>
              <w:pStyle w:val="TableContents"/>
              <w:bidi w:val="0"/>
              <w:spacing w:before="0" w:after="0"/>
              <w:ind w:left="0" w:right="0" w:hanging="0"/>
              <w:jc w:val="left"/>
              <w:rPr/>
            </w:pPr>
            <w:r>
              <w:rPr/>
              <w:t> </w:t>
            </w:r>
          </w:p>
        </w:tc>
        <w:tc>
          <w:tcPr>
            <w:tcW w:w="4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2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option activity for the nine months ended September 30, 2023 for options granted to the Company’s employees for Intel’s common stock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5"/>
        <w:gridCol w:w="326"/>
        <w:gridCol w:w="1021"/>
        <w:gridCol w:w="326"/>
        <w:gridCol w:w="1399"/>
        <w:gridCol w:w="326"/>
        <w:gridCol w:w="336"/>
        <w:gridCol w:w="739"/>
        <w:gridCol w:w="109"/>
        <w:gridCol w:w="635"/>
        <w:gridCol w:w="1183"/>
      </w:tblGrid>
      <w:tr>
        <w:trPr/>
        <w:tc>
          <w:tcPr>
            <w:tcW w:w="3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416175" cy="175260"/>
                      <wp:effectExtent l="0" t="0" r="0" b="0"/>
                      <wp:wrapNone/>
                      <wp:docPr id="103" name="Frame103"/>
                      <a:graphic xmlns:a="http://schemas.openxmlformats.org/drawingml/2006/main">
                        <a:graphicData uri="http://schemas.microsoft.com/office/word/2010/wordprocessingShape">
                          <wps:wsp>
                            <wps:cNvSpPr txBox="1"/>
                            <wps:spPr>
                              <a:xfrm>
                                <a:off x="0" y="0"/>
                                <a:ext cx="2416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335" cy="175260"/>
                      <wp:effectExtent l="0" t="0" r="0" b="0"/>
                      <wp:wrapNone/>
                      <wp:docPr id="105" name="Frame10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88365" cy="175260"/>
                      <wp:effectExtent l="0" t="0" r="0" b="0"/>
                      <wp:wrapNone/>
                      <wp:docPr id="107" name="Frame107"/>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3360" cy="175260"/>
                      <wp:effectExtent l="0" t="0" r="0" b="0"/>
                      <wp:wrapNone/>
                      <wp:docPr id="109" name="Frame10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69265" cy="175260"/>
                      <wp:effectExtent l="0" t="0" r="0" b="0"/>
                      <wp:wrapNone/>
                      <wp:docPr id="110" name="Frame11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03225" cy="175260"/>
                      <wp:effectExtent l="0" t="0" r="0" b="0"/>
                      <wp:wrapNone/>
                      <wp:docPr id="112" name="Frame112"/>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51205" cy="175260"/>
                      <wp:effectExtent l="0" t="0" r="0" b="0"/>
                      <wp:wrapNone/>
                      <wp:docPr id="113" name="Frame113"/>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Aggregated </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value(1)</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2,270</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0.8</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r>
        <w:trPr/>
        <w:tc>
          <w:tcPr>
            <w:tcW w:w="3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109"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September 30, 2023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left"/>
              <w:rPr/>
            </w:pPr>
            <w:r>
              <w:rPr/>
              <w:t>​</w:t>
            </w:r>
          </w:p>
        </w:tc>
        <w:tc>
          <w:tcPr>
            <w:tcW w:w="13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09" w:type="dxa"/>
            <w:tcBorders/>
            <w:vAlign w:val="center"/>
          </w:tcPr>
          <w:p>
            <w:pPr>
              <w:pStyle w:val="TableContents"/>
              <w:bidi w:val="0"/>
              <w:spacing w:before="0" w:after="0"/>
              <w:ind w:left="0" w:right="0" w:hanging="0"/>
              <w:jc w:val="left"/>
              <w:rPr/>
            </w:pPr>
            <w:r>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exercisable as of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firstLine="360"/>
        <w:jc w:val="both"/>
        <w:rPr>
          <w:rFonts w:ascii="Times New Roman;Times;serif" w:hAnsi="Times New Roman;Times;serif"/>
          <w:sz w:val="20"/>
        </w:rPr>
      </w:pPr>
      <w:bookmarkStart w:id="763" w:name="Tc_CnRKKfDHYESs6HFRp2nJ3Q_7_4"/>
      <w:bookmarkStart w:id="764" w:name="Tc_nsKWZadwVEeh4PQa2p_-yg_7_0"/>
      <w:bookmarkStart w:id="765" w:name="Tc_VuUZYmXizkewjqiXK15J1A_6_0"/>
      <w:bookmarkStart w:id="766" w:name="Tc_peYvl_5ksUq7QL4kfPNMig_5_0"/>
      <w:bookmarkStart w:id="767" w:name="Tc_NUJvPZ-ig0m5UkHzjI0duQ_4_4"/>
      <w:bookmarkStart w:id="768" w:name="Tc_WTX9WW0QYU6H-svkaLcn2w_4_0"/>
      <w:bookmarkStart w:id="769" w:name="Tc__xPhb0U6mk6i1xi0JO39tQ_3_4"/>
      <w:bookmarkStart w:id="770" w:name="Tc_fiopWuxZz0e_W40ghRUZ0g_3_2"/>
      <w:bookmarkStart w:id="771" w:name="Tc_-i0OML1mHUyJt0CvpvAoQA_2_5"/>
      <w:bookmarkStart w:id="772" w:name="Tc_WuXGxnI6KEWy-m1JekOVCg_2_2"/>
      <w:bookmarkStart w:id="773" w:name="Tc_RR9aiMTYbEueHtcENDeVoA_1_5"/>
      <w:bookmarkStart w:id="774" w:name="_5c053d66_f793_4d75_aa8a_1006e42006f5"/>
      <w:bookmarkStart w:id="775" w:name="Tc_oTpq1rhQOU-hJlfnW_i1EQ_7_4"/>
      <w:bookmarkStart w:id="776" w:name="Tc_2Pzx11GryEm0we2s8i9x5g_7_0"/>
      <w:bookmarkStart w:id="777" w:name="Tc_HeZGhZE69EGmP_VSoNEVWQ_6_0"/>
      <w:bookmarkStart w:id="778" w:name="Tc_yyVKK2VaaUaAyigXBOPOVw_5_0"/>
      <w:bookmarkStart w:id="779" w:name="Tc_Bub6-b-3m0-Q_Ldw5biuCQ_4_4"/>
      <w:bookmarkStart w:id="780" w:name="Tc_MiAoPU_do0CiIBOQhE0Fiw_4_0"/>
      <w:bookmarkStart w:id="781" w:name="Tc_b2-0ICa3QUiv0JhJH2qbFA_3_4"/>
      <w:bookmarkStart w:id="782" w:name="Tc_dYbkcYpaLE28Qx37nvDj-A_3_2"/>
      <w:bookmarkStart w:id="783" w:name="Tc_tz-I4ZMEzk2dhLcsK3AFeg_2_4"/>
      <w:bookmarkStart w:id="784" w:name="Tc_L0EOVWkMy0-nDbyD1cTolw_2_2"/>
      <w:bookmarkStart w:id="785" w:name="Tc_JWYKnk4m1E-25qpSvVqXaw_1_4"/>
      <w:bookmarkStart w:id="786" w:name="_4fa3f789_8c71_403e_b5dd_a9b5c8de84d9"/>
      <w:bookmarkStart w:id="787" w:name="Tc_7OjypKUiyU-zbUuirGwCUg_9_9"/>
      <w:bookmarkStart w:id="788" w:name="Tc_oLgpE6t9PU-UoaKAR0cXnw_9_6"/>
      <w:bookmarkStart w:id="789" w:name="Tc_UzNOgK8DWEWR7qNS94Q08g_9_0"/>
      <w:bookmarkStart w:id="790" w:name="Tc_P0qBhwHT0EuYo6ZAvy9o_g_8_9"/>
      <w:bookmarkStart w:id="791" w:name="Tc_NywN_pQ_50-F6IpWp3FzwA_8_6"/>
      <w:bookmarkStart w:id="792" w:name="Tc_nhYJbtYNpkS7apMZ8BkA9A_8_0"/>
      <w:bookmarkStart w:id="793" w:name="Tc_lcedpvkV40S0P6h7MuOQow_7_10"/>
      <w:bookmarkStart w:id="794" w:name="Tc_ir4MXQANt0OdufyTDjyhCw_7_4"/>
      <w:bookmarkStart w:id="795" w:name="Tc_3__drWhbHk2VNyle3hbyZg_7_0"/>
      <w:bookmarkStart w:id="796" w:name="Tc_aDoy1hVz6UiE6XU0MO7h-Q_6_10"/>
      <w:bookmarkStart w:id="797" w:name="Tc_YzgNYlhmtUCQs9VWDOvrcw_6_4"/>
      <w:bookmarkStart w:id="798" w:name="Tc_OEqBGdMkUEWtw3kNo9skhQ_6_0"/>
      <w:bookmarkStart w:id="799" w:name="Tc_JvbjVhDJUE29gpNmiOC8Hg_5_9"/>
      <w:bookmarkStart w:id="800" w:name="Tc_XX-_5RwMeEmJ37rG_3PRJw_5_6"/>
      <w:bookmarkStart w:id="801" w:name="Tc_n6vKj0SGf0mTvXKw8T0KKw_5_0"/>
      <w:bookmarkStart w:id="802" w:name="Tc_bwj-OTnCD0yz3XCpA5SqKw_4_9"/>
      <w:bookmarkStart w:id="803" w:name="Tc_1K3gfPNSP0iFJppWtdqk6g_4_6"/>
      <w:bookmarkStart w:id="804" w:name="Tc_9966bRcB6kydvy4pfBWCCQ_4_4"/>
      <w:bookmarkStart w:id="805" w:name="Tc_tYIaWwgX1EulaTNnwmid_Q_4_2"/>
      <w:bookmarkStart w:id="806" w:name="Tc_3t0ckaZroku5FCRXPzbK5w_3_9"/>
      <w:bookmarkStart w:id="807" w:name="Tc_C0Lpx_-1LEaBHM948m74mA_3_6"/>
      <w:bookmarkStart w:id="808" w:name="Tc_mWDrJbVyQUuzpmzkOoxeSw_3_4"/>
      <w:bookmarkStart w:id="809" w:name="Tc_sBBbJbDtbEG58CeUIbVrbg_3_2"/>
      <w:bookmarkStart w:id="810" w:name="Tc_eTaVlmS0FkmvLJ7llfQASQ_2_9"/>
      <w:bookmarkStart w:id="811" w:name="Tc_AdxuQaPtmUCAaNuZY-CNLA_2_6"/>
      <w:bookmarkStart w:id="812" w:name="Tc_d0IUGKju_EmT9vU49TtEYA_2_4"/>
      <w:bookmarkStart w:id="813" w:name="Tc_0hHZyz0xnUih4hYXoIsSIw_2_2"/>
      <w:bookmarkStart w:id="814" w:name="Tc__5ExE8tII0SRsk4T8NfOPQ_1_9"/>
      <w:bookmarkStart w:id="815" w:name="Tc_GvgK4X6-pkeXVPCNMZm-3A_1_6"/>
      <w:bookmarkStart w:id="816" w:name="Tc_qkqje-Mhu02XN7446djoVw_1_4"/>
      <w:bookmarkStart w:id="817" w:name="_9d104c20_c151_41be_8fb3_602ef36c82db"/>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sz w:val="20"/>
        </w:rPr>
        <w:t>The option activity for the three months ended September 30, 2023 for options granted to the Company’s employees for Intel’s common stock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05"/>
        <w:gridCol w:w="326"/>
        <w:gridCol w:w="1021"/>
        <w:gridCol w:w="326"/>
        <w:gridCol w:w="1399"/>
        <w:gridCol w:w="326"/>
        <w:gridCol w:w="336"/>
        <w:gridCol w:w="739"/>
        <w:gridCol w:w="109"/>
        <w:gridCol w:w="635"/>
        <w:gridCol w:w="1183"/>
      </w:tblGrid>
      <w:tr>
        <w:trPr/>
        <w:tc>
          <w:tcPr>
            <w:tcW w:w="3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16175" cy="175260"/>
                      <wp:effectExtent l="0" t="0" r="0" b="0"/>
                      <wp:wrapNone/>
                      <wp:docPr id="114" name="Frame114"/>
                      <a:graphic xmlns:a="http://schemas.openxmlformats.org/drawingml/2006/main">
                        <a:graphicData uri="http://schemas.microsoft.com/office/word/2010/wordprocessingShape">
                          <wps:wsp>
                            <wps:cNvSpPr txBox="1"/>
                            <wps:spPr>
                              <a:xfrm>
                                <a:off x="0" y="0"/>
                                <a:ext cx="2416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335" cy="175260"/>
                      <wp:effectExtent l="0" t="0" r="0" b="0"/>
                      <wp:wrapNone/>
                      <wp:docPr id="116" name="Frame11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88365" cy="175260"/>
                      <wp:effectExtent l="0" t="0" r="0" b="0"/>
                      <wp:wrapNone/>
                      <wp:docPr id="118" name="Frame118"/>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3360" cy="175260"/>
                      <wp:effectExtent l="0" t="0" r="0" b="0"/>
                      <wp:wrapNone/>
                      <wp:docPr id="120" name="Frame120"/>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69265" cy="175260"/>
                      <wp:effectExtent l="0" t="0" r="0" b="0"/>
                      <wp:wrapNone/>
                      <wp:docPr id="121" name="Frame12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03225" cy="175260"/>
                      <wp:effectExtent l="0" t="0" r="0" b="0"/>
                      <wp:wrapNone/>
                      <wp:docPr id="123" name="Frame123"/>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51205" cy="175260"/>
                      <wp:effectExtent l="0" t="0" r="0" b="0"/>
                      <wp:wrapNone/>
                      <wp:docPr id="124" name="Frame12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Aggregated </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value(1)</w:t>
            </w:r>
          </w:p>
        </w:tc>
      </w:tr>
      <w:tr>
        <w:trPr/>
        <w:tc>
          <w:tcPr>
            <w:tcW w:w="38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w:t>
            </w:r>
          </w:p>
        </w:tc>
        <w:tc>
          <w:tcPr>
            <w:tcW w:w="109" w:type="dxa"/>
            <w:tcBorders/>
            <w:vAlign w:val="center"/>
          </w:tcPr>
          <w:p>
            <w:pPr>
              <w:pStyle w:val="TableContents"/>
              <w:bidi w:val="0"/>
              <w:spacing w:before="0" w:after="0"/>
              <w:ind w:left="0" w:right="0" w:hanging="0"/>
              <w:jc w:val="left"/>
              <w:rPr/>
            </w:pPr>
            <w:r>
              <w:rPr/>
              <w:t>​</w:t>
            </w:r>
          </w:p>
        </w:tc>
        <w:tc>
          <w:tcPr>
            <w:tcW w:w="1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July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2,252</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38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09"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outstanding as of September 30, 2023</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26" w:type="dxa"/>
            <w:tcBorders/>
            <w:vAlign w:val="center"/>
          </w:tcPr>
          <w:p>
            <w:pPr>
              <w:pStyle w:val="TableContents"/>
              <w:bidi w:val="0"/>
              <w:spacing w:before="0" w:after="0"/>
              <w:ind w:left="0" w:right="0" w:hanging="0"/>
              <w:jc w:val="left"/>
              <w:rPr/>
            </w:pPr>
            <w:r>
              <w:rPr/>
              <w:t>​</w:t>
            </w:r>
          </w:p>
        </w:tc>
        <w:tc>
          <w:tcPr>
            <w:tcW w:w="13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2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w:t>
            </w:r>
          </w:p>
        </w:tc>
        <w:tc>
          <w:tcPr>
            <w:tcW w:w="109" w:type="dxa"/>
            <w:tcBorders/>
            <w:vAlign w:val="center"/>
          </w:tcPr>
          <w:p>
            <w:pPr>
              <w:pStyle w:val="TableContents"/>
              <w:bidi w:val="0"/>
              <w:spacing w:before="0" w:after="0"/>
              <w:ind w:left="0" w:right="0" w:hanging="0"/>
              <w:jc w:val="left"/>
              <w:rPr/>
            </w:pPr>
            <w:r>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exercisable as of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w:t>
            </w:r>
          </w:p>
        </w:tc>
        <w:tc>
          <w:tcPr>
            <w:tcW w:w="109" w:type="dxa"/>
            <w:tcBorders/>
            <w:shd w:fill="CCEEFF" w:val="clear"/>
            <w:vAlign w:val="center"/>
          </w:tcPr>
          <w:p>
            <w:pPr>
              <w:pStyle w:val="TableContents"/>
              <w:bidi w:val="0"/>
              <w:spacing w:before="0" w:after="0"/>
              <w:ind w:left="0" w:right="0" w:hanging="0"/>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(1)The aggregate intrinsic value is calculated as the difference between the exercise price of the underlying awards and the closing stock price of Intel’s ordinary share. On September 30, 2023, Intel’s ordinary share price was $35.6. This represents the potential pre-tax amount receivable by the option holders had all option holders exercised their options as of such date.</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(2)The remaining options expected to vest as of September 30, 2023 are 7 thousand options with an average weighted exercise price of $21.6.</w:t>
      </w:r>
    </w:p>
    <w:p>
      <w:pPr>
        <w:pStyle w:val="TextBody"/>
        <w:bidi w:val="0"/>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RSUs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RSUs activity for the nine months ended September 30, 2023 for RSUs granted to the Company’s employees for Intel’s common stock was as follows:</w:t>
      </w:r>
    </w:p>
    <w:tbl>
      <w:tblPr>
        <w:tblW w:w="6939" w:type="dxa"/>
        <w:jc w:val="left"/>
        <w:tblInd w:w="0" w:type="dxa"/>
        <w:tblLayout w:type="fixed"/>
        <w:tblCellMar>
          <w:top w:w="0" w:type="dxa"/>
          <w:left w:w="0" w:type="dxa"/>
          <w:bottom w:w="0" w:type="dxa"/>
          <w:right w:w="0" w:type="dxa"/>
        </w:tblCellMar>
      </w:tblPr>
      <w:tblGrid>
        <w:gridCol w:w="3301"/>
        <w:gridCol w:w="326"/>
        <w:gridCol w:w="1321"/>
        <w:gridCol w:w="326"/>
        <w:gridCol w:w="448"/>
        <w:gridCol w:w="1217"/>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96135" cy="175260"/>
                      <wp:effectExtent l="0" t="0" r="0" b="0"/>
                      <wp:wrapNone/>
                      <wp:docPr id="125" name="Frame12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838835" cy="175260"/>
                      <wp:effectExtent l="0" t="0" r="0" b="0"/>
                      <wp:wrapNone/>
                      <wp:docPr id="127" name="Frame12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84480" cy="175260"/>
                      <wp:effectExtent l="0" t="0" r="0" b="0"/>
                      <wp:wrapNone/>
                      <wp:docPr id="129" name="Frame12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2795" cy="175260"/>
                      <wp:effectExtent l="0" t="0" r="0" b="0"/>
                      <wp:wrapNone/>
                      <wp:docPr id="130" name="Frame130"/>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left"/>
              <w:rPr/>
            </w:pPr>
            <w:r>
              <w:rPr/>
              <w:t>​</w:t>
            </w:r>
          </w:p>
        </w:tc>
        <w:tc>
          <w:tcPr>
            <w:tcW w:w="1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5,692</w:t>
            </w:r>
          </w:p>
        </w:tc>
        <w:tc>
          <w:tcPr>
            <w:tcW w:w="326"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26"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2023</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4,595</w:t>
            </w:r>
          </w:p>
        </w:tc>
        <w:tc>
          <w:tcPr>
            <w:tcW w:w="326" w:type="dxa"/>
            <w:tcBorders/>
            <w:vAlign w:val="center"/>
          </w:tcPr>
          <w:p>
            <w:pPr>
              <w:pStyle w:val="TableContents"/>
              <w:bidi w:val="0"/>
              <w:spacing w:before="0" w:after="0"/>
              <w:ind w:left="0" w:right="0" w:hanging="0"/>
              <w:jc w:val="left"/>
              <w:rPr/>
            </w:pPr>
            <w:r>
              <w:rPr/>
              <w:t> </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RSUs activity for the three months ended September 30, 2023 for RSUs granted to the Company’s employees for Intel’s common stock was as follows:</w:t>
      </w:r>
    </w:p>
    <w:p>
      <w:pPr>
        <w:pStyle w:val="TextBody"/>
        <w:bidi w:val="0"/>
        <w:spacing w:before="0" w:after="0"/>
        <w:ind w:left="0" w:right="0" w:hanging="0"/>
        <w:jc w:val="left"/>
        <w:rPr/>
      </w:pPr>
      <w:r>
        <w:rPr/>
        <w:t>​</w:t>
      </w:r>
    </w:p>
    <w:tbl>
      <w:tblPr>
        <w:tblW w:w="7151" w:type="dxa"/>
        <w:jc w:val="left"/>
        <w:tblInd w:w="0" w:type="dxa"/>
        <w:tblLayout w:type="fixed"/>
        <w:tblCellMar>
          <w:top w:w="0" w:type="dxa"/>
          <w:left w:w="0" w:type="dxa"/>
          <w:bottom w:w="0" w:type="dxa"/>
          <w:right w:w="0" w:type="dxa"/>
        </w:tblCellMar>
      </w:tblPr>
      <w:tblGrid>
        <w:gridCol w:w="3301"/>
        <w:gridCol w:w="326"/>
        <w:gridCol w:w="1321"/>
        <w:gridCol w:w="326"/>
        <w:gridCol w:w="211"/>
        <w:gridCol w:w="166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96135" cy="175260"/>
                      <wp:effectExtent l="0" t="0" r="0" b="0"/>
                      <wp:wrapNone/>
                      <wp:docPr id="131" name="Frame13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38835" cy="175260"/>
                      <wp:effectExtent l="0" t="0" r="0" b="0"/>
                      <wp:wrapNone/>
                      <wp:docPr id="133" name="Frame13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057910" cy="175260"/>
                      <wp:effectExtent l="0" t="0" r="0" b="0"/>
                      <wp:wrapNone/>
                      <wp:docPr id="136" name="Frame13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U.S. dollars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July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4,848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2023</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Unrecognized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September 30, 2023, the unrecognized compensation cost related to stock options and RSUs granted under the Intel 2006 Plan was $108 million, which will be recognized over a weighted average period of 1.1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720"/>
        <w:jc w:val="left"/>
        <w:rPr>
          <w:rFonts w:ascii="Times New Roman;Times;serif" w:hAnsi="Times New Roman;Times;serif"/>
          <w:b/>
          <w:i/>
          <w:sz w:val="20"/>
        </w:rPr>
      </w:pPr>
      <w:bookmarkStart w:id="818" w:name="Tc_PwpOoT3fJ02y_yUqzOroZA_7_11"/>
      <w:bookmarkStart w:id="819" w:name="Tc_jajyLvFHYUSSC6MP77Hr8A_7_8"/>
      <w:bookmarkStart w:id="820" w:name="Tc_nfdb5m_zAUKTsY81MJjn9w_7_5"/>
      <w:bookmarkStart w:id="821" w:name="Tc_Tcav-HBck0WjF0HkwKZpmg_7_2"/>
      <w:bookmarkStart w:id="822" w:name="Tc_k4d15zZ4C0uwk7x_Sa3Zfg_7_0"/>
      <w:bookmarkStart w:id="823" w:name="Tc_hRI5XWjJq0edAGX18Sf0gA_6_0"/>
      <w:bookmarkStart w:id="824" w:name="Tc_bd-9JOf-IESpUoEyu9JF8Q_5_0"/>
      <w:bookmarkStart w:id="825" w:name="Tc_Q05XYJCC1Eqp8D-A1HBw_A_4_0"/>
      <w:bookmarkStart w:id="826" w:name="Tc_nahoDsDdVE2RC7Kvg_1rxw_3_12"/>
      <w:bookmarkStart w:id="827" w:name="Tc_MzB29CKTYEO4DnYs7k0WYw_3_11"/>
      <w:bookmarkStart w:id="828" w:name="Tc_QfjZXuE6-EqdNME_4sPf1Q_3_8"/>
      <w:bookmarkStart w:id="829" w:name="Tc_0g9O_UKtVEyK1Hkj3b8DhA_3_6"/>
      <w:bookmarkStart w:id="830" w:name="Tc_k-EueqZyd0iLdEn_5dEsCw_3_5"/>
      <w:bookmarkStart w:id="831" w:name="Tc_ueEjaWNNOk6L6dt-LqJfOg_3_2"/>
      <w:bookmarkStart w:id="832" w:name="Tc_Ge4HaUWtN0mOLZgWmF1lDA_3_0"/>
      <w:bookmarkStart w:id="833" w:name="Tc_AcVhZWInK0OR6S2wTXgjBA_2_11"/>
      <w:bookmarkStart w:id="834" w:name="Tc_7W-dASshG0y2tDTSlBCx-Q_2_8"/>
      <w:bookmarkStart w:id="835" w:name="Tc_Nvi0XANWtEa81VwccYY8xg_2_5"/>
      <w:bookmarkStart w:id="836" w:name="Tc_86FRFM0XfUeQx_-c1iQiCQ_2_2"/>
      <w:bookmarkStart w:id="837" w:name="Tc_NAzpMyoQ8kmfUs3kWhqPcA_2_0"/>
      <w:bookmarkStart w:id="838" w:name="Tc_LZuGnuh4X0WvR2clrzSqXA_1_8"/>
      <w:bookmarkStart w:id="839" w:name="Tc_XCUEfTrnCUC_cHXa2NcRSg_1_2"/>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i/>
          <w:sz w:val="20"/>
        </w:rPr>
        <w:t>Share-based compensation expense summary (for both Mobileye and Intel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expenses included in the condensed consolidated statements of operations and comprehensive income (loss) was as follows:</w:t>
      </w:r>
    </w:p>
    <w:p>
      <w:pPr>
        <w:pStyle w:val="TextBody"/>
        <w:bidi w:val="0"/>
        <w:spacing w:before="0" w:after="0"/>
        <w:ind w:left="0" w:right="0" w:hanging="0"/>
        <w:jc w:val="left"/>
        <w:rPr/>
      </w:pPr>
      <w:r>
        <w:rPr/>
        <w:t>​</w:t>
      </w:r>
    </w:p>
    <w:tbl>
      <w:tblPr>
        <w:tblW w:w="9680" w:type="dxa"/>
        <w:jc w:val="left"/>
        <w:tblInd w:w="0" w:type="dxa"/>
        <w:tblLayout w:type="fixed"/>
        <w:tblCellMar>
          <w:top w:w="0" w:type="dxa"/>
          <w:left w:w="0" w:type="dxa"/>
          <w:bottom w:w="0" w:type="dxa"/>
          <w:right w:w="0" w:type="dxa"/>
        </w:tblCellMar>
      </w:tblPr>
      <w:tblGrid>
        <w:gridCol w:w="2851"/>
        <w:gridCol w:w="326"/>
        <w:gridCol w:w="583"/>
        <w:gridCol w:w="962"/>
        <w:gridCol w:w="353"/>
        <w:gridCol w:w="486"/>
        <w:gridCol w:w="804"/>
        <w:gridCol w:w="109"/>
        <w:gridCol w:w="514"/>
        <w:gridCol w:w="1031"/>
        <w:gridCol w:w="326"/>
        <w:gridCol w:w="382"/>
        <w:gridCol w:w="953"/>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10385" cy="175260"/>
                      <wp:effectExtent l="0" t="0" r="0" b="0"/>
                      <wp:wrapNone/>
                      <wp:docPr id="137" name="Frame13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70205" cy="175260"/>
                      <wp:effectExtent l="0" t="0" r="0" b="0"/>
                      <wp:wrapNone/>
                      <wp:docPr id="139" name="Frame139"/>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10870" cy="175260"/>
                      <wp:effectExtent l="0" t="0" r="0" b="0"/>
                      <wp:wrapNone/>
                      <wp:docPr id="140" name="Frame140"/>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4155" cy="175260"/>
                      <wp:effectExtent l="0" t="0" r="0" b="0"/>
                      <wp:wrapNone/>
                      <wp:docPr id="141" name="Frame14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08610" cy="175260"/>
                      <wp:effectExtent l="0" t="0" r="0" b="0"/>
                      <wp:wrapNone/>
                      <wp:docPr id="142" name="Frame142"/>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10540" cy="175260"/>
                      <wp:effectExtent l="0" t="0" r="0" b="0"/>
                      <wp:wrapNone/>
                      <wp:docPr id="143" name="Frame14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26390" cy="175260"/>
                      <wp:effectExtent l="0" t="0" r="0" b="0"/>
                      <wp:wrapNone/>
                      <wp:docPr id="145" name="Frame145"/>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54685" cy="175260"/>
                      <wp:effectExtent l="0" t="0" r="0" b="0"/>
                      <wp:wrapNone/>
                      <wp:docPr id="146" name="Frame146"/>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42570" cy="175260"/>
                      <wp:effectExtent l="0" t="0" r="0" b="0"/>
                      <wp:wrapNone/>
                      <wp:docPr id="148" name="Frame14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05155" cy="175260"/>
                      <wp:effectExtent l="0" t="0" r="0" b="0"/>
                      <wp:wrapNone/>
                      <wp:docPr id="149" name="Frame149"/>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center"/>
              <w:rPr/>
            </w:pPr>
            <w:r>
              <w:rPr/>
              <w:t>​</w:t>
            </w:r>
          </w:p>
        </w:tc>
        <w:tc>
          <w:tcPr>
            <w:tcW w:w="32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53" w:type="dxa"/>
            <w:tcBorders/>
            <w:vAlign w:val="center"/>
          </w:tcPr>
          <w:p>
            <w:pPr>
              <w:pStyle w:val="TableContents"/>
              <w:bidi w:val="0"/>
              <w:spacing w:before="0" w:after="0"/>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53"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right"/>
              <w:rPr/>
            </w:pPr>
            <w:r>
              <w:rPr/>
              <w:t>​</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53"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53" w:type="dxa"/>
            <w:tcBorders/>
            <w:vAlign w:val="center"/>
          </w:tcPr>
          <w:p>
            <w:pPr>
              <w:pStyle w:val="TableContents"/>
              <w:bidi w:val="0"/>
              <w:spacing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c>
          <w:tcPr>
            <w:tcW w:w="353" w:type="dxa"/>
            <w:tcBorders/>
            <w:shd w:fill="CCEEFF" w:val="clear"/>
            <w:vAlign w:val="center"/>
          </w:tcPr>
          <w:p>
            <w:pPr>
              <w:pStyle w:val="TableContents"/>
              <w:bidi w:val="0"/>
              <w:spacing w:before="0" w:after="0"/>
              <w:ind w:left="0" w:right="0" w:hanging="0"/>
              <w:jc w:val="left"/>
              <w:rPr/>
            </w:pPr>
            <w:r>
              <w:rPr/>
              <w:t>​</w:t>
            </w:r>
          </w:p>
        </w:tc>
        <w:tc>
          <w:tcPr>
            <w:tcW w:w="4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109" w:type="dxa"/>
            <w:tcBorders/>
            <w:shd w:fill="CCEEFF" w:val="clear"/>
            <w:vAlign w:val="center"/>
          </w:tcPr>
          <w:p>
            <w:pPr>
              <w:pStyle w:val="TableContents"/>
              <w:bidi w:val="0"/>
              <w:spacing w:before="0" w:after="0"/>
              <w:ind w:left="0" w:right="0" w:hanging="0"/>
              <w:jc w:val="right"/>
              <w:rPr/>
            </w:pPr>
            <w:r>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 EARNINGS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Before the Mobileye IPO, Intel held directly or indirectly the 100 shares of common stock of Mobileye, with a par value of $0.01 per share, that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had 750,000,000 Class B shares, all held by Intel. Per ASC 260-10-55-12, this share amount is being retroactively utilized for the calculation of basic and diluted earnings (loss) per share (“EPS”) for all periods presented.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Mobileye IPO, we issued 41,000,000 shares of our Class A common stock to the public at a public offering price of $21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12, 2023, we completed the Secondary Offering, pursuant to which 38,500,000 shares of Class B common stock held by Intel were converted into an equal number of shares of Class A common stock. Accordingly, as of September 30, 2023, we have 711,500,000 Class B shares, all held by Intel, and 94,164,300 Class A shares, both of which are utilized for the calculation of basic and diluted EPS. The outstanding Class A shares also include shares issued upon vesting of outstanding RSUs, see note 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and nine months ended September 30, 2023, the computation of diluted earnings (loss) per share attributable to common stockholders does not include 5.5 million and 14.9 million potential common shares, respectively, related to restricted stock units granted under the 2022 Plan to the Company’s employees, as the effect of their inclusion would have been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840" w:name="Tc_4myMfLyBtEi01THrpCQeZw_12_11"/>
      <w:bookmarkStart w:id="841" w:name="Tc_Yvj4EdB8dkywAKQw74A6MQ_12_8"/>
      <w:bookmarkStart w:id="842" w:name="Tc_7CIZIuiI20eeW7RCid5Kvg_12_5"/>
      <w:bookmarkStart w:id="843" w:name="Tc_3aEckPO2k0ydw9KjSC4-YA_12_2"/>
      <w:bookmarkStart w:id="844" w:name="Tc_mvCAuWra00KrdP9TNNMbiA_12_0"/>
      <w:bookmarkStart w:id="845" w:name="Tc_sYh8s62P-kOkXYgGhTx1JQ_11_0"/>
      <w:bookmarkStart w:id="846" w:name="Tc_TfWKnp8x00u51M-GRLNJBQ_10_0"/>
      <w:bookmarkStart w:id="847" w:name="Tc_LkeckWlPh0agBlxCff1hTQ_9_0"/>
      <w:bookmarkStart w:id="848" w:name="Tc_K9wZzWnnS0COZaTOnkygkw_8_12"/>
      <w:bookmarkStart w:id="849" w:name="Tc_2E5N5rZsaUS3q47rcnYV_w_8_9"/>
      <w:bookmarkStart w:id="850" w:name="Tc_5Fh9ljGgqkGoHuYjaHkpjA_8_6"/>
      <w:bookmarkStart w:id="851" w:name="Tc__L5kL4F5gUq1N3PowIU1UA_8_0"/>
      <w:bookmarkStart w:id="852" w:name="Tc_mMHyUDtABU-ZGZNSaBhmWQ_7_0"/>
      <w:bookmarkStart w:id="853" w:name="Tc_5ZaSlihCXUqqPgJu12-9VA_6_0"/>
      <w:bookmarkStart w:id="854" w:name="Tc_TPv31phqekqcCHrrPPkvrQ_5_11"/>
      <w:bookmarkStart w:id="855" w:name="Tc_INttcNERnEWMyUOhKu-vYQ_5_8"/>
      <w:bookmarkStart w:id="856" w:name="Tc_n7TIXveNk0WwYGX4jKXqcw_5_5"/>
      <w:bookmarkStart w:id="857" w:name="Tc_Xp4FHbI1VEyRv6D6lDXmQw_5_2"/>
      <w:bookmarkStart w:id="858" w:name="Tc_wnsd0lkcm0GDjbyGi5d8cw_5_0"/>
      <w:bookmarkStart w:id="859" w:name="Tc_umRiBGYO_k6M-s5Gk319bg_4_0"/>
      <w:bookmarkStart w:id="860" w:name="Tc_TWHmMHgsCUirAgKKQ8hJQw_3_11"/>
      <w:bookmarkStart w:id="861" w:name="Tc_jUVrVYz710-DGlCWRXFi9w_3_8"/>
      <w:bookmarkStart w:id="862" w:name="Tc_XsSmJzqzAEeiF97PC4-3zA_3_5"/>
      <w:bookmarkStart w:id="863" w:name="Tc_URSlTrcKuEKKehoK01tNRg_3_2"/>
      <w:bookmarkStart w:id="864" w:name="Tc_Tf6WkzOavUyYbyKZ58MFAw_3_0"/>
      <w:bookmarkStart w:id="865" w:name="Tc_WKPbl9Aj2keATsewzgerfw_2_11"/>
      <w:bookmarkStart w:id="866" w:name="Tc_xR2wpUzNYEGj1DjqEJk9yQ_2_8"/>
      <w:bookmarkStart w:id="867" w:name="Tc_XTIbDs1zb0GH4rQaYaEesA_2_5"/>
      <w:bookmarkStart w:id="868" w:name="Tc_S7qyiXk0Q0K0QsjwG9GvUw_2_2"/>
      <w:bookmarkStart w:id="869" w:name="Tc_qHo9s9vGHEi5PZM1qvHgfg_1_8"/>
      <w:bookmarkStart w:id="870" w:name="Tc_Lq-kzKkCnE25S6QC8LN-ww_1_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sz w:val="20"/>
        </w:rPr>
        <w:t>The following table summarizes the calculation of basic earnings (loss) per share for the periods presented:</w:t>
      </w:r>
    </w:p>
    <w:p>
      <w:pPr>
        <w:pStyle w:val="TextBody"/>
        <w:bidi w:val="0"/>
        <w:spacing w:before="0" w:after="0"/>
        <w:ind w:left="0" w:right="0" w:hanging="0"/>
        <w:jc w:val="left"/>
        <w:rPr/>
      </w:pPr>
      <w:r>
        <w:rPr/>
        <w:t>​</w:t>
      </w:r>
    </w:p>
    <w:tbl>
      <w:tblPr>
        <w:tblW w:w="9015" w:type="dxa"/>
        <w:jc w:val="left"/>
        <w:tblInd w:w="0" w:type="dxa"/>
        <w:tblLayout w:type="fixed"/>
        <w:tblCellMar>
          <w:top w:w="0" w:type="dxa"/>
          <w:left w:w="0" w:type="dxa"/>
          <w:bottom w:w="0" w:type="dxa"/>
          <w:right w:w="0" w:type="dxa"/>
        </w:tblCellMar>
      </w:tblPr>
      <w:tblGrid>
        <w:gridCol w:w="3616"/>
        <w:gridCol w:w="326"/>
        <w:gridCol w:w="355"/>
        <w:gridCol w:w="785"/>
        <w:gridCol w:w="326"/>
        <w:gridCol w:w="234"/>
        <w:gridCol w:w="651"/>
        <w:gridCol w:w="326"/>
        <w:gridCol w:w="326"/>
        <w:gridCol w:w="814"/>
        <w:gridCol w:w="326"/>
        <w:gridCol w:w="233"/>
        <w:gridCol w:w="697"/>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6160" cy="175260"/>
                      <wp:effectExtent l="0" t="0" r="0" b="0"/>
                      <wp:wrapNone/>
                      <wp:docPr id="150" name="Frame150"/>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5425" cy="175260"/>
                      <wp:effectExtent l="0" t="0" r="0" b="0"/>
                      <wp:wrapNone/>
                      <wp:docPr id="152" name="Frame15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98475" cy="175260"/>
                      <wp:effectExtent l="0" t="0" r="0" b="0"/>
                      <wp:wrapNone/>
                      <wp:docPr id="153" name="Frame15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8590" cy="175260"/>
                      <wp:effectExtent l="0" t="0" r="0" b="0"/>
                      <wp:wrapNone/>
                      <wp:docPr id="155" name="Frame15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13385" cy="175260"/>
                      <wp:effectExtent l="0" t="0" r="0" b="0"/>
                      <wp:wrapNone/>
                      <wp:docPr id="156" name="Frame15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16890" cy="175260"/>
                      <wp:effectExtent l="0" t="0" r="0" b="0"/>
                      <wp:wrapNone/>
                      <wp:docPr id="159" name="Frame15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7955" cy="175260"/>
                      <wp:effectExtent l="0" t="0" r="0" b="0"/>
                      <wp:wrapNone/>
                      <wp:docPr id="161" name="Frame16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42595" cy="175260"/>
                      <wp:effectExtent l="0" t="0" r="0" b="0"/>
                      <wp:wrapNone/>
                      <wp:docPr id="162" name="Frame16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23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  </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3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 basic</w:t>
            </w:r>
          </w:p>
        </w:tc>
        <w:tc>
          <w:tcPr>
            <w:tcW w:w="326" w:type="dxa"/>
            <w:tcBorders/>
            <w:vAlign w:val="center"/>
          </w:tcPr>
          <w:p>
            <w:pPr>
              <w:pStyle w:val="TableContents"/>
              <w:bidi w:val="0"/>
              <w:spacing w:before="0" w:after="1"/>
              <w:ind w:left="0" w:right="0" w:hanging="0"/>
              <w:jc w:val="left"/>
              <w:rPr/>
            </w:pPr>
            <w:r>
              <w:rPr/>
              <w:t> </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vAlign w:val="center"/>
          </w:tcPr>
          <w:p>
            <w:pPr>
              <w:pStyle w:val="TableContents"/>
              <w:bidi w:val="0"/>
              <w:spacing w:before="0" w:after="1"/>
              <w:ind w:left="0" w:right="0" w:hanging="0"/>
              <w:jc w:val="left"/>
              <w:rPr/>
            </w:pPr>
            <w:r>
              <w:rPr/>
              <w:t> </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vAlign w:val="center"/>
          </w:tcPr>
          <w:p>
            <w:pPr>
              <w:pStyle w:val="TableContents"/>
              <w:bidi w:val="0"/>
              <w:spacing w:before="0" w:after="1"/>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unvested RSU awards</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 diluted</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(loss) per share:</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shd w:fill="CCEEFF" w:val="clear"/>
            <w:vAlign w:val="center"/>
          </w:tcPr>
          <w:p>
            <w:pPr>
              <w:pStyle w:val="TableContents"/>
              <w:bidi w:val="0"/>
              <w:spacing w:before="0" w:after="1"/>
              <w:ind w:left="0" w:right="0" w:hanging="0"/>
              <w:jc w:val="left"/>
              <w:rPr/>
            </w:pPr>
            <w:r>
              <w:rPr/>
              <w:t>​</w:t>
            </w:r>
          </w:p>
        </w:tc>
        <w:tc>
          <w:tcPr>
            <w:tcW w:w="697" w:type="dxa"/>
            <w:tcBorders/>
            <w:shd w:fill="CCEEFF" w:val="clear"/>
            <w:vAlign w:val="center"/>
          </w:tcPr>
          <w:p>
            <w:pPr>
              <w:pStyle w:val="TableContents"/>
              <w:bidi w:val="0"/>
              <w:spacing w:before="0" w:after="1"/>
              <w:ind w:left="0" w:right="0" w:hanging="0"/>
              <w:jc w:val="righ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1"/>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income tax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differences between taxes currently payable to the Company’s Parent under the Tax Sharing Agreement and the current tax provision computed on a separate return basis, is reflected as adjustments to additional paid-in capital (see also Note 2). There was no adjustment to additional paid-in capital for the three and nine months ended September 30, 2023, based on estimates of forecasted 2023 US taxes payable under the separate return method for those periods. The adjustment to additional paid-in capital for the three and nine months ended October 1, 2022 was a decrease of $9 million and $16 million, respectively, because amounts payable under the Tax Sharing Agreement exceeded the amounts calculated under the separate return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expense for the nine months ended September 30, 2023 and October 1, 2022 was unfavorably impacted by a valuation allowance for certain jurisdictions. The decrease in tax expense was driven by a change in the jurisdictional composition of our taxable income based on operational results and the recognition of discrete tax items in 2022. Additionally, an accrued withholding tax expense of $14 million related to a dividend distribution between entities within the Mobileye Group that was recorded in the nine months ended October 1, 2022. As the Company has jurisdictions that have sustained recent losses based on the separate return method, a valuation allowance is required for deferred tax assets for which no benefit can be currently realized.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RELATED PARTIES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a series of related party arrangements with Intel. For further description of the arrangements refer to Note 9 of the notes to consolidated financial statement for the year ended December 31, 2022.</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Stock Compensation Recharge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consolidated balance sheets, under related party payable was approximately $1 million and $1 million as of September 30, 2023 and December 31, 2022, respectively. The reimbursement amounts recorded as an adjustment to additional paid-in capital (and to parent net investment prior to the Mobileye IPO) in the condensed consolidated statement of changes in equity were $7 million and $5 million for the three months ended September 30, 2023 and October 1, 2022, respectively and $29 million and $45 million for the nine months ended September 30, 2023 and October 1, 2022,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Lease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September 30, 2023 and October 1, 2022, were $1.2 million and $1.3 million, respectively and $3.6 million and $2.0 million for the nine months ended September 30, 2023 and October 1, 2022,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Other services to a related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reimbursed its Chief Executive Officer for reasonable travel related expenses incurred while conducting business on behalf of the Company. Travel related reimbursements totaled $0.5 million and $0.5 million for the three months ended September 30, 2023 and October 1, 2022, respectively and $1.7 million and $0.8 million for the nine months ended September 30, 2023 and October 1, 2022,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Administrative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Administrative Services Agreement, effective as of the completion of the Mobileye IPO, Intel provides the Company with administrative, financial, legal, tax, and other services. The Company pays fees to Intel for the services rendered based on pricing per service agreed between the Company and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costs incurred under this agreement for the three and nine months ended September 30, 2023 were $1.7 million and $2.9 million,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Technology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and Services Agreement, effective as of the completion of the Mobileye IPO,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for which the LiDAR Product Collaboration Agreement applies. Pursuant to the Technology and Services Agreement, the Company and Intel will agree to statements of work with additional terms for Technology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 incurred under this agreement for the three and nine months ended September 30, 2023 were $1.4 million and $3.8 million, respectively.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LiDAR Product Collaboration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LiDAR Product Collaboration Agreement, effective as of the completion of the Mobileye IPO,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amounts received or receivable from Intel under this agreement for the three and nine months ended September 30, 2023.</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Tax Sharing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September 30, 2023 and December 31, 2022, the related party payable to Intel, pursuant to the Tax Sharing Agreement was $34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71" w:name="Tc_6LbgRwkO2E2yAfU5U3em0g_7_11"/>
      <w:bookmarkStart w:id="872" w:name="Tc_bDiaYTz20ESPKziwPbBgIg_7_8"/>
      <w:bookmarkStart w:id="873" w:name="Tc_LDsD2S6JAUOUH_qaNF6VdA_7_5"/>
      <w:bookmarkStart w:id="874" w:name="Tc_UnPPYAWTe0CGFuxr1Gu5sA_7_2"/>
      <w:bookmarkStart w:id="875" w:name="Tc_g8KWEN8OgECsJrUhsUIPyw_7_0"/>
      <w:bookmarkStart w:id="876" w:name="Tc_JWdlt2GvAEOUIqHe4KRhKw_6_0"/>
      <w:bookmarkStart w:id="877" w:name="Tc_P-V0fOLe0k2FhZvdytrMFQ_5_11"/>
      <w:bookmarkStart w:id="878" w:name="Tc_8oPT343Aqk-D-6ABMjyDag_5_8"/>
      <w:bookmarkStart w:id="879" w:name="Tc_jWY6aZ4BgEyrYBCPKQ7azg_5_5"/>
      <w:bookmarkStart w:id="880" w:name="Tc__ldMZS-eAUOTrT708mQexg_5_2"/>
      <w:bookmarkStart w:id="881" w:name="Tc_hLRgLjMpuUGMG0_dIJJYTw_5_0"/>
      <w:bookmarkStart w:id="882" w:name="Tc_hLzILFLSHUavvhCCcnIN8w_4_14"/>
      <w:bookmarkStart w:id="883" w:name="Tc_d038IVFUT0iMyre2uGk1Pg_4_11"/>
      <w:bookmarkStart w:id="884" w:name="Tc_Nug52kOPqUuGvjgLSr1ZzA_4_8"/>
      <w:bookmarkStart w:id="885" w:name="Tc_SBffg14xNk6LFNRLrrGVYQ_4_5"/>
      <w:bookmarkStart w:id="886" w:name="Tc_9Rxm5gEOfEK8a9Ad9PWnAg_4_2"/>
      <w:bookmarkStart w:id="887" w:name="Tc_t4u8dcCxY0CnVIYPpuobKw_4_0"/>
      <w:bookmarkStart w:id="888" w:name="Tc_8KOOVBdmdkC_1Qyyx-v8HA_3_14"/>
      <w:bookmarkStart w:id="889" w:name="Tc_RLsf1YNZSEme9lxRsu_Nvw_3_11"/>
      <w:bookmarkStart w:id="890" w:name="Tc_K5leMJpg_kS9p6PWoGu85A_3_8"/>
      <w:bookmarkStart w:id="891" w:name="Tc_onlc4Hp94EazDkikvvx0iQ_3_5"/>
      <w:bookmarkStart w:id="892" w:name="Tc_Wr4peG0OSUK7WwbghdALZw_3_2"/>
      <w:bookmarkStart w:id="893" w:name="Tc_VGNd36TpuU6-jt0Wizd5CA_2_14"/>
      <w:bookmarkStart w:id="894" w:name="Tc_T88ds2bKckWQvtGKLpTryg_1_8"/>
      <w:bookmarkStart w:id="895" w:name="Tc_oQcTj2bcjky_jRplteVnFw_1_2"/>
      <w:bookmarkStart w:id="896" w:name="Tc_eXiSZg3dw0K3aaVY3DyLrw_7_17"/>
      <w:bookmarkStart w:id="897" w:name="Tc_eZ3NjBGqhkaEY50Lr3_lKw_7_14"/>
      <w:bookmarkStart w:id="898" w:name="Tc_TBBzJcmrFk-16pZvGYF3Xg_7_11"/>
      <w:bookmarkStart w:id="899" w:name="Tc_0wvuSl-OsUqpUfuPlutklw_7_8"/>
      <w:bookmarkStart w:id="900" w:name="Tc_xNoxPt6YwE6vU1336CjYiQ_7_5"/>
      <w:bookmarkStart w:id="901" w:name="Tc_PK6j6grKEkqH4Am5HWyN4w_7_2"/>
      <w:bookmarkStart w:id="902" w:name="Tc_gCVvRt1eQkSi8QSNT9Fc7Q_7_0"/>
      <w:bookmarkStart w:id="903" w:name="Tc_bcrQp4VmHU6_wm5YOBcOiA_6_0"/>
      <w:bookmarkStart w:id="904" w:name="Tc_Ru-gtxjSaE6sCE5T3TJnIQ_5_17"/>
      <w:bookmarkStart w:id="905" w:name="Tc_UcuBj1MM0EqhWkTQ9Ek4JA_5_14"/>
      <w:bookmarkStart w:id="906" w:name="Tc_HsKNWLqfS0m-CPWl8MwoPw_5_11"/>
      <w:bookmarkStart w:id="907" w:name="Tc_RU8ZQnWos0ObPsNHLYSnsg_5_8"/>
      <w:bookmarkStart w:id="908" w:name="Tc_HXz0KzI25kCytKXG5aSFNw_5_5"/>
      <w:bookmarkStart w:id="909" w:name="Tc_OIDdfNwOu0eeeR62bzUefg_5_2"/>
      <w:bookmarkStart w:id="910" w:name="Tc_qcccjd8W00OtdX9IBwnzyA_5_0"/>
      <w:bookmarkStart w:id="911" w:name="Tc_9zyvvs3OIkGCtPWWKvYuKQ_4_17"/>
      <w:bookmarkStart w:id="912" w:name="Tc_dOOiwkiw2UOHP2tr5Hzykw_4_14"/>
      <w:bookmarkStart w:id="913" w:name="Tc_HOaAQEVtKUWyp9mQDcox2g_4_11"/>
      <w:bookmarkStart w:id="914" w:name="Tc_cqrv_OzoYEyMItrWbuRoWA_4_8"/>
      <w:bookmarkStart w:id="915" w:name="Tc_mVNY3gEh0EKmvToGGHBXOw_4_5"/>
      <w:bookmarkStart w:id="916" w:name="Tc_YaeHRxFgx06Epg0ngInxJA_4_2"/>
      <w:bookmarkStart w:id="917" w:name="Tc_Va34QcQS6UWXQFwLtT4FSg_3_14"/>
      <w:bookmarkStart w:id="918" w:name="Tc_C2FHz5raREes4TyXQlXWBA_3_5"/>
      <w:bookmarkStart w:id="919" w:name="Tc_4tS5fcymRkiuRyTuE9nGtA_2_11"/>
      <w:bookmarkStart w:id="920" w:name="Tc_6-PzWDXlJE2oXwD0mn2MFg_2_2"/>
      <w:bookmarkStart w:id="921" w:name="Tc_9Lv9NYXEZU6Y5TJu1IjMHw_2_0"/>
      <w:bookmarkStart w:id="922" w:name="Tc_wVsUfu9WFkGrsRVcNbWCqA_1_2"/>
      <w:bookmarkStart w:id="923" w:name="_Hlk119608361"/>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b/>
          <w:sz w:val="20"/>
        </w:rPr>
        <w:t>NOTE 8 - IDENTIFIED INTANGIBLE ASSETS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6"/>
        <w:gridCol w:w="326"/>
        <w:gridCol w:w="271"/>
        <w:gridCol w:w="735"/>
        <w:gridCol w:w="326"/>
        <w:gridCol w:w="295"/>
        <w:gridCol w:w="801"/>
        <w:gridCol w:w="326"/>
        <w:gridCol w:w="211"/>
        <w:gridCol w:w="571"/>
        <w:gridCol w:w="326"/>
        <w:gridCol w:w="271"/>
        <w:gridCol w:w="735"/>
        <w:gridCol w:w="326"/>
        <w:gridCol w:w="295"/>
        <w:gridCol w:w="801"/>
        <w:gridCol w:w="326"/>
        <w:gridCol w:w="211"/>
        <w:gridCol w:w="676"/>
      </w:tblGrid>
      <w:tr>
        <w:trPr/>
        <w:tc>
          <w:tcPr>
            <w:tcW w:w="2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08760" cy="175260"/>
                      <wp:effectExtent l="0" t="0" r="0" b="0"/>
                      <wp:wrapNone/>
                      <wp:docPr id="163" name="Frame163"/>
                      <a:graphic xmlns:a="http://schemas.openxmlformats.org/drawingml/2006/main">
                        <a:graphicData uri="http://schemas.microsoft.com/office/word/2010/wordprocessingShape">
                          <wps:wsp>
                            <wps:cNvSpPr txBox="1"/>
                            <wps:spPr>
                              <a:xfrm>
                                <a:off x="0" y="0"/>
                                <a:ext cx="150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2085" cy="175260"/>
                      <wp:effectExtent l="0" t="0" r="0" b="0"/>
                      <wp:wrapNone/>
                      <wp:docPr id="165" name="Frame16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66725" cy="175260"/>
                      <wp:effectExtent l="0" t="0" r="0" b="0"/>
                      <wp:wrapNone/>
                      <wp:docPr id="166" name="Frame166"/>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7325" cy="175260"/>
                      <wp:effectExtent l="0" t="0" r="0" b="0"/>
                      <wp:wrapNone/>
                      <wp:docPr id="168" name="Frame16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8635" cy="175260"/>
                      <wp:effectExtent l="0" t="0" r="0" b="0"/>
                      <wp:wrapNone/>
                      <wp:docPr id="169" name="Frame16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72"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72085" cy="175260"/>
                      <wp:effectExtent l="0" t="0" r="0" b="0"/>
                      <wp:wrapNone/>
                      <wp:docPr id="174" name="Frame17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6725" cy="175260"/>
                      <wp:effectExtent l="0" t="0" r="0" b="0"/>
                      <wp:wrapNone/>
                      <wp:docPr id="175" name="Frame175"/>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7325" cy="175260"/>
                      <wp:effectExtent l="0" t="0" r="0" b="0"/>
                      <wp:wrapNone/>
                      <wp:docPr id="177" name="Frame17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08635" cy="175260"/>
                      <wp:effectExtent l="0" t="0" r="0" b="0"/>
                      <wp:wrapNone/>
                      <wp:docPr id="178" name="Frame17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29260" cy="175260"/>
                      <wp:effectExtent l="0" t="0" r="0" b="0"/>
                      <wp:wrapNone/>
                      <wp:docPr id="181" name="Frame1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0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w:t>
            </w:r>
          </w:p>
        </w:tc>
        <w:tc>
          <w:tcPr>
            <w:tcW w:w="35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center"/>
              <w:rPr/>
            </w:pPr>
            <w:r>
              <w:rPr/>
              <w:t>​</w:t>
            </w:r>
          </w:p>
        </w:tc>
        <w:tc>
          <w:tcPr>
            <w:tcW w:w="364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w:t>
            </w:r>
          </w:p>
        </w:tc>
      </w:tr>
      <w:tr>
        <w:trPr/>
        <w:tc>
          <w:tcPr>
            <w:tcW w:w="2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w:t>
            </w:r>
          </w:p>
        </w:tc>
      </w:tr>
      <w:tr>
        <w:trPr/>
        <w:tc>
          <w:tcPr>
            <w:tcW w:w="2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&amp; brands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4,759</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2,527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amortization expenses recorded for these identified intangible assets and their weighted average useful lives:</w:t>
      </w:r>
    </w:p>
    <w:p>
      <w:pPr>
        <w:pStyle w:val="TextBody"/>
        <w:bidi w:val="0"/>
        <w:spacing w:before="0" w:after="0"/>
        <w:ind w:left="0" w:right="0" w:hanging="0"/>
        <w:jc w:val="left"/>
        <w:rPr/>
      </w:pPr>
      <w:r>
        <w:rPr/>
        <w:t>​</w:t>
      </w:r>
    </w:p>
    <w:tbl>
      <w:tblPr>
        <w:tblW w:w="9432" w:type="dxa"/>
        <w:jc w:val="left"/>
        <w:tblInd w:w="0" w:type="dxa"/>
        <w:tblLayout w:type="fixed"/>
        <w:tblCellMar>
          <w:top w:w="0" w:type="dxa"/>
          <w:left w:w="0" w:type="dxa"/>
          <w:bottom w:w="0" w:type="dxa"/>
          <w:right w:w="0" w:type="dxa"/>
        </w:tblCellMar>
      </w:tblPr>
      <w:tblGrid>
        <w:gridCol w:w="2821"/>
        <w:gridCol w:w="326"/>
        <w:gridCol w:w="379"/>
        <w:gridCol w:w="761"/>
        <w:gridCol w:w="326"/>
        <w:gridCol w:w="294"/>
        <w:gridCol w:w="591"/>
        <w:gridCol w:w="326"/>
        <w:gridCol w:w="379"/>
        <w:gridCol w:w="761"/>
        <w:gridCol w:w="326"/>
        <w:gridCol w:w="294"/>
        <w:gridCol w:w="591"/>
        <w:gridCol w:w="326"/>
        <w:gridCol w:w="93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91335" cy="175260"/>
                      <wp:effectExtent l="0" t="0" r="0" b="0"/>
                      <wp:wrapNone/>
                      <wp:docPr id="182" name="Frame182"/>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0665" cy="175260"/>
                      <wp:effectExtent l="0" t="0" r="0" b="0"/>
                      <wp:wrapNone/>
                      <wp:docPr id="184" name="Frame18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3235" cy="175260"/>
                      <wp:effectExtent l="0" t="0" r="0" b="0"/>
                      <wp:wrapNone/>
                      <wp:docPr id="185" name="Frame185"/>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6690" cy="175260"/>
                      <wp:effectExtent l="0" t="0" r="0" b="0"/>
                      <wp:wrapNone/>
                      <wp:docPr id="187" name="Frame18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75285" cy="175260"/>
                      <wp:effectExtent l="0" t="0" r="0" b="0"/>
                      <wp:wrapNone/>
                      <wp:docPr id="188" name="Frame18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0665" cy="175260"/>
                      <wp:effectExtent l="0" t="0" r="0" b="0"/>
                      <wp:wrapNone/>
                      <wp:docPr id="190" name="Frame19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83235" cy="175260"/>
                      <wp:effectExtent l="0" t="0" r="0" b="0"/>
                      <wp:wrapNone/>
                      <wp:docPr id="191" name="Frame19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6690" cy="175260"/>
                      <wp:effectExtent l="0" t="0" r="0" b="0"/>
                      <wp:wrapNone/>
                      <wp:docPr id="193" name="Frame193"/>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75285" cy="175260"/>
                      <wp:effectExtent l="0" t="0" r="0" b="0"/>
                      <wp:wrapNone/>
                      <wp:docPr id="194" name="Frame19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91185" cy="175260"/>
                      <wp:effectExtent l="0" t="0" r="0" b="0"/>
                      <wp:wrapNone/>
                      <wp:docPr id="196" name="Frame1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23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center"/>
              <w:rPr/>
            </w:pPr>
            <w:r>
              <w:rPr/>
              <w:t>​</w:t>
            </w:r>
          </w:p>
        </w:tc>
        <w:tc>
          <w:tcPr>
            <w:tcW w:w="5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79" w:type="dxa"/>
            <w:tcBorders/>
            <w:vAlign w:val="center"/>
          </w:tcPr>
          <w:p>
            <w:pPr>
              <w:pStyle w:val="TableContents"/>
              <w:bidi w:val="0"/>
              <w:spacing w:before="0" w:after="0"/>
              <w:ind w:left="0" w:right="0" w:hanging="0"/>
              <w:jc w:val="center"/>
              <w:rPr/>
            </w:pPr>
            <w:r>
              <w:rPr/>
              <w:t>​</w:t>
            </w:r>
          </w:p>
        </w:tc>
        <w:tc>
          <w:tcPr>
            <w:tcW w:w="7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94" w:type="dxa"/>
            <w:tcBorders/>
            <w:vAlign w:val="center"/>
          </w:tcPr>
          <w:p>
            <w:pPr>
              <w:pStyle w:val="TableContents"/>
              <w:bidi w:val="0"/>
              <w:spacing w:before="0" w:after="0"/>
              <w:ind w:left="0" w:right="0" w:hanging="0"/>
              <w:jc w:val="center"/>
              <w:rPr/>
            </w:pPr>
            <w:r>
              <w:rPr/>
              <w:t>​</w:t>
            </w:r>
          </w:p>
        </w:tc>
        <w:tc>
          <w:tcPr>
            <w:tcW w:w="5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relationships &amp; brands </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amortization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shd w:fill="CCEEFF" w:val="clear"/>
            <w:vAlign w:val="center"/>
          </w:tcPr>
          <w:p>
            <w:pPr>
              <w:pStyle w:val="TableContents"/>
              <w:bidi w:val="0"/>
              <w:spacing w:before="0" w:after="0"/>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326" w:type="dxa"/>
            <w:tcBorders/>
            <w:shd w:fill="CCEEFF" w:val="clear"/>
            <w:vAlign w:val="center"/>
          </w:tcPr>
          <w:p>
            <w:pPr>
              <w:pStyle w:val="TableContents"/>
              <w:bidi w:val="0"/>
              <w:spacing w:before="0" w:after="0"/>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924" w:name="Tc_jHwZ_Nnkt0yV4CJwCJ8_Ug_3_20"/>
      <w:bookmarkStart w:id="925" w:name="Tc_G2lqHKrES0qbtMLXKVwQ7g_3_17"/>
      <w:bookmarkStart w:id="926" w:name="Tc_HHj7RBPs70a9LH9wIwomQg_3_14"/>
      <w:bookmarkStart w:id="927" w:name="Tc_E5WeaJFWfkeCzZBBkziLGQ_3_11"/>
      <w:bookmarkStart w:id="928" w:name="Tc_vbdHiusuukmqsX6GeC7yQw_3_8"/>
      <w:bookmarkStart w:id="929" w:name="Tc_nR9cUou-KkegGD6TgRHlzg_3_5"/>
      <w:bookmarkStart w:id="930" w:name="Tc_8ny7aSVs40i7hNrUvf-32g_3_2"/>
      <w:bookmarkStart w:id="931" w:name="Tc_BmttkW793UuoVTtqc6rpvw_3_0"/>
      <w:bookmarkStart w:id="932" w:name="Tc_cDXHxxePKUCulyjuJPWd1w_2_20"/>
      <w:bookmarkStart w:id="933" w:name="Tc_lKAcldUiYkWUCn-a6UxDiw_2_17"/>
      <w:bookmarkStart w:id="934" w:name="Tc_4iEjhXL5ck6cgr7OvTOCVg_2_14"/>
      <w:bookmarkStart w:id="935" w:name="Tc_0JKNSs5NCUibAvbreR9_DQ_2_11"/>
      <w:bookmarkStart w:id="936" w:name="Tc_2IFA6o9cKESWrcifJSwpiw_2_8"/>
      <w:bookmarkStart w:id="937" w:name="Tc_YmMQS5r0d0yP68845Ew37A_2_5"/>
      <w:bookmarkStart w:id="938" w:name="Tc_MRcxje2KeEKHZ7yPlWsIDw_2_2"/>
      <w:bookmarkStart w:id="939" w:name="Tc_RgzHNB_BqE6BAPU_EnBk-A_2_0"/>
      <w:bookmarkStart w:id="940" w:name="Tc_qfZVYLZAYke8FwJzmEjH4Q_1_2"/>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sz w:val="20"/>
        </w:rPr>
        <w:t>The Company expects future amortization expenses for the next five years and thereafter to be as follows:</w:t>
      </w:r>
    </w:p>
    <w:p>
      <w:pPr>
        <w:pStyle w:val="TextBody"/>
        <w:bidi w:val="0"/>
        <w:spacing w:before="0" w:after="0"/>
        <w:ind w:left="0" w:right="0" w:hanging="0"/>
        <w:jc w:val="left"/>
        <w:rPr/>
      </w:pPr>
      <w:r>
        <w:rPr/>
        <w:t>​</w:t>
      </w:r>
    </w:p>
    <w:tbl>
      <w:tblPr>
        <w:tblW w:w="9990" w:type="dxa"/>
        <w:jc w:val="left"/>
        <w:tblInd w:w="0" w:type="dxa"/>
        <w:tblLayout w:type="fixed"/>
        <w:tblCellMar>
          <w:top w:w="0" w:type="dxa"/>
          <w:left w:w="0" w:type="dxa"/>
          <w:bottom w:w="0" w:type="dxa"/>
          <w:right w:w="0" w:type="dxa"/>
        </w:tblCellMar>
      </w:tblPr>
      <w:tblGrid>
        <w:gridCol w:w="2506"/>
        <w:gridCol w:w="326"/>
        <w:gridCol w:w="300"/>
        <w:gridCol w:w="601"/>
        <w:gridCol w:w="326"/>
        <w:gridCol w:w="211"/>
        <w:gridCol w:w="421"/>
        <w:gridCol w:w="326"/>
        <w:gridCol w:w="211"/>
        <w:gridCol w:w="421"/>
        <w:gridCol w:w="326"/>
        <w:gridCol w:w="211"/>
        <w:gridCol w:w="421"/>
        <w:gridCol w:w="326"/>
        <w:gridCol w:w="211"/>
        <w:gridCol w:w="421"/>
        <w:gridCol w:w="326"/>
        <w:gridCol w:w="295"/>
        <w:gridCol w:w="591"/>
        <w:gridCol w:w="326"/>
        <w:gridCol w:w="211"/>
        <w:gridCol w:w="67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91310" cy="175260"/>
                      <wp:effectExtent l="0" t="0" r="0" b="0"/>
                      <wp:wrapNone/>
                      <wp:docPr id="197" name="Frame19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0500" cy="175260"/>
                      <wp:effectExtent l="0" t="0" r="0" b="0"/>
                      <wp:wrapNone/>
                      <wp:docPr id="199" name="Frame199"/>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81635" cy="175260"/>
                      <wp:effectExtent l="0" t="0" r="0" b="0"/>
                      <wp:wrapNone/>
                      <wp:docPr id="200" name="Frame20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67335" cy="175260"/>
                      <wp:effectExtent l="0" t="0" r="0" b="0"/>
                      <wp:wrapNone/>
                      <wp:docPr id="203" name="Frame2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67335" cy="175260"/>
                      <wp:effectExtent l="0" t="0" r="0" b="0"/>
                      <wp:wrapNone/>
                      <wp:docPr id="206" name="Frame20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7335" cy="175260"/>
                      <wp:effectExtent l="0" t="0" r="0" b="0"/>
                      <wp:wrapNone/>
                      <wp:docPr id="209" name="Frame20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7335" cy="175260"/>
                      <wp:effectExtent l="0" t="0" r="0" b="0"/>
                      <wp:wrapNone/>
                      <wp:docPr id="212" name="Frame21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7325" cy="175260"/>
                      <wp:effectExtent l="0" t="0" r="0" b="0"/>
                      <wp:wrapNone/>
                      <wp:docPr id="214" name="Frame21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5285" cy="175260"/>
                      <wp:effectExtent l="0" t="0" r="0" b="0"/>
                      <wp:wrapNone/>
                      <wp:docPr id="215" name="Frame215"/>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9260" cy="175260"/>
                      <wp:effectExtent l="0" t="0" r="0" b="0"/>
                      <wp:wrapNone/>
                      <wp:docPr id="218" name="Frame2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Remainder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2023</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amortization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2,165</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SEGMENT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the Company’s only reportable operating segment and Moovit is presented within “Other” as per ASC 280, Segment Reporting. Segment performance is the operating income reported excluding the amortization of acquisition-related intangible assets. The measure of assets has not been disclosed for each segment as it is not regularly reviewed by the CODM.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policies of the individual segments are the same as those described in the summary of significant accounting policies in Note 2 to the audited consolidated financial statements for the fiscal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941" w:name="Tc_7Olj1lNoG0WQJGmIWz-RDA_14_9"/>
      <w:bookmarkStart w:id="942" w:name="Tc_xxCeD8xy5UCZNdgs8Zggiw_14_6"/>
      <w:bookmarkStart w:id="943" w:name="Tc_8inpUwjtJ0atFkQFeda4WQ_14_0"/>
      <w:bookmarkStart w:id="944" w:name="Tc_vCkoeVmksU2PEMiYlgmXyg_13_9"/>
      <w:bookmarkStart w:id="945" w:name="Tc_S6XgPzM9lE2xGNAe1ejr4A_13_0"/>
      <w:bookmarkStart w:id="946" w:name="Tc_UtxS80yIDkaqcOyUYtGPfw_12_9"/>
      <w:bookmarkStart w:id="947" w:name="Tc_WZZvLRH960io-_1Qq3Artg_12_6"/>
      <w:bookmarkStart w:id="948" w:name="Tc_v1MzCGCmakS1mNdoW0B7IQ_12_3"/>
      <w:bookmarkStart w:id="949" w:name="Tc_kn-a0FTiXEG7R4Ug0SNcGw_12_0"/>
      <w:bookmarkStart w:id="950" w:name="Tc_aJuWAZK9h0WZYyTpl4jiVA_11_9"/>
      <w:bookmarkStart w:id="951" w:name="Tc_ncf52-7ZnkOlvicVy9_h5A_11_6"/>
      <w:bookmarkStart w:id="952" w:name="Tc_GoH_PDDEi0yyL2-xCLQSmw_11_3"/>
      <w:bookmarkStart w:id="953" w:name="Tc_1gYhSq4fmUu_BaoavrF0fA_11_0"/>
      <w:bookmarkStart w:id="954" w:name="Tc_Aju6xNz0ekGXaReHKEsh1A_10_11"/>
      <w:bookmarkStart w:id="955" w:name="Tc_xKGOSxp-YUCUHLXNYQRILg_10_8"/>
      <w:bookmarkStart w:id="956" w:name="Tc_wfJBrgWh4U2-N1y8at9Faw_10_5"/>
      <w:bookmarkStart w:id="957" w:name="Tc_WzgvIQ6P2kCfD7nvDoAg-w_10_2"/>
      <w:bookmarkStart w:id="958" w:name="Tc_IINy8eazm0C4YoMxyfJ6EQ_10_0"/>
      <w:bookmarkStart w:id="959" w:name="Tc_s6hdWAb4KU2qTLp1Ys2VaA_9_9"/>
      <w:bookmarkStart w:id="960" w:name="Tc_STmaKTpuwkyaYWPM7AKdWQ_9_0"/>
      <w:bookmarkStart w:id="961" w:name="Tc_eQYWnXPhnECmM1LgtF45hg_8_0"/>
      <w:bookmarkStart w:id="962" w:name="Tc_CefZJux6SkKLrUsnPu7tJw_7_9"/>
      <w:bookmarkStart w:id="963" w:name="Tc_r4qJhiNOUUyD6DoOL2TVCg_7_0"/>
      <w:bookmarkStart w:id="964" w:name="Tc_W5w_0-WgwESHZzqUqOPOrw_6_0"/>
      <w:bookmarkStart w:id="965" w:name="Tc_UFauorK2MUeywWBqyMlcpg_5_11"/>
      <w:bookmarkStart w:id="966" w:name="Tc_-MIGnp5SU0GC_NTBPrcESg_5_9"/>
      <w:bookmarkStart w:id="967" w:name="Tc_-Sk0QwfUJEWCEi6p-DHuOQ_5_8"/>
      <w:bookmarkStart w:id="968" w:name="Tc_j_0lD_eNtkW1BXFyFSesqQ_5_5"/>
      <w:bookmarkStart w:id="969" w:name="Tc_81ulj_kSakGJQlbw8u-bmg_5_2"/>
      <w:bookmarkStart w:id="970" w:name="Tc_8yLyQMv5rEq20iUSgH9vFQ_5_0"/>
      <w:bookmarkStart w:id="971" w:name="Tc_STwbCPc-eEioB61YjLmWUQ_4_11"/>
      <w:bookmarkStart w:id="972" w:name="Tc_iba91iPKhUqpzElcMIULqA_4_8"/>
      <w:bookmarkStart w:id="973" w:name="Tc_Ie8wLP-QxEGg3oVWtWzgyw_4_5"/>
      <w:bookmarkStart w:id="974" w:name="Tc_I84MJIqSw0KF7ro7kN3EbA_4_2"/>
      <w:bookmarkStart w:id="975" w:name="Tc_P_eZvVZWh0eshgkJlEwrZw_4_0"/>
      <w:bookmarkStart w:id="976" w:name="Tc_DOVyT1ukqUCPvW4ZVNS-ow_3_8"/>
      <w:bookmarkStart w:id="977" w:name="Tc_4EpSGH7awkyfQnVMwunyNw_2_8"/>
      <w:bookmarkStart w:id="978" w:name="Tc_FrwP6Q9dGkSujr49PynyvA_1_2"/>
      <w:bookmarkStart w:id="979" w:name="_f414ff59_0f28_4038_80d5_7f47d5062d90"/>
      <w:bookmarkStart w:id="980" w:name="Tc_i1bGPxsfUk-pQ9j-k8vQZA_15_9"/>
      <w:bookmarkStart w:id="981" w:name="Tc_zZeMxUqNsU27sdXNTX8zQg_15_6"/>
      <w:bookmarkStart w:id="982" w:name="Tc_bleixAvjHUymwM1VJ2CpkQ_15_0"/>
      <w:bookmarkStart w:id="983" w:name="Tc_4aYQAiwHg0iSpKeSa2vatg_14_9"/>
      <w:bookmarkStart w:id="984" w:name="Tc_wBjPTXA17kKq37chVJYW-A_14_0"/>
      <w:bookmarkStart w:id="985" w:name="Tc_P_1wtQBaQEmEe184KjYisQ_13_9"/>
      <w:bookmarkStart w:id="986" w:name="Tc_ozwkV1UqLka01hR-p7rjag_13_6"/>
      <w:bookmarkStart w:id="987" w:name="Tc_6Bv1X-PEPUilMJ1KCdxf_A_13_3"/>
      <w:bookmarkStart w:id="988" w:name="Tc_EsuT93ZrakuqSFAXSmOjbw_13_0"/>
      <w:bookmarkStart w:id="989" w:name="Tc_GwhBPSlWEUyCfz-dOMxM7w_12_9"/>
      <w:bookmarkStart w:id="990" w:name="Tc_35U-PIZXFEWSqCI9pqPhoA_12_6"/>
      <w:bookmarkStart w:id="991" w:name="Tc_b3sFsSl-6U-bdFqZQJxUEA_12_3"/>
      <w:bookmarkStart w:id="992" w:name="Tc_NC1sdlyBP0uwMMXVq_oO-Q_12_0"/>
      <w:bookmarkStart w:id="993" w:name="Tc_y_st7F3LeE6DmiON0wqrjQ_11_9"/>
      <w:bookmarkStart w:id="994" w:name="Tc_QMGZtZXy4k6nJfeIj5342g_11_6"/>
      <w:bookmarkStart w:id="995" w:name="Tc_JD7RK8kZjUCA-Pr6FFGlww_11_3"/>
      <w:bookmarkStart w:id="996" w:name="Tc_vDN6TJdqLEGV8so5C6TsJw_11_0"/>
      <w:bookmarkStart w:id="997" w:name="Tc_d4BGhCH4f0u7IvB2U1BM9g_10_11"/>
      <w:bookmarkStart w:id="998" w:name="Tc_bFLtwLjG7ESAz_q7JCldrg_10_8"/>
      <w:bookmarkStart w:id="999" w:name="Tc_n-AgFgRVjU63RbqUHnU9vw_10_5"/>
      <w:bookmarkStart w:id="1000" w:name="Tc_MC15gSIupESKElh3QsgHUQ_10_2"/>
      <w:bookmarkStart w:id="1001" w:name="Tc_MtBo32J63UKzp7LaBSMicA_10_0"/>
      <w:bookmarkStart w:id="1002" w:name="Tc_jWzMEqGh8U-6f0GX_C30aw_9_0"/>
      <w:bookmarkStart w:id="1003" w:name="Tc_AM0zEODMi0C8SM9qLN45EQ_8_0"/>
      <w:bookmarkStart w:id="1004" w:name="Tc_YhLX8OjXnESSWINf1dfmqQ_7_9"/>
      <w:bookmarkStart w:id="1005" w:name="Tc_ncg-lz8JAUm_Fovs0jrnbg_7_0"/>
      <w:bookmarkStart w:id="1006" w:name="Tc_VXctmYVOmEe6W8F3b_SHJw_6_0"/>
      <w:bookmarkStart w:id="1007" w:name="Tc_mo9lszmYlkmTPSeoJe2Wog_5_11"/>
      <w:bookmarkStart w:id="1008" w:name="Tc_L99i_xakRUmNWZs121pG1Q_5_9"/>
      <w:bookmarkStart w:id="1009" w:name="Tc_2xubP1ggbUK9esyRYIGFrg_5_8"/>
      <w:bookmarkStart w:id="1010" w:name="Tc_wiFYzSNE60KPCKCLC3d37g_5_5"/>
      <w:bookmarkStart w:id="1011" w:name="Tc_JNVjcftQwUi0NkdNdYJSdg_5_2"/>
      <w:bookmarkStart w:id="1012" w:name="Tc__t4E2CxrtUaGVQ6xyrFsPg_5_0"/>
      <w:bookmarkStart w:id="1013" w:name="Tc_5fOLPQKEKkeUt7WF2is9qg_4_11"/>
      <w:bookmarkStart w:id="1014" w:name="Tc_h0-qh3iSI0mYGlam4wwxLw_4_8"/>
      <w:bookmarkStart w:id="1015" w:name="Tc__Gyc9PluH0mnE3a8Ebf9ag_4_5"/>
      <w:bookmarkStart w:id="1016" w:name="Tc_J5FEn7evvU2kZ1R6_x7q1g_4_2"/>
      <w:bookmarkStart w:id="1017" w:name="Tc_wBIc6fOMBU6hsEg2_itkFg_4_0"/>
      <w:bookmarkStart w:id="1018" w:name="Tc_iTJ2Z9gBM0K2mWe55wf-lA_3_8"/>
      <w:bookmarkStart w:id="1019" w:name="Tc_TEXT5_J1i0ebz3EhYeryxw_2_8"/>
      <w:bookmarkStart w:id="1020" w:name="Tc_3ZpuGB7iQE6UBOW7FmIVGQ_1_2"/>
      <w:bookmarkStart w:id="1021" w:name="_435451f1_4a7c_4fd0_89e1_7f2632a3c6eb"/>
      <w:bookmarkStart w:id="1022" w:name="Tc_n9v-CU7TB0KKhAXyHT4Kcg_14_9"/>
      <w:bookmarkStart w:id="1023" w:name="Tc_h4T_dFJlUUiW-11Xk8lvrQ_14_6"/>
      <w:bookmarkStart w:id="1024" w:name="Tc_xJkw8rsLYkmrP_gOU5a5Xw_14_0"/>
      <w:bookmarkStart w:id="1025" w:name="Tc_lp4SDSxKvkOCcQ00SR5ZiQ_13_9"/>
      <w:bookmarkStart w:id="1026" w:name="Tc_tJIxJy4mLEeugV5J2DZ-DA_13_0"/>
      <w:bookmarkStart w:id="1027" w:name="Tc_eEIA91OiiU-suiaDrh9dkg_12_9"/>
      <w:bookmarkStart w:id="1028" w:name="Tc_lsVN7L_0OEOohbMEpAdQtw_12_6"/>
      <w:bookmarkStart w:id="1029" w:name="Tc_jjCzEXXR-0WbJcuLemhCsw_12_3"/>
      <w:bookmarkStart w:id="1030" w:name="Tc_EHKznlgD4kaQB7ftSOOXEw_12_0"/>
      <w:bookmarkStart w:id="1031" w:name="Tc_4ubUEmkcDEWaHhOf1rNPuw_11_9"/>
      <w:bookmarkStart w:id="1032" w:name="Tc_dE7hVIyjPkaJ-osWNPPJQA_11_6"/>
      <w:bookmarkStart w:id="1033" w:name="Tc_syU_vkdipEuTRVspKAHmYg_11_3"/>
      <w:bookmarkStart w:id="1034" w:name="Tc_L-H_oU3WSUmA863V4FUaaQ_11_0"/>
      <w:bookmarkStart w:id="1035" w:name="Tc_OG2cguIv60-qqxanmZjybg_10_11"/>
      <w:bookmarkStart w:id="1036" w:name="Tc_9o8BoXrnCUy0WrP8cN1fng_10_8"/>
      <w:bookmarkStart w:id="1037" w:name="Tc_zZJ-3dG-90uDFhMJusjIiA_10_5"/>
      <w:bookmarkStart w:id="1038" w:name="Tc_U9_8iwupT06pjzBiG6Roqw_10_2"/>
      <w:bookmarkStart w:id="1039" w:name="Tc_pSuM_Mec6EWpfsGmKQX3Kg_10_0"/>
      <w:bookmarkStart w:id="1040" w:name="Tc_slg7MLflO0uowSfaRUYVNQ_9_9"/>
      <w:bookmarkStart w:id="1041" w:name="Tc_RLlBSb8CaUCEi_IV0j1sYw_9_0"/>
      <w:bookmarkStart w:id="1042" w:name="Tc_H9npZm4DeU-Amc8OS43WjQ_8_0"/>
      <w:bookmarkStart w:id="1043" w:name="Tc_P41yXEb9B0KyK6S4hKff8w_7_9"/>
      <w:bookmarkStart w:id="1044" w:name="Tc_0rKh9c9t90WC8fjtMm4xow_7_0"/>
      <w:bookmarkStart w:id="1045" w:name="Tc_L65Ytr9_xEawG2ibLji-8A_6_0"/>
      <w:bookmarkStart w:id="1046" w:name="Tc_v6BY_HF3vEOfXAyEbnfqLQ_5_11"/>
      <w:bookmarkStart w:id="1047" w:name="Tc_BDNjkvE4TU6vtvXYqzMIpQ_5_9"/>
      <w:bookmarkStart w:id="1048" w:name="Tc_5Ek18U9IRkCvpx9Y4YyUPA_5_8"/>
      <w:bookmarkStart w:id="1049" w:name="Tc_9ve5YREuTkeuG1Osm31U1Q_5_5"/>
      <w:bookmarkStart w:id="1050" w:name="Tc_C7EHiW3x90eAzD5eI9x2vw_5_2"/>
      <w:bookmarkStart w:id="1051" w:name="Tc_9h4teIjpV0CnHDfSR9YBUg_5_0"/>
      <w:bookmarkStart w:id="1052" w:name="Tc_Y09JziVlCk6BpFG8N9NuVg_4_11"/>
      <w:bookmarkStart w:id="1053" w:name="Tc_KUmCIAki1UimvYCwaqAQ2g_4_8"/>
      <w:bookmarkStart w:id="1054" w:name="Tc_acHKW1UJ4k2HUun3ussCTg_4_5"/>
      <w:bookmarkStart w:id="1055" w:name="Tc_cgoigsewM0GrdtvWq-dsXw_4_2"/>
      <w:bookmarkStart w:id="1056" w:name="Tc_-0NKmZ0gHkWGEh0WPMLiYA_4_0"/>
      <w:bookmarkStart w:id="1057" w:name="Tc_UO_MlpseCUSpBcQn7V7eAQ_3_8"/>
      <w:bookmarkStart w:id="1058" w:name="Tc_SZMO2O_IXUOHcyqHPF79Eg_2_8"/>
      <w:bookmarkStart w:id="1059" w:name="Tc_MVFYahSEUkSOZE-fG8z7yw_1_2"/>
      <w:bookmarkStart w:id="1060" w:name="_af5a1fc3_4ae6_48c1_8bbd_f418e82213de"/>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sz w:val="20"/>
        </w:rPr>
        <w:t>The following are segment results for each period as follows:</w:t>
      </w:r>
    </w:p>
    <w:p>
      <w:pPr>
        <w:pStyle w:val="TextBody"/>
        <w:bidi w:val="0"/>
        <w:spacing w:before="0" w:after="0"/>
        <w:ind w:left="0" w:right="0" w:hanging="0"/>
        <w:jc w:val="left"/>
        <w:rPr/>
      </w:pPr>
      <w:r>
        <w:rPr/>
        <w:t>​</w:t>
      </w:r>
    </w:p>
    <w:tbl>
      <w:tblPr>
        <w:tblW w:w="8180" w:type="dxa"/>
        <w:jc w:val="left"/>
        <w:tblInd w:w="0" w:type="dxa"/>
        <w:tblLayout w:type="fixed"/>
        <w:tblCellMar>
          <w:top w:w="0" w:type="dxa"/>
          <w:left w:w="0" w:type="dxa"/>
          <w:bottom w:w="0" w:type="dxa"/>
          <w:right w:w="0" w:type="dxa"/>
        </w:tblCellMar>
      </w:tblPr>
      <w:tblGrid>
        <w:gridCol w:w="3376"/>
        <w:gridCol w:w="326"/>
        <w:gridCol w:w="255"/>
        <w:gridCol w:w="511"/>
        <w:gridCol w:w="326"/>
        <w:gridCol w:w="211"/>
        <w:gridCol w:w="346"/>
        <w:gridCol w:w="326"/>
        <w:gridCol w:w="329"/>
        <w:gridCol w:w="752"/>
        <w:gridCol w:w="326"/>
        <w:gridCol w:w="341"/>
        <w:gridCol w:w="755"/>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43760" cy="175260"/>
                      <wp:effectExtent l="0" t="0" r="0" b="0"/>
                      <wp:wrapNone/>
                      <wp:docPr id="219" name="Frame21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1925" cy="175260"/>
                      <wp:effectExtent l="0" t="0" r="0" b="0"/>
                      <wp:wrapNone/>
                      <wp:docPr id="221" name="Frame22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24485" cy="175260"/>
                      <wp:effectExtent l="0" t="0" r="0" b="0"/>
                      <wp:wrapNone/>
                      <wp:docPr id="222" name="Frame22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8915" cy="175260"/>
                      <wp:effectExtent l="0" t="0" r="0" b="0"/>
                      <wp:wrapNone/>
                      <wp:docPr id="227" name="Frame22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77520" cy="175260"/>
                      <wp:effectExtent l="0" t="0" r="0" b="0"/>
                      <wp:wrapNone/>
                      <wp:docPr id="228" name="Frame228"/>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6535" cy="175260"/>
                      <wp:effectExtent l="0" t="0" r="0" b="0"/>
                      <wp:wrapNone/>
                      <wp:docPr id="230" name="Frame23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79425" cy="175260"/>
                      <wp:effectExtent l="0" t="0" r="0" b="0"/>
                      <wp:wrapNone/>
                      <wp:docPr id="231" name="Frame231"/>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47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2023</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pPr>
      <w:r>
        <w:rPr/>
        <w:t>​</w:t>
      </w:r>
    </w:p>
    <w:tbl>
      <w:tblPr>
        <w:tblW w:w="8900" w:type="dxa"/>
        <w:jc w:val="left"/>
        <w:tblInd w:w="0" w:type="dxa"/>
        <w:tblLayout w:type="fixed"/>
        <w:tblCellMar>
          <w:top w:w="0" w:type="dxa"/>
          <w:left w:w="0" w:type="dxa"/>
          <w:bottom w:w="0" w:type="dxa"/>
          <w:right w:w="0" w:type="dxa"/>
        </w:tblCellMar>
      </w:tblPr>
      <w:tblGrid>
        <w:gridCol w:w="4006"/>
        <w:gridCol w:w="326"/>
        <w:gridCol w:w="255"/>
        <w:gridCol w:w="511"/>
        <w:gridCol w:w="326"/>
        <w:gridCol w:w="211"/>
        <w:gridCol w:w="436"/>
        <w:gridCol w:w="326"/>
        <w:gridCol w:w="329"/>
        <w:gridCol w:w="752"/>
        <w:gridCol w:w="326"/>
        <w:gridCol w:w="341"/>
        <w:gridCol w:w="755"/>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43810" cy="175260"/>
                      <wp:effectExtent l="0" t="0" r="0" b="0"/>
                      <wp:wrapNone/>
                      <wp:docPr id="232" name="Frame232"/>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1925" cy="175260"/>
                      <wp:effectExtent l="0" t="0" r="0" b="0"/>
                      <wp:wrapNone/>
                      <wp:docPr id="234" name="Frame23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24485" cy="175260"/>
                      <wp:effectExtent l="0" t="0" r="0" b="0"/>
                      <wp:wrapNone/>
                      <wp:docPr id="235" name="Frame23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76860" cy="175260"/>
                      <wp:effectExtent l="0" t="0" r="0" b="0"/>
                      <wp:wrapNone/>
                      <wp:docPr id="238" name="Frame23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8915" cy="175260"/>
                      <wp:effectExtent l="0" t="0" r="0" b="0"/>
                      <wp:wrapNone/>
                      <wp:docPr id="240" name="Frame240"/>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77520" cy="175260"/>
                      <wp:effectExtent l="0" t="0" r="0" b="0"/>
                      <wp:wrapNone/>
                      <wp:docPr id="241" name="Frame24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6535" cy="175260"/>
                      <wp:effectExtent l="0" t="0" r="0" b="0"/>
                      <wp:wrapNone/>
                      <wp:docPr id="243" name="Frame24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79425" cy="175260"/>
                      <wp:effectExtent l="0" t="0" r="0" b="0"/>
                      <wp:wrapNone/>
                      <wp:docPr id="244" name="Frame24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5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October 1, 2022</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341"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with related party,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pPr>
      <w:r>
        <w:rPr/>
        <w:t>​</w:t>
      </w:r>
    </w:p>
    <w:tbl>
      <w:tblPr>
        <w:tblW w:w="8286" w:type="dxa"/>
        <w:jc w:val="left"/>
        <w:tblInd w:w="0" w:type="dxa"/>
        <w:tblLayout w:type="fixed"/>
        <w:tblCellMar>
          <w:top w:w="0" w:type="dxa"/>
          <w:left w:w="0" w:type="dxa"/>
          <w:bottom w:w="0" w:type="dxa"/>
          <w:right w:w="0" w:type="dxa"/>
        </w:tblCellMar>
      </w:tblPr>
      <w:tblGrid>
        <w:gridCol w:w="3376"/>
        <w:gridCol w:w="326"/>
        <w:gridCol w:w="211"/>
        <w:gridCol w:w="571"/>
        <w:gridCol w:w="326"/>
        <w:gridCol w:w="211"/>
        <w:gridCol w:w="436"/>
        <w:gridCol w:w="326"/>
        <w:gridCol w:w="329"/>
        <w:gridCol w:w="752"/>
        <w:gridCol w:w="326"/>
        <w:gridCol w:w="279"/>
        <w:gridCol w:w="817"/>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43760" cy="175260"/>
                      <wp:effectExtent l="0" t="0" r="0" b="0"/>
                      <wp:wrapNone/>
                      <wp:docPr id="245" name="Frame24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62585" cy="175260"/>
                      <wp:effectExtent l="0" t="0" r="0" b="0"/>
                      <wp:wrapNone/>
                      <wp:docPr id="248"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76860" cy="175260"/>
                      <wp:effectExtent l="0" t="0" r="0" b="0"/>
                      <wp:wrapNone/>
                      <wp:docPr id="251" name="Frame25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8915" cy="175260"/>
                      <wp:effectExtent l="0" t="0" r="0" b="0"/>
                      <wp:wrapNone/>
                      <wp:docPr id="253" name="Frame25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77520" cy="175260"/>
                      <wp:effectExtent l="0" t="0" r="0" b="0"/>
                      <wp:wrapNone/>
                      <wp:docPr id="254" name="Frame25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7165" cy="175260"/>
                      <wp:effectExtent l="0" t="0" r="0" b="0"/>
                      <wp:wrapNone/>
                      <wp:docPr id="256" name="Frame25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18795" cy="175260"/>
                      <wp:effectExtent l="0" t="0" r="0" b="0"/>
                      <wp:wrapNone/>
                      <wp:docPr id="257" name="Frame257"/>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5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27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vAlign w:val="center"/>
          </w:tcPr>
          <w:p>
            <w:pPr>
              <w:pStyle w:val="TableContents"/>
              <w:bidi w:val="0"/>
              <w:spacing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61" w:name="Tc_ikzc967RIEmzXVRQ--ISgg_7_9"/>
      <w:bookmarkStart w:id="1062" w:name="Tc_CRnxCONqtEqsTgQ11RZcTA_7_7"/>
      <w:bookmarkStart w:id="1063" w:name="Tc_njnUSlWo9kOnAnyhgXag0w_7_5"/>
      <w:bookmarkStart w:id="1064" w:name="Tc_tmzPk22a90iLU3ZDeEtTog_7_3"/>
      <w:bookmarkStart w:id="1065" w:name="Tc_a2VkS3ta90OJtWL49tdh3Q_7_0"/>
      <w:bookmarkStart w:id="1066" w:name="Tc_dHybzYj4g02V_7jG5JYnwQ_6_9"/>
      <w:bookmarkStart w:id="1067" w:name="Tc_adi6VkXWwUSZ-Vfidg3WAA_6_7"/>
      <w:bookmarkStart w:id="1068" w:name="Tc_AzHdvDQ-SUSmp0F6HGRF6A_6_5"/>
      <w:bookmarkStart w:id="1069" w:name="Tc_jMtP3d4S1UWcS08SK2bpwA_6_3"/>
      <w:bookmarkStart w:id="1070" w:name="Tc_ApTvegifTEu4ezvKNo6hBw_6_0"/>
      <w:bookmarkStart w:id="1071" w:name="Tc_TlwEBSO790mHhnEqW6Q4NQ_5_9"/>
      <w:bookmarkStart w:id="1072" w:name="Tc_i_kVJu9_fEKCu0yRE49jMw_5_7"/>
      <w:bookmarkStart w:id="1073" w:name="Tc_Gnfv66Box0ONyFf3AziTow_5_5"/>
      <w:bookmarkStart w:id="1074" w:name="Tc_XwlEiZ1d5kO4ubG6BO5UWw_5_3"/>
      <w:bookmarkStart w:id="1075" w:name="Tc_6RxFz-bL2EKPhdYw-msSWA_5_0"/>
      <w:bookmarkStart w:id="1076" w:name="Tc_MekOwHQMvkCoh6hcU3TnJQ_4_0"/>
      <w:bookmarkStart w:id="1077" w:name="Tc_IPzScKsbM06yCbrty4W8Sw_3_8"/>
      <w:bookmarkStart w:id="1078" w:name="Tc_i95H467UJE6IRXVhKb3-7A_3_6"/>
      <w:bookmarkStart w:id="1079" w:name="Tc_b_Tvn_9fJ06q6-X6fml0bA_3_4"/>
      <w:bookmarkStart w:id="1080" w:name="Tc_305ZPBMZZ0O7yYLXkbmHNQ_3_2"/>
      <w:bookmarkStart w:id="1081" w:name="Tc_5dCeCVMznEu9S8WJDR68Qg_2_8"/>
      <w:bookmarkStart w:id="1082" w:name="Tc_syaUU1ZqjUulBtfO47-HEw_2_6"/>
      <w:bookmarkStart w:id="1083" w:name="Tc_wjndcBgqQkiOaN5q63mBpw_2_4"/>
      <w:bookmarkStart w:id="1084" w:name="Tc_OWLF5-TA9kKQFVdOaWqpXg_2_2"/>
      <w:bookmarkStart w:id="1085" w:name="Tc_ElGvso7hVkmUvEgts5MBTA_1_6"/>
      <w:bookmarkStart w:id="1086" w:name="Tc_ze4qGJAHhUOufVMISxP2cA_1_2"/>
      <w:bookmarkStart w:id="1087" w:name="Tc_UNoGVLsMy02s6ZsH6-39pw_13_11"/>
      <w:bookmarkStart w:id="1088" w:name="Tc_fTV4vamenU-Dtq0ItW3ENQ_13_8"/>
      <w:bookmarkStart w:id="1089" w:name="Tc_biXvnqoMlUmBcy9CXrr0Cw_13_5"/>
      <w:bookmarkStart w:id="1090" w:name="Tc_WGp5yKFYOUKv7elMczMtOg_13_2"/>
      <w:bookmarkStart w:id="1091" w:name="Tc_h7iWEHCDwkqf_spNU0e_rA_13_0"/>
      <w:bookmarkStart w:id="1092" w:name="Tc_MXvSLsbyzEK7xEeWW5Uw9Q_12_0"/>
      <w:bookmarkStart w:id="1093" w:name="Tc_lJj3LVWwQkuN3ky8o1W1JQ_11_0"/>
      <w:bookmarkStart w:id="1094" w:name="Tc_gwBpCzyZ80qOBQCK-DF9tw_10_12"/>
      <w:bookmarkStart w:id="1095" w:name="Tc_wOJ4qhdUzkO6OCc55q3CIQ_10_6"/>
      <w:bookmarkStart w:id="1096" w:name="Tc_CUTZNCZ5GUuh5wtrwTji2g_10_0"/>
      <w:bookmarkStart w:id="1097" w:name="Tc_99szS3OM3k25DICMaA379Q_9_0"/>
      <w:bookmarkStart w:id="1098" w:name="Tc_kxKcFFZ-xUeZTM6p03pNNw_8_0"/>
      <w:bookmarkStart w:id="1099" w:name="Tc_ZKvBWD2ZRUGuppd2Yzsb-A_7_0"/>
      <w:bookmarkStart w:id="1100" w:name="Tc_6bCwmPT9fkqe5MQxjN0shw_6_0"/>
      <w:bookmarkStart w:id="1101" w:name="Tc_Rj180kgwr0Ctr2iaNGxqzg_5_0"/>
      <w:bookmarkStart w:id="1102" w:name="Tc_F_QSuYT_30iFnyXcOTPzJw_4_0"/>
      <w:bookmarkStart w:id="1103" w:name="Tc_90R7IyFAFESiGqyb8AYcSw_3_11"/>
      <w:bookmarkStart w:id="1104" w:name="Tc_eA935K476Eiuv_cqRMnuaA_3_8"/>
      <w:bookmarkStart w:id="1105" w:name="Tc_IeVqUo-MkkScrbbItMlP5w_3_5"/>
      <w:bookmarkStart w:id="1106" w:name="Tc_oRqE_x2gfEqzvTEQ_bGeSw_3_2"/>
      <w:bookmarkStart w:id="1107" w:name="Tc_J809RuzttE2V8VF_GxNAIA_3_0"/>
      <w:bookmarkStart w:id="1108" w:name="Tc_In-Vtzqtg065Jp1DvFYs5A_2_11"/>
      <w:bookmarkStart w:id="1109" w:name="Tc_dJNhZBM7EEaEiE5jfNuUhg_2_8"/>
      <w:bookmarkStart w:id="1110" w:name="Tc_srIIyNyJZkOZ3VJoQwL_gA_2_5"/>
      <w:bookmarkStart w:id="1111" w:name="Tc_yJUjzSeDKUmZ_9CdcexlLw_2_2"/>
      <w:bookmarkStart w:id="1112" w:name="Tc_PtixP0vSPEyZqrOfqU4fJA_1_8"/>
      <w:bookmarkStart w:id="1113" w:name="Tc_D58pl5Obr0CxlFE9u8QC3w_1_2"/>
      <w:bookmarkStart w:id="1114" w:name="Tc_FztLUG6_YEK0JSGrandlKg_15_9"/>
      <w:bookmarkStart w:id="1115" w:name="Tc_7dSMw-v6L0qcAKVfF20e7A_15_6"/>
      <w:bookmarkStart w:id="1116" w:name="Tc_ykA0k66MEEG_y9CqjdVgug_15_0"/>
      <w:bookmarkStart w:id="1117" w:name="Tc_Dds2K_NGpUqiwASrXybv6A_14_9"/>
      <w:bookmarkStart w:id="1118" w:name="Tc_HNymK0H1UEeregdlSCQKlw_14_0"/>
      <w:bookmarkStart w:id="1119" w:name="Tc_2F6zoXlci0CGMfbl7NhS6g_13_9"/>
      <w:bookmarkStart w:id="1120" w:name="Tc_wyk_RdTvxEee1hwGp_IznA_13_6"/>
      <w:bookmarkStart w:id="1121" w:name="Tc_v6qd1lca7UOQrdLThHCp3A_13_3"/>
      <w:bookmarkStart w:id="1122" w:name="Tc_qzWNxn2tgkeJi0zJ2R18_w_13_0"/>
      <w:bookmarkStart w:id="1123" w:name="Tc_hgUFFiUoa0ezGe3AepNuRA_12_9"/>
      <w:bookmarkStart w:id="1124" w:name="Tc_4x2eMbvE4UuVkS8wmWa3_A_12_6"/>
      <w:bookmarkStart w:id="1125" w:name="Tc_l2EqAUhKFkK5Kjub5PyVqg_12_3"/>
      <w:bookmarkStart w:id="1126" w:name="Tc_0hgRwIjMmkW5L81KWt3Gzw_12_0"/>
      <w:bookmarkStart w:id="1127" w:name="Tc_InFtWhShB0CdjGHTEph3KQ_11_9"/>
      <w:bookmarkStart w:id="1128" w:name="Tc_3cygoNtlVEyWNAgBk28c8w_11_6"/>
      <w:bookmarkStart w:id="1129" w:name="Tc_rZ2YS_ll6UiUK2smu2Ic-w_11_3"/>
      <w:bookmarkStart w:id="1130" w:name="Tc_0tydKlFs2kmoQQvTDf6nuQ_11_0"/>
      <w:bookmarkStart w:id="1131" w:name="Tc_Yl0V7TrYiUy8J5FndA7DHA_10_11"/>
      <w:bookmarkStart w:id="1132" w:name="Tc_6upmaZTi5UyaBJEc8oHhPw_10_8"/>
      <w:bookmarkStart w:id="1133" w:name="Tc_ZYUB0nrOfEaPLbyJPf9kZQ_10_5"/>
      <w:bookmarkStart w:id="1134" w:name="Tc_DZ3sgbzvCkK3AAXG_Z2gGA_10_2"/>
      <w:bookmarkStart w:id="1135" w:name="Tc_3l4GxFZEOkKcMtgyt4nh2w_10_0"/>
      <w:bookmarkStart w:id="1136" w:name="Tc_NMo0bNxvdUyPjuMF42-j5A_9_0"/>
      <w:bookmarkStart w:id="1137" w:name="Tc_1RVU_YQDWkeh6JbHg36xpg_8_0"/>
      <w:bookmarkStart w:id="1138" w:name="Tc__nDp-_blg0u53xGIYLF-jQ_7_9"/>
      <w:bookmarkStart w:id="1139" w:name="Tc_dko1Orj8aE2y4e7-4xuLSg_7_0"/>
      <w:bookmarkStart w:id="1140" w:name="Tc_XuC-TpB5CUindHnC6560xg_6_0"/>
      <w:bookmarkStart w:id="1141" w:name="Tc_yB_YdBmg9EmObqVwJQ620w_5_11"/>
      <w:bookmarkStart w:id="1142" w:name="Tc_67aE5YIsaEGNX5GritYzjQ_5_9"/>
      <w:bookmarkStart w:id="1143" w:name="Tc_bG6YCRZITkWL3sTovmUO4A_5_8"/>
      <w:bookmarkStart w:id="1144" w:name="Tc_qMmkW-EVHk6-Q_fz6iconQ_5_5"/>
      <w:bookmarkStart w:id="1145" w:name="Tc_fFvLrfpVPEarqJQ3EMk7ag_5_2"/>
      <w:bookmarkStart w:id="1146" w:name="Tc_PjknWRTaCUyUBsIDh_Wi3g_5_0"/>
      <w:bookmarkStart w:id="1147" w:name="Tc_5T2f56vI0UmBxh5cWLQvtw_4_11"/>
      <w:bookmarkStart w:id="1148" w:name="Tc_q-sdCnDIP0CU_X02WkrwHw_4_8"/>
      <w:bookmarkStart w:id="1149" w:name="Tc_Edws0VY_J0a-nrsQ9fIsCA_4_5"/>
      <w:bookmarkStart w:id="1150" w:name="Tc_PvGKi1tOzkWivbxGKMfOjw_4_2"/>
      <w:bookmarkStart w:id="1151" w:name="Tc_k8DIJizVrkKHHqlpSeTkDA_4_0"/>
      <w:bookmarkStart w:id="1152" w:name="Tc_z-rExFb9WEmRTCkYezogmQ_3_8"/>
      <w:bookmarkStart w:id="1153" w:name="Tc_qmC4XpYJ7E2U1TAQ94ffeg_2_8"/>
      <w:bookmarkStart w:id="1154" w:name="Tc_9XJTNmeJYk6XFdMRqgaD2w_1_2"/>
      <w:bookmarkStart w:id="1155" w:name="_c97c50ee_f8a7_4a25_8d36_d8b02f5e73c4"/>
      <w:bookmarkStart w:id="1156" w:name="Tc_ikzc967RIEmzXVRQ--ISgg_7_9"/>
      <w:bookmarkStart w:id="1157" w:name="Tc_CRnxCONqtEqsTgQ11RZcTA_7_7"/>
      <w:bookmarkStart w:id="1158" w:name="Tc_njnUSlWo9kOnAnyhgXag0w_7_5"/>
      <w:bookmarkStart w:id="1159" w:name="Tc_tmzPk22a90iLU3ZDeEtTog_7_3"/>
      <w:bookmarkStart w:id="1160" w:name="Tc_a2VkS3ta90OJtWL49tdh3Q_7_0"/>
      <w:bookmarkStart w:id="1161" w:name="Tc_dHybzYj4g02V_7jG5JYnwQ_6_9"/>
      <w:bookmarkStart w:id="1162" w:name="Tc_adi6VkXWwUSZ-Vfidg3WAA_6_7"/>
      <w:bookmarkStart w:id="1163" w:name="Tc_AzHdvDQ-SUSmp0F6HGRF6A_6_5"/>
      <w:bookmarkStart w:id="1164" w:name="Tc_jMtP3d4S1UWcS08SK2bpwA_6_3"/>
      <w:bookmarkStart w:id="1165" w:name="Tc_ApTvegifTEu4ezvKNo6hBw_6_0"/>
      <w:bookmarkStart w:id="1166" w:name="Tc_TlwEBSO790mHhnEqW6Q4NQ_5_9"/>
      <w:bookmarkStart w:id="1167" w:name="Tc_i_kVJu9_fEKCu0yRE49jMw_5_7"/>
      <w:bookmarkStart w:id="1168" w:name="Tc_Gnfv66Box0ONyFf3AziTow_5_5"/>
      <w:bookmarkStart w:id="1169" w:name="Tc_XwlEiZ1d5kO4ubG6BO5UWw_5_3"/>
      <w:bookmarkStart w:id="1170" w:name="Tc_6RxFz-bL2EKPhdYw-msSWA_5_0"/>
      <w:bookmarkStart w:id="1171" w:name="Tc_MekOwHQMvkCoh6hcU3TnJQ_4_0"/>
      <w:bookmarkStart w:id="1172" w:name="Tc_IPzScKsbM06yCbrty4W8Sw_3_8"/>
      <w:bookmarkStart w:id="1173" w:name="Tc_i95H467UJE6IRXVhKb3-7A_3_6"/>
      <w:bookmarkStart w:id="1174" w:name="Tc_b_Tvn_9fJ06q6-X6fml0bA_3_4"/>
      <w:bookmarkStart w:id="1175" w:name="Tc_305ZPBMZZ0O7yYLXkbmHNQ_3_2"/>
      <w:bookmarkStart w:id="1176" w:name="Tc_5dCeCVMznEu9S8WJDR68Qg_2_8"/>
      <w:bookmarkStart w:id="1177" w:name="Tc_syaUU1ZqjUulBtfO47-HEw_2_6"/>
      <w:bookmarkStart w:id="1178" w:name="Tc_wjndcBgqQkiOaN5q63mBpw_2_4"/>
      <w:bookmarkStart w:id="1179" w:name="Tc_OWLF5-TA9kKQFVdOaWqpXg_2_2"/>
      <w:bookmarkStart w:id="1180" w:name="Tc_ElGvso7hVkmUvEgts5MBTA_1_6"/>
      <w:bookmarkStart w:id="1181" w:name="Tc_ze4qGJAHhUOufVMISxP2cA_1_2"/>
      <w:bookmarkStart w:id="1182" w:name="Tc_UNoGVLsMy02s6ZsH6-39pw_13_11"/>
      <w:bookmarkStart w:id="1183" w:name="Tc_fTV4vamenU-Dtq0ItW3ENQ_13_8"/>
      <w:bookmarkStart w:id="1184" w:name="Tc_biXvnqoMlUmBcy9CXrr0Cw_13_5"/>
      <w:bookmarkStart w:id="1185" w:name="Tc_WGp5yKFYOUKv7elMczMtOg_13_2"/>
      <w:bookmarkStart w:id="1186" w:name="Tc_h7iWEHCDwkqf_spNU0e_rA_13_0"/>
      <w:bookmarkStart w:id="1187" w:name="Tc_MXvSLsbyzEK7xEeWW5Uw9Q_12_0"/>
      <w:bookmarkStart w:id="1188" w:name="Tc_lJj3LVWwQkuN3ky8o1W1JQ_11_0"/>
      <w:bookmarkStart w:id="1189" w:name="Tc_gwBpCzyZ80qOBQCK-DF9tw_10_12"/>
      <w:bookmarkStart w:id="1190" w:name="Tc_wOJ4qhdUzkO6OCc55q3CIQ_10_6"/>
      <w:bookmarkStart w:id="1191" w:name="Tc_CUTZNCZ5GUuh5wtrwTji2g_10_0"/>
      <w:bookmarkStart w:id="1192" w:name="Tc_99szS3OM3k25DICMaA379Q_9_0"/>
      <w:bookmarkStart w:id="1193" w:name="Tc_kxKcFFZ-xUeZTM6p03pNNw_8_0"/>
      <w:bookmarkStart w:id="1194" w:name="Tc_ZKvBWD2ZRUGuppd2Yzsb-A_7_0"/>
      <w:bookmarkStart w:id="1195" w:name="Tc_6bCwmPT9fkqe5MQxjN0shw_6_0"/>
      <w:bookmarkStart w:id="1196" w:name="Tc_Rj180kgwr0Ctr2iaNGxqzg_5_0"/>
      <w:bookmarkStart w:id="1197" w:name="Tc_F_QSuYT_30iFnyXcOTPzJw_4_0"/>
      <w:bookmarkStart w:id="1198" w:name="Tc_90R7IyFAFESiGqyb8AYcSw_3_11"/>
      <w:bookmarkStart w:id="1199" w:name="Tc_eA935K476Eiuv_cqRMnuaA_3_8"/>
      <w:bookmarkStart w:id="1200" w:name="Tc_IeVqUo-MkkScrbbItMlP5w_3_5"/>
      <w:bookmarkStart w:id="1201" w:name="Tc_oRqE_x2gfEqzvTEQ_bGeSw_3_2"/>
      <w:bookmarkStart w:id="1202" w:name="Tc_J809RuzttE2V8VF_GxNAIA_3_0"/>
      <w:bookmarkStart w:id="1203" w:name="Tc_In-Vtzqtg065Jp1DvFYs5A_2_11"/>
      <w:bookmarkStart w:id="1204" w:name="Tc_dJNhZBM7EEaEiE5jfNuUhg_2_8"/>
      <w:bookmarkStart w:id="1205" w:name="Tc_srIIyNyJZkOZ3VJoQwL_gA_2_5"/>
      <w:bookmarkStart w:id="1206" w:name="Tc_yJUjzSeDKUmZ_9CdcexlLw_2_2"/>
      <w:bookmarkStart w:id="1207" w:name="Tc_PtixP0vSPEyZqrOfqU4fJA_1_8"/>
      <w:bookmarkStart w:id="1208" w:name="Tc_D58pl5Obr0CxlFE9u8QC3w_1_2"/>
      <w:bookmarkStart w:id="1209" w:name="Tc_FztLUG6_YEK0JSGrandlKg_15_9"/>
      <w:bookmarkStart w:id="1210" w:name="Tc_7dSMw-v6L0qcAKVfF20e7A_15_6"/>
      <w:bookmarkStart w:id="1211" w:name="Tc_ykA0k66MEEG_y9CqjdVgug_15_0"/>
      <w:bookmarkStart w:id="1212" w:name="Tc_Dds2K_NGpUqiwASrXybv6A_14_9"/>
      <w:bookmarkStart w:id="1213" w:name="Tc_HNymK0H1UEeregdlSCQKlw_14_0"/>
      <w:bookmarkStart w:id="1214" w:name="Tc_2F6zoXlci0CGMfbl7NhS6g_13_9"/>
      <w:bookmarkStart w:id="1215" w:name="Tc_wyk_RdTvxEee1hwGp_IznA_13_6"/>
      <w:bookmarkStart w:id="1216" w:name="Tc_v6qd1lca7UOQrdLThHCp3A_13_3"/>
      <w:bookmarkStart w:id="1217" w:name="Tc_qzWNxn2tgkeJi0zJ2R18_w_13_0"/>
      <w:bookmarkStart w:id="1218" w:name="Tc_hgUFFiUoa0ezGe3AepNuRA_12_9"/>
      <w:bookmarkStart w:id="1219" w:name="Tc_4x2eMbvE4UuVkS8wmWa3_A_12_6"/>
      <w:bookmarkStart w:id="1220" w:name="Tc_l2EqAUhKFkK5Kjub5PyVqg_12_3"/>
      <w:bookmarkStart w:id="1221" w:name="Tc_0hgRwIjMmkW5L81KWt3Gzw_12_0"/>
      <w:bookmarkStart w:id="1222" w:name="Tc_InFtWhShB0CdjGHTEph3KQ_11_9"/>
      <w:bookmarkStart w:id="1223" w:name="Tc_3cygoNtlVEyWNAgBk28c8w_11_6"/>
      <w:bookmarkStart w:id="1224" w:name="Tc_rZ2YS_ll6UiUK2smu2Ic-w_11_3"/>
      <w:bookmarkStart w:id="1225" w:name="Tc_0tydKlFs2kmoQQvTDf6nuQ_11_0"/>
      <w:bookmarkStart w:id="1226" w:name="Tc_Yl0V7TrYiUy8J5FndA7DHA_10_11"/>
      <w:bookmarkStart w:id="1227" w:name="Tc_6upmaZTi5UyaBJEc8oHhPw_10_8"/>
      <w:bookmarkStart w:id="1228" w:name="Tc_ZYUB0nrOfEaPLbyJPf9kZQ_10_5"/>
      <w:bookmarkStart w:id="1229" w:name="Tc_DZ3sgbzvCkK3AAXG_Z2gGA_10_2"/>
      <w:bookmarkStart w:id="1230" w:name="Tc_3l4GxFZEOkKcMtgyt4nh2w_10_0"/>
      <w:bookmarkStart w:id="1231" w:name="Tc_NMo0bNxvdUyPjuMF42-j5A_9_0"/>
      <w:bookmarkStart w:id="1232" w:name="Tc_1RVU_YQDWkeh6JbHg36xpg_8_0"/>
      <w:bookmarkStart w:id="1233" w:name="Tc__nDp-_blg0u53xGIYLF-jQ_7_9"/>
      <w:bookmarkStart w:id="1234" w:name="Tc_dko1Orj8aE2y4e7-4xuLSg_7_0"/>
      <w:bookmarkStart w:id="1235" w:name="Tc_XuC-TpB5CUindHnC6560xg_6_0"/>
      <w:bookmarkStart w:id="1236" w:name="Tc_yB_YdBmg9EmObqVwJQ620w_5_11"/>
      <w:bookmarkStart w:id="1237" w:name="Tc_67aE5YIsaEGNX5GritYzjQ_5_9"/>
      <w:bookmarkStart w:id="1238" w:name="Tc_bG6YCRZITkWL3sTovmUO4A_5_8"/>
      <w:bookmarkStart w:id="1239" w:name="Tc_qMmkW-EVHk6-Q_fz6iconQ_5_5"/>
      <w:bookmarkStart w:id="1240" w:name="Tc_fFvLrfpVPEarqJQ3EMk7ag_5_2"/>
      <w:bookmarkStart w:id="1241" w:name="Tc_PjknWRTaCUyUBsIDh_Wi3g_5_0"/>
      <w:bookmarkStart w:id="1242" w:name="Tc_5T2f56vI0UmBxh5cWLQvtw_4_11"/>
      <w:bookmarkStart w:id="1243" w:name="Tc_q-sdCnDIP0CU_X02WkrwHw_4_8"/>
      <w:bookmarkStart w:id="1244" w:name="Tc_Edws0VY_J0a-nrsQ9fIsCA_4_5"/>
      <w:bookmarkStart w:id="1245" w:name="Tc_PvGKi1tOzkWivbxGKMfOjw_4_2"/>
      <w:bookmarkStart w:id="1246" w:name="Tc_k8DIJizVrkKHHqlpSeTkDA_4_0"/>
      <w:bookmarkStart w:id="1247" w:name="Tc_z-rExFb9WEmRTCkYezogmQ_3_8"/>
      <w:bookmarkStart w:id="1248" w:name="Tc_qmC4XpYJ7E2U1TAQ94ffeg_2_8"/>
      <w:bookmarkStart w:id="1249" w:name="Tc_9XJTNmeJYk6XFdMRqgaD2w_1_2"/>
      <w:bookmarkStart w:id="1250" w:name="_c97c50ee_f8a7_4a25_8d36_d8b02f5e73c4"/>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p>
    <w:tbl>
      <w:tblPr>
        <w:tblW w:w="8916" w:type="dxa"/>
        <w:jc w:val="left"/>
        <w:tblInd w:w="0" w:type="dxa"/>
        <w:tblLayout w:type="fixed"/>
        <w:tblCellMar>
          <w:top w:w="0" w:type="dxa"/>
          <w:left w:w="0" w:type="dxa"/>
          <w:bottom w:w="0" w:type="dxa"/>
          <w:right w:w="0" w:type="dxa"/>
        </w:tblCellMar>
      </w:tblPr>
      <w:tblGrid>
        <w:gridCol w:w="4006"/>
        <w:gridCol w:w="326"/>
        <w:gridCol w:w="211"/>
        <w:gridCol w:w="571"/>
        <w:gridCol w:w="326"/>
        <w:gridCol w:w="211"/>
        <w:gridCol w:w="436"/>
        <w:gridCol w:w="326"/>
        <w:gridCol w:w="329"/>
        <w:gridCol w:w="752"/>
        <w:gridCol w:w="326"/>
        <w:gridCol w:w="279"/>
        <w:gridCol w:w="817"/>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543810" cy="175260"/>
                      <wp:effectExtent l="0" t="0" r="0" b="0"/>
                      <wp:wrapNone/>
                      <wp:docPr id="258" name="Frame258"/>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62585" cy="175260"/>
                      <wp:effectExtent l="0" t="0" r="0" b="0"/>
                      <wp:wrapNone/>
                      <wp:docPr id="261" name="Frame2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76860" cy="175260"/>
                      <wp:effectExtent l="0" t="0" r="0" b="0"/>
                      <wp:wrapNone/>
                      <wp:docPr id="264" name="Frame26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8915" cy="175260"/>
                      <wp:effectExtent l="0" t="0" r="0" b="0"/>
                      <wp:wrapNone/>
                      <wp:docPr id="266" name="Frame26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77520" cy="175260"/>
                      <wp:effectExtent l="0" t="0" r="0" b="0"/>
                      <wp:wrapNone/>
                      <wp:docPr id="267" name="Frame267"/>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77165" cy="175260"/>
                      <wp:effectExtent l="0" t="0" r="0" b="0"/>
                      <wp:wrapNone/>
                      <wp:docPr id="269" name="Frame26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18795" cy="175260"/>
                      <wp:effectExtent l="0" t="0" r="0" b="0"/>
                      <wp:wrapNone/>
                      <wp:docPr id="270" name="Frame270"/>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45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October 1, 2022</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not </w:t>
            </w:r>
          </w:p>
        </w:tc>
        <w:tc>
          <w:tcPr>
            <w:tcW w:w="326" w:type="dxa"/>
            <w:tcBorders/>
            <w:vAlign w:val="center"/>
          </w:tcPr>
          <w:p>
            <w:pPr>
              <w:pStyle w:val="TableContents"/>
              <w:bidi w:val="0"/>
              <w:spacing w:before="0" w:after="0"/>
              <w:ind w:left="0" w:right="0" w:hanging="0"/>
              <w:jc w:val="center"/>
              <w:rPr/>
            </w:pPr>
            <w:r>
              <w:rPr/>
              <w:t>    </w:t>
            </w:r>
          </w:p>
        </w:tc>
        <w:tc>
          <w:tcPr>
            <w:tcW w:w="27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allocated to </w:t>
            </w:r>
          </w:p>
        </w:tc>
        <w:tc>
          <w:tcPr>
            <w:tcW w:w="326"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with related party,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(expense),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revenues based on the country that the product was shipped to were as follows:</w:t>
      </w:r>
    </w:p>
    <w:p>
      <w:pPr>
        <w:pStyle w:val="TextBody"/>
        <w:bidi w:val="0"/>
        <w:spacing w:before="0" w:after="0"/>
        <w:ind w:left="0" w:right="0" w:hanging="0"/>
        <w:jc w:val="left"/>
        <w:rPr/>
      </w:pPr>
      <w:r>
        <w:rPr/>
        <w:t>​</w:t>
      </w:r>
    </w:p>
    <w:tbl>
      <w:tblPr>
        <w:tblW w:w="7140" w:type="dxa"/>
        <w:jc w:val="left"/>
        <w:tblInd w:w="0" w:type="dxa"/>
        <w:tblLayout w:type="fixed"/>
        <w:tblCellMar>
          <w:top w:w="0" w:type="dxa"/>
          <w:left w:w="0" w:type="dxa"/>
          <w:bottom w:w="0" w:type="dxa"/>
          <w:right w:w="0" w:type="dxa"/>
        </w:tblCellMar>
      </w:tblPr>
      <w:tblGrid>
        <w:gridCol w:w="1741"/>
        <w:gridCol w:w="326"/>
        <w:gridCol w:w="379"/>
        <w:gridCol w:w="761"/>
        <w:gridCol w:w="326"/>
        <w:gridCol w:w="294"/>
        <w:gridCol w:w="591"/>
        <w:gridCol w:w="326"/>
        <w:gridCol w:w="307"/>
        <w:gridCol w:w="833"/>
        <w:gridCol w:w="326"/>
        <w:gridCol w:w="221"/>
        <w:gridCol w:w="709"/>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105535" cy="175260"/>
                      <wp:effectExtent l="0" t="0" r="0" b="0"/>
                      <wp:wrapNone/>
                      <wp:docPr id="271" name="Frame27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40665" cy="175260"/>
                      <wp:effectExtent l="0" t="0" r="0" b="0"/>
                      <wp:wrapNone/>
                      <wp:docPr id="273" name="Frame27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83235" cy="175260"/>
                      <wp:effectExtent l="0" t="0" r="0" b="0"/>
                      <wp:wrapNone/>
                      <wp:docPr id="274" name="Frame27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6690" cy="175260"/>
                      <wp:effectExtent l="0" t="0" r="0" b="0"/>
                      <wp:wrapNone/>
                      <wp:docPr id="276" name="Frame276"/>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75285" cy="175260"/>
                      <wp:effectExtent l="0" t="0" r="0" b="0"/>
                      <wp:wrapNone/>
                      <wp:docPr id="277" name="Frame27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4945" cy="175260"/>
                      <wp:effectExtent l="0" t="0" r="0" b="0"/>
                      <wp:wrapNone/>
                      <wp:docPr id="279" name="Frame27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28955" cy="175260"/>
                      <wp:effectExtent l="0" t="0" r="0" b="0"/>
                      <wp:wrapNone/>
                      <wp:docPr id="280" name="Frame28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40335" cy="175260"/>
                      <wp:effectExtent l="0" t="0" r="0" b="0"/>
                      <wp:wrapNone/>
                      <wp:docPr id="282" name="Frame28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50215" cy="175260"/>
                      <wp:effectExtent l="0" t="0" r="0" b="0"/>
                      <wp:wrapNone/>
                      <wp:docPr id="283" name="Frame28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    </w:t>
            </w:r>
          </w:p>
        </w:tc>
        <w:tc>
          <w:tcPr>
            <w:tcW w:w="23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Czech Republic</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Hungary</w:t>
            </w:r>
          </w:p>
        </w:tc>
        <w:tc>
          <w:tcPr>
            <w:tcW w:w="32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shd w:fill="CCEEFF" w:val="clear"/>
            <w:vAlign w:val="center"/>
          </w:tcPr>
          <w:p>
            <w:pPr>
              <w:pStyle w:val="TableContents"/>
              <w:bidi w:val="0"/>
              <w:spacing w:before="0" w:after="0"/>
              <w:ind w:left="0" w:right="0" w:hanging="0"/>
              <w:jc w:val="left"/>
              <w:rPr/>
            </w:pPr>
            <w:r>
              <w:rPr/>
              <w:t> </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w:t>
            </w:r>
          </w:p>
        </w:tc>
        <w:tc>
          <w:tcPr>
            <w:tcW w:w="32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1,442</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1,304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 SoCs to OEMs through sales to Tier 1 automotive suppliers. EyeQ® SoC sales represented approximately 89% and 88% of our revenue for each of the three months ended September 30, 2023 and October 1, 2022, respectively and 90% and 90% of our revenue for each of the nine months ended September 30, 2023 and October 1,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Major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major customers that amount to 10% or more of total revenue:</w:t>
      </w:r>
    </w:p>
    <w:p>
      <w:pPr>
        <w:pStyle w:val="TextBody"/>
        <w:bidi w:val="0"/>
        <w:spacing w:before="0" w:after="0"/>
        <w:ind w:left="0" w:right="0" w:hanging="0"/>
        <w:jc w:val="left"/>
        <w:rPr/>
      </w:pPr>
      <w:r>
        <w:rPr/>
        <w:t>​</w:t>
      </w:r>
    </w:p>
    <w:tbl>
      <w:tblPr>
        <w:tblW w:w="8135" w:type="dxa"/>
        <w:jc w:val="left"/>
        <w:tblInd w:w="0" w:type="dxa"/>
        <w:tblLayout w:type="fixed"/>
        <w:tblCellMar>
          <w:top w:w="0" w:type="dxa"/>
          <w:left w:w="0" w:type="dxa"/>
          <w:bottom w:w="0" w:type="dxa"/>
          <w:right w:w="0" w:type="dxa"/>
        </w:tblCellMar>
      </w:tblPr>
      <w:tblGrid>
        <w:gridCol w:w="2266"/>
        <w:gridCol w:w="326"/>
        <w:gridCol w:w="1141"/>
        <w:gridCol w:w="361"/>
        <w:gridCol w:w="886"/>
        <w:gridCol w:w="361"/>
        <w:gridCol w:w="1141"/>
        <w:gridCol w:w="361"/>
        <w:gridCol w:w="886"/>
        <w:gridCol w:w="40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38910" cy="175260"/>
                      <wp:effectExtent l="0" t="0" r="0" b="0"/>
                      <wp:wrapNone/>
                      <wp:docPr id="284" name="Frame284"/>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24535" cy="175260"/>
                      <wp:effectExtent l="0" t="0" r="0" b="0"/>
                      <wp:wrapNone/>
                      <wp:docPr id="286" name="Frame2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9235" cy="175260"/>
                      <wp:effectExtent l="0" t="0" r="0" b="0"/>
                      <wp:wrapNone/>
                      <wp:docPr id="287" name="Frame2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62610" cy="175260"/>
                      <wp:effectExtent l="0" t="0" r="0" b="0"/>
                      <wp:wrapNone/>
                      <wp:docPr id="288" name="Frame2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9235" cy="175260"/>
                      <wp:effectExtent l="0" t="0" r="0" b="0"/>
                      <wp:wrapNone/>
                      <wp:docPr id="289" name="Frame2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24535" cy="175260"/>
                      <wp:effectExtent l="0" t="0" r="0" b="0"/>
                      <wp:wrapNone/>
                      <wp:docPr id="290" name="Frame29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9235" cy="175260"/>
                      <wp:effectExtent l="0" t="0" r="0" b="0"/>
                      <wp:wrapNone/>
                      <wp:docPr id="291" name="Frame2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62610" cy="175260"/>
                      <wp:effectExtent l="0" t="0" r="0" b="0"/>
                      <wp:wrapNone/>
                      <wp:docPr id="292" name="Frame2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7810" cy="175260"/>
                      <wp:effectExtent l="0" t="0" r="0" b="0"/>
                      <wp:wrapNone/>
                      <wp:docPr id="293" name="Frame29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23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406" w:type="dxa"/>
            <w:tcBorders/>
            <w:vAlign w:val="center"/>
          </w:tcPr>
          <w:p>
            <w:pPr>
              <w:pStyle w:val="TableContents"/>
              <w:bidi w:val="0"/>
              <w:spacing w:before="0" w:after="1"/>
              <w:ind w:left="0" w:right="0" w:hanging="0"/>
              <w:jc w:val="center"/>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6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406" w:type="dxa"/>
            <w:tcBorders/>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vAlign w:val="center"/>
          </w:tcPr>
          <w:p>
            <w:pPr>
              <w:pStyle w:val="TableContents"/>
              <w:bidi w:val="0"/>
              <w:spacing w:before="0" w:after="1"/>
              <w:ind w:left="0" w:right="0" w:hanging="0"/>
              <w:jc w:val="left"/>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Percent of total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1251" w:name="Tc_rRW-dmX7W0arlWIasQbe6Q_7_5"/>
      <w:bookmarkStart w:id="1252" w:name="Tc_sKGPJ4eQm0qoprMvhR4x8A_7_3"/>
      <w:bookmarkStart w:id="1253" w:name="Tc_O3MdugHdE0S-UxA-nCXlng_7_0"/>
      <w:bookmarkStart w:id="1254" w:name="Tc_v-QKvJnNiESmJ6wtuKhqIw_6_5"/>
      <w:bookmarkStart w:id="1255" w:name="Tc_2_JRICfjk0aBMLQ0pkL3OA_6_3"/>
      <w:bookmarkStart w:id="1256" w:name="Tc_gtdZK5maREGUgdIMHRLUlQ_6_0"/>
      <w:bookmarkStart w:id="1257" w:name="Tc_GAQCcK-AQU2T98vrJee_fA_5_5"/>
      <w:bookmarkStart w:id="1258" w:name="Tc_acy4D3BO80yD3VX-1cXAxQ_5_3"/>
      <w:bookmarkStart w:id="1259" w:name="Tc_aEwsXmAoP0iRqB-kHupJeQ_5_0"/>
      <w:bookmarkStart w:id="1260" w:name="Tc_YWWJY0-VTk6OpUUxzG-Ycg_4_0"/>
      <w:bookmarkStart w:id="1261" w:name="Tc_yPFacshd1E2D7W7gwy2VZg_3_4"/>
      <w:bookmarkStart w:id="1262" w:name="Tc_QJdSYb4xjkaeyulIr-qqJg_3_2"/>
      <w:bookmarkStart w:id="1263" w:name="Tc_XT3uPrJL-kWgdIF_7dKtSA_2_4"/>
      <w:bookmarkStart w:id="1264" w:name="Tc_R-MubqVU4kGM9OXYrJMaqA_2_2"/>
      <w:bookmarkStart w:id="1265" w:name="Tc_9dpHkQ8dBEKtsdsRrNTPrw_1_2"/>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ascii="Times New Roman;Times;serif" w:hAnsi="Times New Roman;Times;serif"/>
          <w:sz w:val="20"/>
        </w:rPr>
        <w:t>Accounts receivable balances of major customers that amount to 10% or more of total accounts receivable balance:</w:t>
      </w:r>
    </w:p>
    <w:p>
      <w:pPr>
        <w:pStyle w:val="TextBody"/>
        <w:bidi w:val="0"/>
        <w:spacing w:before="0" w:after="0"/>
        <w:ind w:left="0" w:right="0" w:hanging="0"/>
        <w:jc w:val="left"/>
        <w:rPr/>
      </w:pPr>
      <w:r>
        <w:rPr/>
        <w:t>​</w:t>
      </w:r>
    </w:p>
    <w:tbl>
      <w:tblPr>
        <w:tblW w:w="7166" w:type="dxa"/>
        <w:jc w:val="left"/>
        <w:tblInd w:w="0" w:type="dxa"/>
        <w:tblLayout w:type="fixed"/>
        <w:tblCellMar>
          <w:top w:w="0" w:type="dxa"/>
          <w:left w:w="0" w:type="dxa"/>
          <w:bottom w:w="0" w:type="dxa"/>
          <w:right w:w="0" w:type="dxa"/>
        </w:tblCellMar>
      </w:tblPr>
      <w:tblGrid>
        <w:gridCol w:w="3961"/>
        <w:gridCol w:w="326"/>
        <w:gridCol w:w="1141"/>
        <w:gridCol w:w="326"/>
        <w:gridCol w:w="109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515235" cy="175260"/>
                      <wp:effectExtent l="0" t="0" r="0" b="0"/>
                      <wp:wrapNone/>
                      <wp:docPr id="294" name="Frame294"/>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4535" cy="175260"/>
                      <wp:effectExtent l="0" t="0" r="0" b="0"/>
                      <wp:wrapNone/>
                      <wp:docPr id="296" name="Frame29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5960" cy="175260"/>
                      <wp:effectExtent l="0" t="0" r="0" b="0"/>
                      <wp:wrapNone/>
                      <wp:docPr id="298" name="Frame29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0660" cy="175260"/>
                      <wp:effectExtent l="0" t="0" r="0" b="0"/>
                      <wp:wrapNone/>
                      <wp:docPr id="299" name="Frame2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 of total accounts receivables balance: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2023, the Company’s compensation committee approved the issuance of restricted stock units to be issued under our 2022 Equity Incentive Plan. The total aggregate fair value of RSUs granted was $20.8 million, which consisted of 582 thousand RSUs, which will vest over a service period of three years.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6" w:name="Item2ManagementsDiscussionandAnalysisofF"/>
      <w:bookmarkStart w:id="1267" w:name="_94d86525_1869_40a7_97e3_384ff77c8791"/>
      <w:bookmarkEnd w:id="1266"/>
      <w:bookmarkEnd w:id="126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data for periods ending or as of dates prior to the completion of the Mobileye IPO have been derived from the consolidated financial statements and accounting records of Intel Corporation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September 30, 2023, our solutions had been installed in approximately 800 vehicle models (including local country, year, and other vehicle model variations), and our System-on-Chips (“SoCs”) had been deployed in over 160 million vehicles. We are actively working with more than 50 Original Equipment Manufacturers (“OEMs”) worldwide on the implementation of our ADAS solutions. In the nine months ended September 30, 2023, we shipped approximately 25.9 million of our systems, the substantial majority of which were EyeQ® SoCs. This represents an increase from the approximately 24.0 million of our systems that we shipped in the nine months ended October 1,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(as defined below) and the Mobileye IPO in October 2022.</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Reorganization and Initial Public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under the ticker symbol “MBLY” on October 26, 2022. Prior to the completion of the Mobileye IPO, we were a wholly-owned business of Intel. On November 1, 2022, we closed the sale of additional shares pursuant to the exercise of the underwriters’ the over-allotment option.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and descriptions of the transactions in the Reorganization related to the Mobileye IPO, see Note 1 of the notes to the Consolidated Financial Statements in Part II, Item 8 of the 2022 Annual Report on Form 10-K, as filed with the Securities and Exchange Commission (the “SEC”) on March 9, 2023 (the “2022 Form 10-K”), and the section entitled “Certain Relationships and Related Party Transactions” in the Company’s Definitive Proxy Statement on Schedule 14A, as filed with the SEC on April 28,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Operations in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from the Gaza Strip on civilian and military targets in southern Israel, to which the Israel Defense Forces have responded. Our business activities in Israel continue to operate at their normal capacity without major disruption and we do not have customers who are based in Israel. At this stage, we expect that the current conflict in the Gaza Strip and the security escalation in Israel will not have a material impact on our business results in the short term. Approximately 16% of our employees have been called to reserve duty in the Israel Defense Forces and we have provided employees more flexibility to work from home on an as needed basis. However, since this is an event beyond our control, its continuation or cessation may affect our expectations. We continue to monitor political and military developments closely and examine the consequences for our operations and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 the future, propelled by our next generation of EyeQ®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a relationship with Quanta Computer to develop and assemble our ECUs, including the design for our Mobileye SuperVision™, which includes our EyeQ®5 SoCs manufactured by STMicroelectronics.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and will continue to be of significant value to us as we collaborate with regulators who are preparing frameworks to enable commercial deployment of AVs.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there are several important factors that have affected and that we expect to continue to affect our results of operations: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Global demand for automotive vehicles. </w:t>
      </w:r>
      <w:r>
        <w:rPr>
          <w:rFonts w:ascii="Times New Roman;Times;serif" w:hAnsi="Times New Roman;Times;serif"/>
          <w:sz w:val="20"/>
        </w:rPr>
        <w:t>Our business performance is related to global automotive sales 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6% growth in global vehicle production year over year in 2022, production in 2022 was still approximately 8% below the 2019 level. Moreover, automakers continue to face supply chain shortages, and we expect that global vehicle production will remain below pre-COVID-19 pandemic levels in 2023. Furthermore, current uncertain economic conditions and inflation may contribute to a reduction in consumer demand, which may reduce vehicle production over at least the next several quarters. For example, in the first quarter of 2023, the Chinese electric vehicle market was negatively impacted by price reductions by a global electric vehicle OEM, reduction in government electric vehicle subsidies, and general economic weakness in the country. Our current primary customer for SuperVision</w:t>
      </w:r>
      <w:r>
        <w:rPr>
          <w:rFonts w:ascii="Times New Roman;Times;serif" w:hAnsi="Times New Roman;Times;serif"/>
          <w:sz w:val="15"/>
        </w:rPr>
        <w:t>TM</w:t>
      </w:r>
      <w:r>
        <w:rPr>
          <w:rFonts w:ascii="Times New Roman;Times;serif" w:hAnsi="Times New Roman;Times;serif"/>
          <w:sz w:val="20"/>
        </w:rPr>
        <w:t xml:space="preserve"> reduced orders for this product for calendar year 2023 as a result.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$1,442 million in the nine months ended September 30, 2023 was up 11% year-over-year. However, continued or future constraints on global automotive production resulting from supply chain shortages and the effects of economic uncertainty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Design wins with new and existing customers.</w:t>
      </w:r>
      <w:r>
        <w:rPr>
          <w:rFonts w:ascii="Times New Roman;Times;serif" w:hAnsi="Times New Roman;Times;serif"/>
          <w:sz w:val="20"/>
        </w:rPr>
        <w:t xml:space="preserve"> Global OEMs are continuously looking for innovative 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Investment in technology leadership and product development. </w:t>
      </w:r>
      <w:r>
        <w:rPr>
          <w:rFonts w:ascii="Times New Roman;Times;serif" w:hAnsi="Times New Roman;Times;serif"/>
          <w:sz w:val="20"/>
        </w:rPr>
        <w:t>We believe our ability to continue to develop and design highly 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Regulation for ADAS and autonomous driving solutions. </w:t>
      </w:r>
      <w:r>
        <w:rPr>
          <w:rFonts w:ascii="Times New Roman;Times;serif" w:hAnsi="Times New Roman;Times;serif"/>
          <w:sz w:val="20"/>
        </w:rPr>
        <w:t>Demand for our solutions is influenced by the 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Consumer adoption of our ADAS and autonomous driving solutions.</w:t>
      </w:r>
      <w:r>
        <w:rPr>
          <w:rFonts w:ascii="Times New Roman;Times;serif" w:hAnsi="Times New Roman;Times;serif"/>
          <w:sz w:val="20"/>
        </w:rPr>
        <w:t xml:space="preserve"> Our financial performance is in part 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Solution mix, pricing, and product costs.</w:t>
      </w:r>
      <w:r>
        <w:rPr>
          <w:rFonts w:ascii="Times New Roman;Times;serif" w:hAnsi="Times New Roman;Times;serif"/>
          <w:sz w:val="20"/>
        </w:rPr>
        <w:t xml:space="preserve"> Solution mix is among the most important factors affecting our 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delivering full system solutions consisting of higher-function products such as SuperVision</w:t>
      </w:r>
      <w:r>
        <w:rPr>
          <w:rFonts w:ascii="Times New Roman;Times;serif" w:hAnsi="Times New Roman;Times;serif"/>
          <w:sz w:val="15"/>
        </w:rPr>
        <w:t>TM</w:t>
      </w:r>
      <w:r>
        <w:rPr>
          <w:rFonts w:ascii="Times New Roman;Times;serif" w:hAnsi="Times New Roman;Times;serif"/>
          <w:sz w:val="20"/>
        </w:rPr>
        <w:t xml:space="preserve">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w:t>
      </w:r>
      <w:r>
        <w:rPr>
          <w:rFonts w:ascii="Times New Roman;Times;serif" w:hAnsi="Times New Roman;Times;serif"/>
          <w:sz w:val="15"/>
        </w:rPr>
        <w:t>TM</w:t>
      </w:r>
      <w:r>
        <w:rPr>
          <w:rFonts w:ascii="Times New Roman;Times;serif" w:hAnsi="Times New Roman;Times;serif"/>
          <w:sz w:val="20"/>
        </w:rPr>
        <w:t xml:space="preserve"> and other advanced solutions become a larger portion of our product mix.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Computer on a continuous basis to manage material costs, increase yields and improve manufacturing, assembly, and test costs.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b/>
          <w:i/>
          <w:sz w:val="20"/>
        </w:rPr>
        <w:t>Supply and manufacturing capacity.</w:t>
      </w:r>
      <w:r>
        <w:rPr>
          <w:rFonts w:ascii="Times New Roman;Times;serif" w:hAnsi="Times New Roman;Times;serif"/>
          <w:sz w:val="20"/>
        </w:rPr>
        <w:t xml:space="preserve"> Our solutions are dependent on the global semiconductor supply 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 SoCs as a result of the limited supply during 2021. Further, STMicroelectronics, our sole supplier of EyeQ® SoCs, was not able to meet our demand for EyeQ® SoCs during 2022, causing a significant reduction in our inventory level. Starting in late 2022 and early 2023 such supply chain disruptions, raw material shortages and manufacturing limitations abated and during the first nine months of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SuperVision</w:t>
      </w:r>
      <w:r>
        <w:rPr>
          <w:rFonts w:ascii="Times New Roman;Times;serif" w:hAnsi="Times New Roman;Times;serif"/>
          <w:sz w:val="15"/>
        </w:rPr>
        <w:t>TM</w:t>
      </w:r>
      <w:r>
        <w:rPr>
          <w:rFonts w:ascii="Times New Roman;Times;serif" w:hAnsi="Times New Roman;Times;serif"/>
          <w:sz w:val="20"/>
        </w:rPr>
        <w:t xml:space="preserve"> 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Our results of operations in the three and nine months ended September 30, 2023 have not been impacted by any shortfall of chips. Our reliance on single or limited suppliers and vendors for certain components, equipment, and services and the aforementioned shortages of substrates and other components have led to increased supply chain risks and may stress our ability to meet the supply demands of our customers. To mitigate these supply chain constraints, management monitors inventory levels on an ongoing basis. Although we cannot fully predict the length and the severity of the impact these pressures may have on a long-term basis, we do not anticipate that potential supply chain constraints would materially adversely affect our results of operations, capital resources, sales, profits, and liquidity on a long-term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Public company expenses. </w:t>
      </w:r>
      <w:r>
        <w:rPr>
          <w:rFonts w:ascii="Times New Roman;Times;serif" w:hAnsi="Times New Roman;Times;serif"/>
          <w:sz w:val="20"/>
        </w:rPr>
        <w:t>As a recently public company, we continue to implement additional procedures and processes for the 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EyeQ® SoC sales represented approximately 89% and 88% of our revenue for the three months ended September 30, 2023 and October 1, 2022, respectively, and 90%  of our revenue both in the nine months ended September 30, 2023 and October 1, 2022, . Sales of our SuperVision™ product represented the majority of the remainder of our revenue for the three and nine months ended September 30, 2023 and also for the three and nine months ended October 1, 2022. Revenue from the sale of our EyeQ®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primarily of expenses associated with the manufacturing cost of our EyeQ® SoCs and our SuperVision™ products,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 of expenses related to personnel, facilities, equipment and supplies for research and development activities including share-based compensation, materials, parts and other prototype development, cloud computing services, consulting, and other professional services, including data labeling, quality assurance within the development programs,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2022,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increase our sales and marketing expenses as we continue our efforts to increase market awareness of the benefits of our solutions, but we expect sales and marketing expenses to decrease as a percentage of total revenue as our business grows.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Interest Income (Expense) with related party, net and Other 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21, 2022, we and Intel entered into a loan agreement whereby we distributed to Intel the Dividend Note in an aggregate principal amount of $3.5 billion (the “Dividend Note”). The Dividend Note accrued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and nine months ended September 30, 2023 we had no interest income (expense) with related party since the outstanding balance of both the Dividend Note and a loan to Intel were zero as of December 31, 2022. In the three and nine months ended October 1, 2022, we incurred a net interest expense of $6 million and $11 million, respectively, which mainly relates to accrued interest on the Dividend Note to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financial income (expense), net, consists primarily of income related to investment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periods presented in our condensed consolidated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related to U.S. branch deferred tax assets not currently expected to be realized given that we have sustained recent losses based on the separate return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in dollars and as a percentage of revenue for the periods indicated:</w:t>
      </w:r>
    </w:p>
    <w:tbl>
      <w:tblPr>
        <w:tblW w:w="10205" w:type="dxa"/>
        <w:jc w:val="left"/>
        <w:tblInd w:w="0" w:type="dxa"/>
        <w:tblLayout w:type="fixed"/>
        <w:tblCellMar>
          <w:top w:w="0" w:type="dxa"/>
          <w:left w:w="0" w:type="dxa"/>
          <w:bottom w:w="0" w:type="dxa"/>
          <w:right w:w="0" w:type="dxa"/>
        </w:tblCellMar>
      </w:tblPr>
      <w:tblGrid>
        <w:gridCol w:w="1316"/>
        <w:gridCol w:w="326"/>
        <w:gridCol w:w="230"/>
        <w:gridCol w:w="461"/>
        <w:gridCol w:w="326"/>
        <w:gridCol w:w="721"/>
        <w:gridCol w:w="391"/>
        <w:gridCol w:w="230"/>
        <w:gridCol w:w="461"/>
        <w:gridCol w:w="326"/>
        <w:gridCol w:w="721"/>
        <w:gridCol w:w="301"/>
        <w:gridCol w:w="211"/>
        <w:gridCol w:w="571"/>
        <w:gridCol w:w="326"/>
        <w:gridCol w:w="721"/>
        <w:gridCol w:w="391"/>
        <w:gridCol w:w="211"/>
        <w:gridCol w:w="571"/>
        <w:gridCol w:w="326"/>
        <w:gridCol w:w="721"/>
        <w:gridCol w:w="346"/>
      </w:tblGrid>
      <w:tr>
        <w:trPr/>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835660" cy="175260"/>
                      <wp:effectExtent l="0" t="0" r="0" b="0"/>
                      <wp:wrapNone/>
                      <wp:docPr id="300" name="Frame300"/>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6050" cy="175260"/>
                      <wp:effectExtent l="0" t="0" r="0" b="0"/>
                      <wp:wrapNone/>
                      <wp:docPr id="302" name="Frame30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92735" cy="175260"/>
                      <wp:effectExtent l="0" t="0" r="0" b="0"/>
                      <wp:wrapNone/>
                      <wp:docPr id="303" name="Frame30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57835" cy="175260"/>
                      <wp:effectExtent l="0" t="0" r="0" b="0"/>
                      <wp:wrapNone/>
                      <wp:docPr id="305" name="Frame3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48285" cy="175260"/>
                      <wp:effectExtent l="0" t="0" r="0" b="0"/>
                      <wp:wrapNone/>
                      <wp:docPr id="306" name="Frame30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46050" cy="175260"/>
                      <wp:effectExtent l="0" t="0" r="0" b="0"/>
                      <wp:wrapNone/>
                      <wp:docPr id="307" name="Frame30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92735" cy="175260"/>
                      <wp:effectExtent l="0" t="0" r="0" b="0"/>
                      <wp:wrapNone/>
                      <wp:docPr id="308" name="Frame308"/>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57835" cy="175260"/>
                      <wp:effectExtent l="0" t="0" r="0" b="0"/>
                      <wp:wrapNone/>
                      <wp:docPr id="310" name="Frame3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1135" cy="175260"/>
                      <wp:effectExtent l="0" t="0" r="0" b="0"/>
                      <wp:wrapNone/>
                      <wp:docPr id="311" name="Frame31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57835" cy="175260"/>
                      <wp:effectExtent l="0" t="0" r="0" b="0"/>
                      <wp:wrapNone/>
                      <wp:docPr id="315" name="Frame31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48285" cy="175260"/>
                      <wp:effectExtent l="0" t="0" r="0" b="0"/>
                      <wp:wrapNone/>
                      <wp:docPr id="316" name="Frame31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57835" cy="175260"/>
                      <wp:effectExtent l="0" t="0" r="0" b="0"/>
                      <wp:wrapNone/>
                      <wp:docPr id="320" name="Frame3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7"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01" w:type="dxa"/>
            <w:tcBorders/>
            <w:vAlign w:val="center"/>
          </w:tcPr>
          <w:p>
            <w:pPr>
              <w:pStyle w:val="TableContents"/>
              <w:bidi w:val="0"/>
              <w:spacing w:before="0" w:after="1"/>
              <w:ind w:left="0" w:right="0" w:hanging="0"/>
              <w:jc w:val="left"/>
              <w:rPr/>
            </w:pPr>
            <w:r>
              <w:rPr/>
              <w:t>​</w:t>
            </w:r>
          </w:p>
        </w:tc>
        <w:tc>
          <w:tcPr>
            <w:tcW w:w="404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46" w:type="dxa"/>
            <w:tcBorders/>
            <w:vAlign w:val="center"/>
          </w:tcPr>
          <w:p>
            <w:pPr>
              <w:pStyle w:val="TableContents"/>
              <w:bidi w:val="0"/>
              <w:spacing w:before="0" w:after="1"/>
              <w:ind w:left="0" w:right="0" w:hanging="0"/>
              <w:jc w:val="left"/>
              <w:rPr/>
            </w:pPr>
            <w:r>
              <w:rPr/>
              <w:t>​</w:t>
            </w:r>
          </w:p>
        </w:tc>
      </w:tr>
      <w:tr>
        <w:trPr/>
        <w:tc>
          <w:tcPr>
            <w:tcW w:w="1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3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91" w:type="dxa"/>
            <w:tcBorders/>
            <w:vAlign w:val="center"/>
          </w:tcPr>
          <w:p>
            <w:pPr>
              <w:pStyle w:val="TableContents"/>
              <w:bidi w:val="0"/>
              <w:spacing w:before="0" w:after="1"/>
              <w:ind w:left="0" w:right="0" w:hanging="0"/>
              <w:jc w:val="left"/>
              <w:rPr/>
            </w:pPr>
            <w:r>
              <w:rPr/>
              <w:t>​</w:t>
            </w:r>
          </w:p>
        </w:tc>
        <w:tc>
          <w:tcPr>
            <w:tcW w:w="173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1, </w:t>
            </w:r>
          </w:p>
        </w:tc>
        <w:tc>
          <w:tcPr>
            <w:tcW w:w="301" w:type="dxa"/>
            <w:tcBorders/>
            <w:vAlign w:val="center"/>
          </w:tcPr>
          <w:p>
            <w:pPr>
              <w:pStyle w:val="TableContents"/>
              <w:bidi w:val="0"/>
              <w:spacing w:before="0" w:after="1"/>
              <w:ind w:left="0" w:right="0" w:hanging="0"/>
              <w:jc w:val="left"/>
              <w:rPr/>
            </w:pPr>
            <w:r>
              <w:rPr/>
              <w:t>​</w:t>
            </w:r>
          </w:p>
        </w:tc>
        <w:tc>
          <w:tcPr>
            <w:tcW w:w="182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91" w:type="dxa"/>
            <w:tcBorders/>
            <w:vAlign w:val="center"/>
          </w:tcPr>
          <w:p>
            <w:pPr>
              <w:pStyle w:val="TableContents"/>
              <w:bidi w:val="0"/>
              <w:spacing w:before="0" w:after="1"/>
              <w:ind w:left="0" w:right="0" w:hanging="0"/>
              <w:jc w:val="left"/>
              <w:rPr/>
            </w:pPr>
            <w:r>
              <w:rPr/>
              <w:t>​</w:t>
            </w:r>
          </w:p>
        </w:tc>
        <w:tc>
          <w:tcPr>
            <w:tcW w:w="182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October 1, </w:t>
            </w:r>
          </w:p>
        </w:tc>
        <w:tc>
          <w:tcPr>
            <w:tcW w:w="346" w:type="dxa"/>
            <w:tcBorders/>
            <w:vAlign w:val="center"/>
          </w:tcPr>
          <w:p>
            <w:pPr>
              <w:pStyle w:val="TableContents"/>
              <w:bidi w:val="0"/>
              <w:spacing w:before="0" w:after="1"/>
              <w:ind w:left="0" w:right="0" w:hanging="0"/>
              <w:jc w:val="center"/>
              <w:rPr/>
            </w:pPr>
            <w:r>
              <w:rPr/>
              <w:t> </w:t>
            </w:r>
          </w:p>
        </w:tc>
      </w:tr>
      <w:tr>
        <w:trPr/>
        <w:tc>
          <w:tcPr>
            <w:tcW w:w="1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01" w:type="dxa"/>
            <w:tcBorders/>
            <w:vAlign w:val="center"/>
          </w:tcPr>
          <w:p>
            <w:pPr>
              <w:pStyle w:val="TableContents"/>
              <w:bidi w:val="0"/>
              <w:spacing w:before="0" w:after="1"/>
              <w:ind w:left="0" w:right="0" w:hanging="0"/>
              <w:jc w:val="left"/>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left"/>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w:t>
            </w:r>
          </w:p>
        </w:tc>
      </w:tr>
      <w:tr>
        <w:trPr/>
        <w:tc>
          <w:tcPr>
            <w:tcW w:w="1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0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1"/>
              <w:ind w:left="0" w:right="0" w:hanging="0"/>
              <w:jc w:val="center"/>
              <w:rPr/>
            </w:pPr>
            <w:r>
              <w:rPr/>
              <w:t> </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01"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w:t>
            </w:r>
          </w:p>
        </w:tc>
        <w:tc>
          <w:tcPr>
            <w:tcW w:w="3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809</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683</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with related party, net and Other Financial Income (expense), net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3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tbl>
      <w:tblPr>
        <w:tblW w:w="5582" w:type="dxa"/>
        <w:jc w:val="left"/>
        <w:tblInd w:w="0" w:type="dxa"/>
        <w:tblLayout w:type="fixed"/>
        <w:tblCellMar>
          <w:top w:w="0" w:type="dxa"/>
          <w:left w:w="0" w:type="dxa"/>
          <w:bottom w:w="0" w:type="dxa"/>
          <w:right w:w="0" w:type="dxa"/>
        </w:tblCellMar>
      </w:tblPr>
      <w:tblGrid>
        <w:gridCol w:w="346"/>
        <w:gridCol w:w="52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amortization of acquired intangible assets, as follows:</w:t>
            </w:r>
          </w:p>
        </w:tc>
      </w:tr>
    </w:tbl>
    <w:tbl>
      <w:tblPr>
        <w:tblW w:w="9392" w:type="dxa"/>
        <w:jc w:val="left"/>
        <w:tblInd w:w="0" w:type="dxa"/>
        <w:tblLayout w:type="fixed"/>
        <w:tblCellMar>
          <w:top w:w="0" w:type="dxa"/>
          <w:left w:w="0" w:type="dxa"/>
          <w:bottom w:w="0" w:type="dxa"/>
          <w:right w:w="0" w:type="dxa"/>
        </w:tblCellMar>
      </w:tblPr>
      <w:tblGrid>
        <w:gridCol w:w="4171"/>
        <w:gridCol w:w="326"/>
        <w:gridCol w:w="379"/>
        <w:gridCol w:w="761"/>
        <w:gridCol w:w="326"/>
        <w:gridCol w:w="294"/>
        <w:gridCol w:w="591"/>
        <w:gridCol w:w="326"/>
        <w:gridCol w:w="379"/>
        <w:gridCol w:w="761"/>
        <w:gridCol w:w="148"/>
        <w:gridCol w:w="266"/>
        <w:gridCol w:w="664"/>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648585" cy="175260"/>
                      <wp:effectExtent l="0" t="0" r="0" b="0"/>
                      <wp:wrapNone/>
                      <wp:docPr id="322" name="Frame322"/>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40665" cy="175260"/>
                      <wp:effectExtent l="0" t="0" r="0" b="0"/>
                      <wp:wrapNone/>
                      <wp:docPr id="324" name="Frame32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83235" cy="175260"/>
                      <wp:effectExtent l="0" t="0" r="0" b="0"/>
                      <wp:wrapNone/>
                      <wp:docPr id="325" name="Frame325"/>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86690" cy="175260"/>
                      <wp:effectExtent l="0" t="0" r="0" b="0"/>
                      <wp:wrapNone/>
                      <wp:docPr id="327" name="Frame32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75285" cy="175260"/>
                      <wp:effectExtent l="0" t="0" r="0" b="0"/>
                      <wp:wrapNone/>
                      <wp:docPr id="328" name="Frame32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40665" cy="175260"/>
                      <wp:effectExtent l="0" t="0" r="0" b="0"/>
                      <wp:wrapNone/>
                      <wp:docPr id="330" name="Frame33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83235" cy="175260"/>
                      <wp:effectExtent l="0" t="0" r="0" b="0"/>
                      <wp:wrapNone/>
                      <wp:docPr id="331" name="Frame33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93980" cy="175260"/>
                      <wp:effectExtent l="0" t="0" r="0" b="0"/>
                      <wp:wrapNone/>
                      <wp:docPr id="332" name="Frame332"/>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8910" cy="175260"/>
                      <wp:effectExtent l="0" t="0" r="0" b="0"/>
                      <wp:wrapNone/>
                      <wp:docPr id="333" name="Frame3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21640" cy="175260"/>
                      <wp:effectExtent l="0" t="0" r="0" b="0"/>
                      <wp:wrapNone/>
                      <wp:docPr id="334" name="Frame334"/>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22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4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48" w:type="dxa"/>
            <w:tcBorders/>
            <w:vAlign w:val="center"/>
          </w:tcPr>
          <w:p>
            <w:pPr>
              <w:pStyle w:val="TableContents"/>
              <w:bidi w:val="0"/>
              <w:spacing w:before="0" w:after="1"/>
              <w:ind w:left="0" w:right="0" w:hanging="0"/>
              <w:jc w:val="left"/>
              <w:rPr/>
            </w:pPr>
            <w:r>
              <w:rPr/>
              <w:t>​</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8"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148" w:type="dxa"/>
            <w:tcBorders/>
            <w:shd w:fill="CCEEFF" w:val="clear"/>
            <w:vAlign w:val="center"/>
          </w:tcPr>
          <w:p>
            <w:pPr>
              <w:pStyle w:val="TableContents"/>
              <w:bidi w:val="0"/>
              <w:spacing w:before="0" w:after="1"/>
              <w:ind w:left="0" w:right="0" w:hanging="0"/>
              <w:jc w:val="left"/>
              <w:rPr/>
            </w:pPr>
            <w:r>
              <w:rPr/>
              <w:t> </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148" w:type="dxa"/>
            <w:tcBorders/>
            <w:vAlign w:val="center"/>
          </w:tcPr>
          <w:p>
            <w:pPr>
              <w:pStyle w:val="TableContents"/>
              <w:bidi w:val="0"/>
              <w:spacing w:before="0" w:after="1"/>
              <w:ind w:left="0" w:right="0" w:hanging="0"/>
              <w:jc w:val="left"/>
              <w:rPr/>
            </w:pPr>
            <w:r>
              <w:rPr/>
              <w:t> </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amortization of acquired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w:t>
            </w:r>
          </w:p>
        </w:tc>
        <w:tc>
          <w:tcPr>
            <w:tcW w:w="32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w:t>
            </w:r>
          </w:p>
        </w:tc>
        <w:tc>
          <w:tcPr>
            <w:tcW w:w="148" w:type="dxa"/>
            <w:tcBorders/>
            <w:shd w:fill="CCEEFF" w:val="clear"/>
            <w:vAlign w:val="center"/>
          </w:tcPr>
          <w:p>
            <w:pPr>
              <w:pStyle w:val="TableContents"/>
              <w:bidi w:val="0"/>
              <w:spacing w:before="0" w:after="1"/>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413</w:t>
            </w:r>
          </w:p>
        </w:tc>
      </w:tr>
    </w:tbl>
    <w:p>
      <w:pPr>
        <w:pStyle w:val="TextBody"/>
        <w:bidi w:val="0"/>
        <w:spacing w:before="0" w:after="240"/>
        <w:ind w:left="0" w:right="0" w:hanging="0"/>
        <w:jc w:val="both"/>
        <w:rPr/>
      </w:pPr>
      <w:r>
        <w:rPr/>
        <w:t>​</w:t>
      </w:r>
    </w:p>
    <w:tbl>
      <w:tblPr>
        <w:tblW w:w="5027" w:type="dxa"/>
        <w:jc w:val="left"/>
        <w:tblInd w:w="0" w:type="dxa"/>
        <w:tblLayout w:type="fixed"/>
        <w:tblCellMar>
          <w:top w:w="0" w:type="dxa"/>
          <w:left w:w="0" w:type="dxa"/>
          <w:bottom w:w="0" w:type="dxa"/>
          <w:right w:w="0" w:type="dxa"/>
        </w:tblCellMar>
      </w:tblPr>
      <w:tblGrid>
        <w:gridCol w:w="346"/>
        <w:gridCol w:w="46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expense, as follows:</w:t>
            </w:r>
          </w:p>
        </w:tc>
      </w:tr>
    </w:tbl>
    <w:tbl>
      <w:tblPr>
        <w:tblW w:w="7627" w:type="dxa"/>
        <w:jc w:val="left"/>
        <w:tblInd w:w="0" w:type="dxa"/>
        <w:tblLayout w:type="fixed"/>
        <w:tblCellMar>
          <w:top w:w="0" w:type="dxa"/>
          <w:left w:w="0" w:type="dxa"/>
          <w:bottom w:w="0" w:type="dxa"/>
          <w:right w:w="0" w:type="dxa"/>
        </w:tblCellMar>
      </w:tblPr>
      <w:tblGrid>
        <w:gridCol w:w="2851"/>
        <w:gridCol w:w="146"/>
        <w:gridCol w:w="449"/>
        <w:gridCol w:w="736"/>
        <w:gridCol w:w="184"/>
        <w:gridCol w:w="333"/>
        <w:gridCol w:w="552"/>
        <w:gridCol w:w="146"/>
        <w:gridCol w:w="394"/>
        <w:gridCol w:w="791"/>
        <w:gridCol w:w="114"/>
        <w:gridCol w:w="266"/>
        <w:gridCol w:w="665"/>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10385" cy="175260"/>
                      <wp:effectExtent l="0" t="0" r="0" b="0"/>
                      <wp:wrapNone/>
                      <wp:docPr id="335" name="Frame33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2710" cy="175260"/>
                      <wp:effectExtent l="0" t="0" r="0" b="0"/>
                      <wp:wrapNone/>
                      <wp:docPr id="336" name="Frame3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85115" cy="175260"/>
                      <wp:effectExtent l="0" t="0" r="0" b="0"/>
                      <wp:wrapNone/>
                      <wp:docPr id="337" name="Frame337"/>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67360" cy="175260"/>
                      <wp:effectExtent l="0" t="0" r="0" b="0"/>
                      <wp:wrapNone/>
                      <wp:docPr id="338" name="Frame3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16840" cy="175260"/>
                      <wp:effectExtent l="0" t="0" r="0" b="0"/>
                      <wp:wrapNone/>
                      <wp:docPr id="339" name="Frame339"/>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1455" cy="175260"/>
                      <wp:effectExtent l="0" t="0" r="0" b="0"/>
                      <wp:wrapNone/>
                      <wp:docPr id="340" name="Frame340"/>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50520" cy="175260"/>
                      <wp:effectExtent l="0" t="0" r="0" b="0"/>
                      <wp:wrapNone/>
                      <wp:docPr id="341" name="Frame341"/>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92710" cy="175260"/>
                      <wp:effectExtent l="0" t="0" r="0" b="0"/>
                      <wp:wrapNone/>
                      <wp:docPr id="342" name="Frame3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0190" cy="175260"/>
                      <wp:effectExtent l="0" t="0" r="0" b="0"/>
                      <wp:wrapNone/>
                      <wp:docPr id="343" name="Frame34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02285" cy="175260"/>
                      <wp:effectExtent l="0" t="0" r="0" b="0"/>
                      <wp:wrapNone/>
                      <wp:docPr id="344" name="Frame34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2390" cy="175260"/>
                      <wp:effectExtent l="0" t="0" r="0" b="0"/>
                      <wp:wrapNone/>
                      <wp:docPr id="345" name="Frame345"/>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8910" cy="175260"/>
                      <wp:effectExtent l="0" t="0" r="0" b="0"/>
                      <wp:wrapNone/>
                      <wp:docPr id="346" name="Frame34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2275" cy="175260"/>
                      <wp:effectExtent l="0" t="0" r="0" b="0"/>
                      <wp:wrapNone/>
                      <wp:docPr id="347" name="Frame347"/>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2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46" w:type="dxa"/>
            <w:tcBorders/>
            <w:vAlign w:val="center"/>
          </w:tcPr>
          <w:p>
            <w:pPr>
              <w:pStyle w:val="TableContents"/>
              <w:bidi w:val="0"/>
              <w:spacing w:before="0" w:after="0"/>
              <w:ind w:left="0" w:right="0" w:hanging="0"/>
              <w:jc w:val="left"/>
              <w:rPr/>
            </w:pPr>
            <w:r>
              <w:rPr/>
              <w:t>​</w:t>
            </w:r>
          </w:p>
        </w:tc>
        <w:tc>
          <w:tcPr>
            <w:tcW w:w="22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8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84" w:type="dxa"/>
            <w:tcBorders/>
            <w:vAlign w:val="center"/>
          </w:tcPr>
          <w:p>
            <w:pPr>
              <w:pStyle w:val="TableContents"/>
              <w:bidi w:val="0"/>
              <w:spacing w:before="0" w:after="0"/>
              <w:ind w:left="0" w:right="0" w:hanging="0"/>
              <w:jc w:val="left"/>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30, </w:t>
            </w:r>
          </w:p>
        </w:tc>
        <w:tc>
          <w:tcPr>
            <w:tcW w:w="114"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1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84"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4"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84"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14"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0"/>
              <w:ind w:left="0" w:right="0" w:hanging="0"/>
              <w:jc w:val="righ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146"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84"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w:t>
            </w:r>
          </w:p>
        </w:tc>
        <w:tc>
          <w:tcPr>
            <w:tcW w:w="5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14"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46" w:type="dxa"/>
            <w:tcBorders/>
            <w:shd w:fill="CCEEFF" w:val="clear"/>
            <w:vAlign w:val="center"/>
          </w:tcPr>
          <w:p>
            <w:pPr>
              <w:pStyle w:val="TableContents"/>
              <w:bidi w:val="0"/>
              <w:spacing w:before="0" w:after="0"/>
              <w:ind w:left="0" w:right="0" w:hanging="0"/>
              <w:jc w:val="left"/>
              <w:rPr/>
            </w:pPr>
            <w:r>
              <w:rPr/>
              <w:t> </w:t>
            </w:r>
          </w:p>
        </w:tc>
        <w:tc>
          <w:tcPr>
            <w:tcW w:w="44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84"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394"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14"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84" w:type="dxa"/>
            <w:tcBorders/>
            <w:vAlign w:val="center"/>
          </w:tcPr>
          <w:p>
            <w:pPr>
              <w:pStyle w:val="TableContents"/>
              <w:bidi w:val="0"/>
              <w:spacing w:before="0" w:after="0"/>
              <w:ind w:left="0" w:right="0" w:hanging="0"/>
              <w:jc w:val="left"/>
              <w:rPr/>
            </w:pPr>
            <w:r>
              <w:rPr/>
              <w:t> </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14" w:type="dxa"/>
            <w:tcBorders/>
            <w:vAlign w:val="center"/>
          </w:tcPr>
          <w:p>
            <w:pPr>
              <w:pStyle w:val="TableContents"/>
              <w:bidi w:val="0"/>
              <w:spacing w:before="0" w:after="0"/>
              <w:ind w:left="0" w:right="0" w:hanging="0"/>
              <w:jc w:val="center"/>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146" w:type="dxa"/>
            <w:tcBorders/>
            <w:shd w:fill="CCEEFF" w:val="clear"/>
            <w:vAlign w:val="center"/>
          </w:tcPr>
          <w:p>
            <w:pPr>
              <w:pStyle w:val="TableContents"/>
              <w:bidi w:val="0"/>
              <w:spacing w:before="0" w:after="0"/>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c>
          <w:tcPr>
            <w:tcW w:w="184" w:type="dxa"/>
            <w:tcBorders/>
            <w:shd w:fill="CCEEFF" w:val="clear"/>
            <w:vAlign w:val="center"/>
          </w:tcPr>
          <w:p>
            <w:pPr>
              <w:pStyle w:val="TableContents"/>
              <w:bidi w:val="0"/>
              <w:spacing w:before="0" w:after="0"/>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146"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114" w:type="dxa"/>
            <w:tcBorders/>
            <w:shd w:fill="CCEEFF" w:val="clear"/>
            <w:vAlign w:val="center"/>
          </w:tcPr>
          <w:p>
            <w:pPr>
              <w:pStyle w:val="TableContents"/>
              <w:bidi w:val="0"/>
              <w:spacing w:before="0" w:after="0"/>
              <w:ind w:left="0" w:right="0" w:hanging="0"/>
              <w:jc w:val="center"/>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Comparison of the three and nine months ended September 30, 2023 and October 1, 2022</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three months ended September 30, 2023, revenue increased by $80 million, or 18%, compared to the three months ended October 1, 2022. This increase in revenue was primarily due to a combination of volume and ASP growth in our EyeQ chip related 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nine months ended September 30, 2023, revenue increased by $138 million, or 11%, compared to the nine months ended October 1, 2022. This increase was primarily due to an increase of $123 million, or 10%, in EyeQ® and SuperVision sales, attributable to an 8%  increase in volume and a 2% increase in Average System Price which is calculated as the sum of revenue related to EyeQ® and SuperVision systems, divided by the number of systems delivered.</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three months ended September 30, 2023, our cost of revenue increased by $25 million, or 11% compared to the three months ended October 1, 2022. This increase was primarily due to an increase of $40 million in manufacturing costs related to increased sales of our EyeQ® and also the rise in the cost of our EyeQ® SoCs due to the global semiconductor shortage and inflationary pressures partially offset by a decrease of $21 million in amortization of intangible assets.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nine months ended September 30, 2023, our cost of revenue increased by $57 million, or 8%, compared to the nine months ended October 1, 2022. This increase was primarily due to an increase of $92 million in manufacturing costs relating primarily to increased sales of our EyeQ® SoC and our sales of SuperVision™ systems, as well as to a rise in the cost of our EyeQ® SoCs, partially offset by a decrease of $44 million in amortization expenses.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Gross Profit and margin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the three months ended September 30 2023, our gross profit increased by $55 million, or 25% compared to the three months ended October 1, 2022.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nine months ended September 30 2023, our gross profit increased by $81 million, or 13%, compared to the nine months ended October 1, 2022.</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gross profit increase in both periods was mainly driven by the increase in revenue from our EyeQ® SoC sales, as well as the sales of our SuperVision™ solution and by the the decrease in Amortization charges related to fully amortized intangibles of Moovit’s acquisition.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gross margin has increased by 3 percentage points to 51% in the three months ended September 30, 2023 compared to 48% in the three months ended October 1, 2022. Our gross margin has increased by 1 percentage point to 49% in the nine months ended September 30, 2023 compared to 48% in the nine months ended October 1, 2022 . This is mainly due to the lower impact of the cost attributable to amortization of intangible assets as a percentage of revenue partly offset by the downward impact of the increased cost of our EyeQ® SoCs (which was passed through as a price increase to our customers on a zero-margin basis).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Research and development expenses, net, in the three months ended September 30, 2023, increased by $12 million, or 6%, compared to the three months ended October 1, 2022. This increase was primarily due to an increase of $11 million in payroll and related expenses, resulting from an increase in average research and development headcount of 383 employees, including an increase of $21 million in share-based compensation, mainly offset by the depreciation of the New Israeli Shekel against the USD which resulted in lower than expected payroll related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net, in the nine months ended September 30, 2023 increased by $99 million, or 18%, compared to the nine months ended October 1, 2022. This increase was primarily due to  an increase of $76 million in payroll and related expenses, resulting from an increase in average research and development headcount of 441 employees and an increase in payroll costs, including an increase of $57 million in share-based compensation. The remaining increase is mainly related to occupancy and related expenses associated with the lease of new office space in additional sites.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three months ended September 30, 2023 increased by $1 million, or 4%, compared to the three months ended October 1,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nine months ended  September 30, 2023 decreased by $1 million, or 1% , compared to the nine months ended October 1, 2022. This decrease was mainly due to a decrease of $7 million in amortization charges related to intangibles of Moovit's acquisition partially offset by an increase in advertising and marketing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the three months ended September 30, 2023 increased by $9 million, or 100%, compared to the three months ended October 1, 2022. This increase was mainly due to an increase of $5 million in payroll and related expenses, relates to share-based compensation, as well as costs related to being a public company, partially offset by the Mobileye IPO related expenses incurred in prior 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the nine months ended September 30, 2023 increased by $28, or 104%, compared to the nine months ended October 1, 2022. This increase was mainly due to an increase in payroll and related expenses, including an increase of $16 million in share-based compensation, as well as costs related to being a public company, partially offset by the Mobileye IPO related expenses incurred in prior year period.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Interest Income (expense) with related party, net and Other 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with related party, net in the three months ended September 30, 2023 was $0 million compared to $6 million in the three months ended October 1, 2022, and $0 million compared to $11 million in the nine months ended September 30, 2023 and nine months ended October 1, 2022, respectively. These changes were due to zero outstanding balances of both the Dividend Note and a loan to Intel as of December 31,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financial income, net, in the three months ended September 30, 2023 was $15 million compared to $1 million in the three months ended October 1, 2022 and $38 million compared to $6 million in the nine months ended September 30, 2023 and nine months ended October 1, 2022, respectively. This increase was mainly due to interest earned on investment in money market funds, as well as short term bank deposits.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Benefit (Provision) for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September 30, 2023 provision for income tax decreased by $9 million, compared to the three months ended October 1, 2022. This decrease was mainly driven by a change in the jurisdictional composition of our taxable income based on operational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nine months ended September 30, 2023, provision for income tax decreased by $24 million, compared to the nine months ended October 1, 2022. This decrease was mainly due to a change in the jurisdictional composition of our taxable income based on operational results and the recognition of discrete tax expenses in 2022. Additionally, the decrease was driven by a withholding tax expense of $14 million related to a dividend distribution between entities within the Mobileye Group in the nine months ended October 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we have sufficient sources of funding to meet our business requirements and plans for the next 12 months and in the longer term. Cash generated by operations is our primary source of liquidity for funding our strategic business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primary uses of funds have been for funding increases in headcount in our research and development departments and investments attributable to new product development, as well as for funding our capital expenditures. Our capital expenditures have related mainly to the construction of our new sites and campus, data storage and other computer related equipment and were $75 million and $79 million for the nine months ended September 30, 2023 and October 1, 2022,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fund our cash requirements in the ordinary course of business, we anticipate that we will continue to primarily rely on operating cash flows, supplemented by our total cash and cash equivalents. We expect our total capital expenditures for 2023 to be above our total capital expenditures in 2022, mainly given the expansion to additional facilities required to accommodate our headcount growth, as well as investments in equipment related to the development of our next generation products. The construction of our campus is planned to be completed in the first quarter of 2024, with a remaining cost we estimate to be between $25 million and $35 million. Our future capital requirements will depend on many factors, including our growth rate and the timing and extent of 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consolidated statements of cash flow data:</w:t>
      </w:r>
    </w:p>
    <w:tbl>
      <w:tblPr>
        <w:tblW w:w="9248" w:type="dxa"/>
        <w:jc w:val="left"/>
        <w:tblInd w:w="0" w:type="dxa"/>
        <w:tblLayout w:type="fixed"/>
        <w:tblCellMar>
          <w:top w:w="0" w:type="dxa"/>
          <w:left w:w="0" w:type="dxa"/>
          <w:bottom w:w="0" w:type="dxa"/>
          <w:right w:w="0" w:type="dxa"/>
        </w:tblCellMar>
      </w:tblPr>
      <w:tblGrid>
        <w:gridCol w:w="5716"/>
        <w:gridCol w:w="326"/>
        <w:gridCol w:w="514"/>
        <w:gridCol w:w="1031"/>
        <w:gridCol w:w="326"/>
        <w:gridCol w:w="353"/>
        <w:gridCol w:w="982"/>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629660" cy="175260"/>
                      <wp:effectExtent l="0" t="0" r="0" b="0"/>
                      <wp:wrapNone/>
                      <wp:docPr id="348" name="Frame348"/>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26390" cy="175260"/>
                      <wp:effectExtent l="0" t="0" r="0" b="0"/>
                      <wp:wrapNone/>
                      <wp:docPr id="350" name="Frame350"/>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54685" cy="175260"/>
                      <wp:effectExtent l="0" t="0" r="0" b="0"/>
                      <wp:wrapNone/>
                      <wp:docPr id="351" name="Frame351"/>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24155" cy="175260"/>
                      <wp:effectExtent l="0" t="0" r="0" b="0"/>
                      <wp:wrapNone/>
                      <wp:docPr id="353" name="Frame35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23570" cy="175260"/>
                      <wp:effectExtent l="0" t="0" r="0" b="0"/>
                      <wp:wrapNone/>
                      <wp:docPr id="354" name="Frame354"/>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2023 compared to the nine months ended October 1, 2022, the $110 million decrease in cash provided by operating activities was mainly due to an increase in inventories, as part of a planned initiative to rebuild our strategic inventory of EyeQ chips that was largely consumed during the supply chain crisis in 2021 and 2022, which was partially offset by a change in employee related balances in the nine months ended October 1, 2022 which was due to our recruitment of certain employees relating to the Mobileye business from Intel, as well as a flat accounts receivable balance in the nine months ended September 30, 2023 in comparison to an increase in prior year period.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the nine months ended September 30, 2023 was $75 million, consisting of capital expenditures.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in the nine months ended October 1, 2022 was $319 million consisting primarily of a $398 million net loan repayment by Intel to Mobileye, partially offset by capital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financing activities in the nine months ended September 30, 2023 was $29 million, consisting of share-based compensation recharge payments made to Intel. </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in the nine months ended October 1, 2022 was $451 million, consisting primarily of  $200 million share-based compensation recharge payments and $336 million dividend contribution made to Intel, partially offset by $99 million of a net contribution from Intel.</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Liability in respect of employee rights upon retirement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Severance pay liability decreased from $56 million as of December 31, 2022, to $53 million as of September 30, 2023, reflecting mainly the impact of fluctuations in value due to foreign exchange differences between New Israeli Shekel and USD.</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several bank guarantees aggregating approximately $14 million as of September 30, 2023 (mainly denominated in New Israeli Shekels) mainly in connection with lease agreements and import of vehicles.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in connection with the Reorganization and the Mobileye IPO, on April 21, 2022, we distributed to Intel the Dividend Note, in the aggregate principal amount of $3.5 billion. In November 2022, we used approximately $0.9 billion out of the net proceeds from the Mobileye IPO, to repay a portion of indebtedness under the Dividend Note, and Intel contributed to Mobileye the remaining portion of the Dividend Note such that no amounts under the Dividend Note remain owed by us to Intel.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Adjusted Gross Profit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gross profit to Adjusted Gross Profit and the calculations of gross margin and Adjusted Gross Margin:</w:t>
      </w:r>
    </w:p>
    <w:tbl>
      <w:tblPr>
        <w:tblW w:w="10295" w:type="dxa"/>
        <w:jc w:val="left"/>
        <w:tblInd w:w="0" w:type="dxa"/>
        <w:tblLayout w:type="fixed"/>
        <w:tblCellMar>
          <w:top w:w="0" w:type="dxa"/>
          <w:left w:w="0" w:type="dxa"/>
          <w:bottom w:w="0" w:type="dxa"/>
          <w:right w:w="0" w:type="dxa"/>
        </w:tblCellMar>
      </w:tblPr>
      <w:tblGrid>
        <w:gridCol w:w="1261"/>
        <w:gridCol w:w="326"/>
        <w:gridCol w:w="211"/>
        <w:gridCol w:w="691"/>
        <w:gridCol w:w="326"/>
        <w:gridCol w:w="721"/>
        <w:gridCol w:w="391"/>
        <w:gridCol w:w="230"/>
        <w:gridCol w:w="461"/>
        <w:gridCol w:w="326"/>
        <w:gridCol w:w="721"/>
        <w:gridCol w:w="326"/>
        <w:gridCol w:w="211"/>
        <w:gridCol w:w="571"/>
        <w:gridCol w:w="326"/>
        <w:gridCol w:w="721"/>
        <w:gridCol w:w="391"/>
        <w:gridCol w:w="230"/>
        <w:gridCol w:w="461"/>
        <w:gridCol w:w="326"/>
        <w:gridCol w:w="721"/>
        <w:gridCol w:w="34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800735" cy="175260"/>
                      <wp:effectExtent l="0" t="0" r="0" b="0"/>
                      <wp:wrapNone/>
                      <wp:docPr id="355" name="Frame35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57835" cy="175260"/>
                      <wp:effectExtent l="0" t="0" r="0" b="0"/>
                      <wp:wrapNone/>
                      <wp:docPr id="360" name="Frame3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48285" cy="175260"/>
                      <wp:effectExtent l="0" t="0" r="0" b="0"/>
                      <wp:wrapNone/>
                      <wp:docPr id="361" name="Frame3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6050" cy="175260"/>
                      <wp:effectExtent l="0" t="0" r="0" b="0"/>
                      <wp:wrapNone/>
                      <wp:docPr id="362" name="Frame36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92735" cy="175260"/>
                      <wp:effectExtent l="0" t="0" r="0" b="0"/>
                      <wp:wrapNone/>
                      <wp:docPr id="363" name="Frame36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57835" cy="175260"/>
                      <wp:effectExtent l="0" t="0" r="0" b="0"/>
                      <wp:wrapNone/>
                      <wp:docPr id="365" name="Frame3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62585" cy="175260"/>
                      <wp:effectExtent l="0" t="0" r="0" b="0"/>
                      <wp:wrapNone/>
                      <wp:docPr id="368" name="Frame3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57835" cy="175260"/>
                      <wp:effectExtent l="0" t="0" r="0" b="0"/>
                      <wp:wrapNone/>
                      <wp:docPr id="370" name="Frame3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48285" cy="175260"/>
                      <wp:effectExtent l="0" t="0" r="0" b="0"/>
                      <wp:wrapNone/>
                      <wp:docPr id="371" name="Frame3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6050" cy="175260"/>
                      <wp:effectExtent l="0" t="0" r="0" b="0"/>
                      <wp:wrapNone/>
                      <wp:docPr id="372" name="Frame37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92735" cy="175260"/>
                      <wp:effectExtent l="0" t="0" r="0" b="0"/>
                      <wp:wrapNone/>
                      <wp:docPr id="373" name="Frame37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57835" cy="175260"/>
                      <wp:effectExtent l="0" t="0" r="0" b="0"/>
                      <wp:wrapNone/>
                      <wp:docPr id="375" name="Frame37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7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395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91" w:type="dxa"/>
            <w:tcBorders/>
            <w:vAlign w:val="center"/>
          </w:tcPr>
          <w:p>
            <w:pPr>
              <w:pStyle w:val="TableContents"/>
              <w:bidi w:val="0"/>
              <w:spacing w:before="0" w:after="0"/>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0"/>
              <w:ind w:left="0" w:right="0" w:hanging="0"/>
              <w:jc w:val="left"/>
              <w:rPr/>
            </w:pPr>
            <w:r>
              <w:rPr/>
              <w:t>​</w:t>
            </w:r>
          </w:p>
        </w:tc>
        <w:tc>
          <w:tcPr>
            <w:tcW w:w="18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91" w:type="dxa"/>
            <w:tcBorders/>
            <w:vAlign w:val="center"/>
          </w:tcPr>
          <w:p>
            <w:pPr>
              <w:pStyle w:val="TableContents"/>
              <w:bidi w:val="0"/>
              <w:spacing w:before="0" w:after="0"/>
              <w:ind w:left="0" w:right="0" w:hanging="0"/>
              <w:jc w:val="left"/>
              <w:rPr/>
            </w:pPr>
            <w:r>
              <w:rPr/>
              <w:t>​</w:t>
            </w:r>
          </w:p>
        </w:tc>
        <w:tc>
          <w:tcPr>
            <w:tcW w:w="17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and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gross profit and margin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1,016</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977</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Adjusted Gross Margin decreased from 74% for the three months ended October 1, 2022 to 69% for the three months ended September 30, 2023 and from 75% for the nine months ended October 1, 2022 to 70% for the nine months ended September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both periods was primarily due to increased cost of our EyeQ® SoCs, due to the global semiconductor shortage and inflationary pressures, which was passed through as a price increase to our customers at the beginning of 2023 on a zero-margin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Operating Income as operating loss presented in accordance with GAAP, adjusted to exclude amortization of acquisition related intangibles, share-based compensation expenses and expenses related to the Mobileye IPO. Operating margin is calculated as operating loss divided by total revenue, and Adjusted Operating Margin is calculated as Adjusted Operating Income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operating income (loss) to Adjusted Operating Income and the calculations of Operating Margin and Adjusted Operating Margin:</w:t>
      </w:r>
    </w:p>
    <w:tbl>
      <w:tblPr>
        <w:tblW w:w="10205" w:type="dxa"/>
        <w:jc w:val="left"/>
        <w:tblInd w:w="0" w:type="dxa"/>
        <w:tblLayout w:type="fixed"/>
        <w:tblCellMar>
          <w:top w:w="0" w:type="dxa"/>
          <w:left w:w="0" w:type="dxa"/>
          <w:bottom w:w="0" w:type="dxa"/>
          <w:right w:w="0" w:type="dxa"/>
        </w:tblCellMar>
      </w:tblPr>
      <w:tblGrid>
        <w:gridCol w:w="1488"/>
        <w:gridCol w:w="326"/>
        <w:gridCol w:w="230"/>
        <w:gridCol w:w="461"/>
        <w:gridCol w:w="326"/>
        <w:gridCol w:w="754"/>
        <w:gridCol w:w="326"/>
        <w:gridCol w:w="230"/>
        <w:gridCol w:w="461"/>
        <w:gridCol w:w="326"/>
        <w:gridCol w:w="754"/>
        <w:gridCol w:w="301"/>
        <w:gridCol w:w="211"/>
        <w:gridCol w:w="485"/>
        <w:gridCol w:w="326"/>
        <w:gridCol w:w="754"/>
        <w:gridCol w:w="326"/>
        <w:gridCol w:w="230"/>
        <w:gridCol w:w="461"/>
        <w:gridCol w:w="326"/>
        <w:gridCol w:w="754"/>
        <w:gridCol w:w="349"/>
      </w:tblGrid>
      <w:tr>
        <w:trPr/>
        <w:tc>
          <w:tcPr>
            <w:tcW w:w="1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44880" cy="175260"/>
                      <wp:effectExtent l="0" t="0" r="0" b="0"/>
                      <wp:wrapNone/>
                      <wp:docPr id="377" name="Frame377"/>
                      <a:graphic xmlns:a="http://schemas.openxmlformats.org/drawingml/2006/main">
                        <a:graphicData uri="http://schemas.microsoft.com/office/word/2010/wordprocessingShape">
                          <wps:wsp>
                            <wps:cNvSpPr txBox="1"/>
                            <wps:spPr>
                              <a:xfrm>
                                <a:off x="0" y="0"/>
                                <a:ext cx="944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46050" cy="175260"/>
                      <wp:effectExtent l="0" t="0" r="0" b="0"/>
                      <wp:wrapNone/>
                      <wp:docPr id="379" name="Frame37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92735" cy="175260"/>
                      <wp:effectExtent l="0" t="0" r="0" b="0"/>
                      <wp:wrapNone/>
                      <wp:docPr id="380" name="Frame38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78790" cy="175260"/>
                      <wp:effectExtent l="0" t="0" r="0" b="0"/>
                      <wp:wrapNone/>
                      <wp:docPr id="382" name="Frame382"/>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6050" cy="175260"/>
                      <wp:effectExtent l="0" t="0" r="0" b="0"/>
                      <wp:wrapNone/>
                      <wp:docPr id="384" name="Frame38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92735" cy="175260"/>
                      <wp:effectExtent l="0" t="0" r="0" b="0"/>
                      <wp:wrapNone/>
                      <wp:docPr id="385" name="Frame38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78790" cy="175260"/>
                      <wp:effectExtent l="0" t="0" r="0" b="0"/>
                      <wp:wrapNone/>
                      <wp:docPr id="387" name="Frame38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91135" cy="175260"/>
                      <wp:effectExtent l="0" t="0" r="0" b="0"/>
                      <wp:wrapNone/>
                      <wp:docPr id="388" name="Frame38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07975" cy="175260"/>
                      <wp:effectExtent l="0" t="0" r="0" b="0"/>
                      <wp:wrapNone/>
                      <wp:docPr id="390" name="Frame390"/>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78790" cy="175260"/>
                      <wp:effectExtent l="0" t="0" r="0" b="0"/>
                      <wp:wrapNone/>
                      <wp:docPr id="392" name="Frame392"/>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6050" cy="175260"/>
                      <wp:effectExtent l="0" t="0" r="0" b="0"/>
                      <wp:wrapNone/>
                      <wp:docPr id="394" name="Frame39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92735" cy="175260"/>
                      <wp:effectExtent l="0" t="0" r="0" b="0"/>
                      <wp:wrapNone/>
                      <wp:docPr id="395" name="Frame39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78790" cy="175260"/>
                      <wp:effectExtent l="0" t="0" r="0" b="0"/>
                      <wp:wrapNone/>
                      <wp:docPr id="397" name="Frame39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21615" cy="175260"/>
                      <wp:effectExtent l="0" t="0" r="0" b="0"/>
                      <wp:wrapNone/>
                      <wp:docPr id="398" name="Frame39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6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01" w:type="dxa"/>
            <w:tcBorders/>
            <w:vAlign w:val="center"/>
          </w:tcPr>
          <w:p>
            <w:pPr>
              <w:pStyle w:val="TableContents"/>
              <w:bidi w:val="0"/>
              <w:spacing w:before="0" w:after="0"/>
              <w:ind w:left="0" w:right="0" w:hanging="0"/>
              <w:jc w:val="left"/>
              <w:rPr/>
            </w:pPr>
            <w:r>
              <w:rPr/>
              <w:t>​</w:t>
            </w:r>
          </w:p>
        </w:tc>
        <w:tc>
          <w:tcPr>
            <w:tcW w:w="3873"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49" w:type="dxa"/>
            <w:tcBorders/>
            <w:vAlign w:val="center"/>
          </w:tcPr>
          <w:p>
            <w:pPr>
              <w:pStyle w:val="TableContents"/>
              <w:bidi w:val="0"/>
              <w:spacing w:before="0" w:after="0"/>
              <w:ind w:left="0" w:right="0" w:hanging="0"/>
              <w:jc w:val="left"/>
              <w:rPr/>
            </w:pPr>
            <w:r>
              <w:rPr/>
              <w:t>​</w:t>
            </w:r>
          </w:p>
        </w:tc>
      </w:tr>
      <w:tr>
        <w:trPr/>
        <w:tc>
          <w:tcPr>
            <w:tcW w:w="14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7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01" w:type="dxa"/>
            <w:tcBorders/>
            <w:vAlign w:val="center"/>
          </w:tcPr>
          <w:p>
            <w:pPr>
              <w:pStyle w:val="TableContents"/>
              <w:bidi w:val="0"/>
              <w:spacing w:before="0" w:after="0"/>
              <w:ind w:left="0" w:right="0" w:hanging="0"/>
              <w:jc w:val="left"/>
              <w:rPr/>
            </w:pPr>
            <w:r>
              <w:rPr/>
              <w:t>​</w:t>
            </w:r>
          </w:p>
        </w:tc>
        <w:tc>
          <w:tcPr>
            <w:tcW w:w="177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7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49" w:type="dxa"/>
            <w:tcBorders/>
            <w:vAlign w:val="center"/>
          </w:tcPr>
          <w:p>
            <w:pPr>
              <w:pStyle w:val="TableContents"/>
              <w:bidi w:val="0"/>
              <w:spacing w:before="0" w:after="0"/>
              <w:ind w:left="0" w:right="0" w:hanging="0"/>
              <w:jc w:val="left"/>
              <w:rPr/>
            </w:pPr>
            <w:r>
              <w:rPr/>
              <w:t>​</w:t>
            </w:r>
          </w:p>
        </w:tc>
      </w:tr>
      <w:tr>
        <w:trPr/>
        <w:tc>
          <w:tcPr>
            <w:tcW w:w="148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01" w:type="dxa"/>
            <w:tcBorders/>
            <w:vAlign w:val="center"/>
          </w:tcPr>
          <w:p>
            <w:pPr>
              <w:pStyle w:val="TableContents"/>
              <w:bidi w:val="0"/>
              <w:spacing w:before="0" w:after="0"/>
              <w:ind w:left="0" w:right="0" w:hanging="0"/>
              <w:jc w:val="left"/>
              <w:rPr/>
            </w:pPr>
            <w:r>
              <w:rPr/>
              <w:t>​</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9" w:type="dxa"/>
            <w:tcBorders/>
            <w:vAlign w:val="center"/>
          </w:tcPr>
          <w:p>
            <w:pPr>
              <w:pStyle w:val="TableContents"/>
              <w:bidi w:val="0"/>
              <w:spacing w:before="0" w:after="0"/>
              <w:ind w:left="0" w:right="0" w:hanging="0"/>
              <w:jc w:val="left"/>
              <w:rPr/>
            </w:pPr>
            <w:r>
              <w:rPr/>
              <w:t>​</w:t>
            </w:r>
          </w:p>
        </w:tc>
      </w:tr>
      <w:tr>
        <w:trPr/>
        <w:tc>
          <w:tcPr>
            <w:tcW w:w="14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 and operating margin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Expenses related to the IPO</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income and margin</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446</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w:t>
            </w:r>
          </w:p>
        </w:tc>
        <w:tc>
          <w:tcPr>
            <w:tcW w:w="326" w:type="dxa"/>
            <w:tcBorders/>
            <w:shd w:fill="CCEEFF" w:val="clear"/>
            <w:vAlign w:val="center"/>
          </w:tcPr>
          <w:p>
            <w:pPr>
              <w:pStyle w:val="TableContents"/>
              <w:bidi w:val="0"/>
              <w:spacing w:before="0" w:after="0"/>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three months ended September 30, 2023 ended with an operating income of $8 million compared to a $25 million operating loss in the three months ended October 1, 2022. The increase is mainly due to higher revenue and gross profit. The nine months ended September 30, 2023 ended with an operating loss higher by $45 million compared to the nine months ended October 1, 2022, mainly due to an increase in share-based compensation expense, as well as an increase in research and development expenses attributable to headcount growth, partially offset by a decrease in amortization expense of acquired intangible assets. </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Operating Income increased by $39 million in the three months ended September 30, 2023 compared to the three months ended October 1, 2022, mainly due to increase in revenues. The Adjusted Operating Income was decreased by $22 million in the nine months ended September 30, 2023 compared to the nine months ended October 1, 2022. The decrease was primarily due to an increase in research and development expenses attributable mainly to headcount growth.</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Operating Margin increased from 32% for the three months ended October 1, 2022 to 34% for the three months ended September 30, 2023 mainly due to higher revenue with operating expenses that were largely consistent on a year over year basis. The Adjusted Operating Margin decreased from 36% for the nine months ended October 1, 2022 to 31% for the nine months ended September 30, 2023. The decrease is mainly due to an increase in research and development expenses attributable to headcount growth, as well as lower Adjusted Gross Margin.</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Adjusted 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Net Income as net income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net income (loss) to Adjusted Net Income:</w:t>
      </w:r>
    </w:p>
    <w:tbl>
      <w:tblPr>
        <w:tblW w:w="10205" w:type="dxa"/>
        <w:jc w:val="left"/>
        <w:tblInd w:w="0" w:type="dxa"/>
        <w:tblLayout w:type="fixed"/>
        <w:tblCellMar>
          <w:top w:w="0" w:type="dxa"/>
          <w:left w:w="0" w:type="dxa"/>
          <w:bottom w:w="0" w:type="dxa"/>
          <w:right w:w="0" w:type="dxa"/>
        </w:tblCellMar>
      </w:tblPr>
      <w:tblGrid>
        <w:gridCol w:w="1472"/>
        <w:gridCol w:w="326"/>
        <w:gridCol w:w="230"/>
        <w:gridCol w:w="461"/>
        <w:gridCol w:w="326"/>
        <w:gridCol w:w="752"/>
        <w:gridCol w:w="326"/>
        <w:gridCol w:w="230"/>
        <w:gridCol w:w="461"/>
        <w:gridCol w:w="326"/>
        <w:gridCol w:w="752"/>
        <w:gridCol w:w="326"/>
        <w:gridCol w:w="230"/>
        <w:gridCol w:w="461"/>
        <w:gridCol w:w="326"/>
        <w:gridCol w:w="752"/>
        <w:gridCol w:w="326"/>
        <w:gridCol w:w="211"/>
        <w:gridCol w:w="485"/>
        <w:gridCol w:w="326"/>
        <w:gridCol w:w="752"/>
        <w:gridCol w:w="348"/>
      </w:tblGrid>
      <w:tr>
        <w:trPr/>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934720" cy="175260"/>
                      <wp:effectExtent l="0" t="0" r="0" b="0"/>
                      <wp:wrapNone/>
                      <wp:docPr id="399" name="Frame399"/>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6050" cy="175260"/>
                      <wp:effectExtent l="0" t="0" r="0" b="0"/>
                      <wp:wrapNone/>
                      <wp:docPr id="401" name="Frame40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92735" cy="175260"/>
                      <wp:effectExtent l="0" t="0" r="0" b="0"/>
                      <wp:wrapNone/>
                      <wp:docPr id="402" name="Frame40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77520" cy="175260"/>
                      <wp:effectExtent l="0" t="0" r="0" b="0"/>
                      <wp:wrapNone/>
                      <wp:docPr id="404" name="Frame40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6050" cy="175260"/>
                      <wp:effectExtent l="0" t="0" r="0" b="0"/>
                      <wp:wrapNone/>
                      <wp:docPr id="406" name="Frame40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92735" cy="175260"/>
                      <wp:effectExtent l="0" t="0" r="0" b="0"/>
                      <wp:wrapNone/>
                      <wp:docPr id="407" name="Frame407"/>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77520" cy="175260"/>
                      <wp:effectExtent l="0" t="0" r="0" b="0"/>
                      <wp:wrapNone/>
                      <wp:docPr id="409" name="Frame40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46050" cy="175260"/>
                      <wp:effectExtent l="0" t="0" r="0" b="0"/>
                      <wp:wrapNone/>
                      <wp:docPr id="411" name="Frame41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92735" cy="175260"/>
                      <wp:effectExtent l="0" t="0" r="0" b="0"/>
                      <wp:wrapNone/>
                      <wp:docPr id="412" name="Frame41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77520" cy="175260"/>
                      <wp:effectExtent l="0" t="0" r="0" b="0"/>
                      <wp:wrapNone/>
                      <wp:docPr id="414" name="Frame41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07975" cy="175260"/>
                      <wp:effectExtent l="0" t="0" r="0" b="0"/>
                      <wp:wrapNone/>
                      <wp:docPr id="417" name="Frame417"/>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77520" cy="175260"/>
                      <wp:effectExtent l="0" t="0" r="0" b="0"/>
                      <wp:wrapNone/>
                      <wp:docPr id="419" name="Frame41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20980" cy="175260"/>
                      <wp:effectExtent l="0" t="0" r="0" b="0"/>
                      <wp:wrapNone/>
                      <wp:docPr id="420" name="Frame42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38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48" w:type="dxa"/>
            <w:tcBorders/>
            <w:vAlign w:val="center"/>
          </w:tcPr>
          <w:p>
            <w:pPr>
              <w:pStyle w:val="TableContents"/>
              <w:bidi w:val="0"/>
              <w:spacing w:before="0" w:after="0"/>
              <w:ind w:left="0" w:right="0" w:hanging="0"/>
              <w:jc w:val="center"/>
              <w:rPr/>
            </w:pPr>
            <w:r>
              <w:rPr/>
              <w:t>​</w:t>
            </w:r>
          </w:p>
        </w:tc>
      </w:tr>
      <w:tr>
        <w:trPr/>
        <w:tc>
          <w:tcPr>
            <w:tcW w:w="14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0"/>
              <w:ind w:left="0" w:right="0" w:hanging="0"/>
              <w:jc w:val="left"/>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48" w:type="dxa"/>
            <w:tcBorders/>
            <w:vAlign w:val="center"/>
          </w:tcPr>
          <w:p>
            <w:pPr>
              <w:pStyle w:val="TableContents"/>
              <w:bidi w:val="0"/>
              <w:spacing w:before="0" w:after="0"/>
              <w:ind w:left="0" w:right="0" w:hanging="0"/>
              <w:jc w:val="center"/>
              <w:rPr/>
            </w:pPr>
            <w:r>
              <w:rPr/>
              <w:t>​</w:t>
            </w:r>
          </w:p>
        </w:tc>
      </w:tr>
      <w:tr>
        <w:trPr/>
        <w:tc>
          <w:tcPr>
            <w:tcW w:w="147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26" w:type="dxa"/>
            <w:tcBorders/>
            <w:vAlign w:val="center"/>
          </w:tcPr>
          <w:p>
            <w:pPr>
              <w:pStyle w:val="TableContents"/>
              <w:bidi w:val="0"/>
              <w:spacing w:before="0" w:after="0"/>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8" w:type="dxa"/>
            <w:tcBorders/>
            <w:vAlign w:val="center"/>
          </w:tcPr>
          <w:p>
            <w:pPr>
              <w:pStyle w:val="TableContents"/>
              <w:bidi w:val="0"/>
              <w:spacing w:before="0" w:after="0"/>
              <w:ind w:left="0" w:right="0" w:hanging="0"/>
              <w:jc w:val="left"/>
              <w:rPr/>
            </w:pPr>
            <w:r>
              <w:rPr/>
              <w:t>​</w:t>
            </w:r>
          </w:p>
        </w:tc>
      </w:tr>
      <w:tr>
        <w:trPr/>
        <w:tc>
          <w:tcPr>
            <w:tcW w:w="14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Expenses related to the IPO</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w:t>
            </w:r>
          </w:p>
        </w:tc>
        <w:tc>
          <w:tcPr>
            <w:tcW w:w="326" w:type="dxa"/>
            <w:tcBorders/>
            <w:vAlign w:val="center"/>
          </w:tcPr>
          <w:p>
            <w:pPr>
              <w:pStyle w:val="TableContents"/>
              <w:bidi w:val="0"/>
              <w:spacing w:before="0" w:after="0"/>
              <w:ind w:left="0" w:right="0" w:hanging="0"/>
              <w:jc w:val="left"/>
              <w:rPr/>
            </w:pPr>
            <w:r>
              <w:rPr/>
              <w:t> </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income increased by $62 million in the three months ended September 30, 2023, compared to the three months ended October 1, 2022, and our net loss decreased by $22 million in the nine months ended September 30, 2023, compared to the nine months ended October 1, 2022. The improvement in both periods was mainly as a result of an increase in  revenue as well as a decrease in amortization expense of acquired intangible assets and an increase in interest income, partially offset by an increase in share-based compensation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Net Income increased by $67 million in the three months ended September 30, 2023, compared to the three months ended October 1, 2022, and by $41 million in the nine months ended September 30, 2023, compared to the nine months ended October 1, 2022, primarily due to an increase in revenue as well as increase in interest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2, “Significant Accounting Policies” of the Notes to the condensed consolidated Financial Statements in Part I, Item 1 of this Form 10-Q and in the Notes to the Consolidated Financial Statements in Part II, Item 8 of the 2022 Form 10-K describe the significant accounting policies and methods used in the preparation of the Company’s condensed consolidated financial statements. There have been no material changes to the Company’s critical accounting estimates since the 2022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shareholders.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contained in this report may include, but are not limited to, statements about:</w:t>
      </w:r>
    </w:p>
    <w:p>
      <w:pPr>
        <w:pStyle w:val="TextBody"/>
        <w:bidi w:val="0"/>
        <w:spacing w:before="0" w:after="240"/>
        <w:ind w:left="0" w:right="0" w:hanging="0"/>
        <w:jc w:val="both"/>
        <w:rPr/>
      </w:pPr>
      <w:r>
        <w:rPr/>
        <w:t>●</w:t>
      </w:r>
      <w:r>
        <w:rPr>
          <w:rFonts w:ascii="Times New Roman;Times;serif" w:hAnsi="Times New Roman;Times;serif"/>
          <w:sz w:val="20"/>
        </w:rPr>
        <w:t>future business, social and environmental performance, goals and measures;</w:t>
      </w:r>
    </w:p>
    <w:p>
      <w:pPr>
        <w:pStyle w:val="TextBody"/>
        <w:bidi w:val="0"/>
        <w:spacing w:before="0" w:after="240"/>
        <w:ind w:left="0" w:right="0" w:hanging="0"/>
        <w:jc w:val="both"/>
        <w:rPr/>
      </w:pPr>
      <w:r>
        <w:rPr/>
        <w:t>●</w:t>
      </w:r>
      <w:r>
        <w:rPr>
          <w:rFonts w:ascii="Times New Roman;Times;serif" w:hAnsi="Times New Roman;Times;serif"/>
          <w:sz w:val="20"/>
        </w:rPr>
        <w:t>our anticipated growth prospects and trends in markets and industries relevant to our business;</w:t>
      </w:r>
    </w:p>
    <w:p>
      <w:pPr>
        <w:pStyle w:val="TextBody"/>
        <w:bidi w:val="0"/>
        <w:spacing w:before="0" w:after="240"/>
        <w:ind w:left="0" w:right="0" w:hanging="0"/>
        <w:jc w:val="both"/>
        <w:rPr/>
      </w:pPr>
      <w:r>
        <w:rPr/>
        <w:t>●</w:t>
      </w:r>
      <w:r>
        <w:rPr>
          <w:rFonts w:ascii="Times New Roman;Times;serif" w:hAnsi="Times New Roman;Times;serif"/>
          <w:sz w:val="20"/>
        </w:rPr>
        <w:t>business and investment plans;</w:t>
      </w:r>
    </w:p>
    <w:p>
      <w:pPr>
        <w:pStyle w:val="TextBody"/>
        <w:bidi w:val="0"/>
        <w:spacing w:before="0" w:after="240"/>
        <w:ind w:left="0" w:right="0" w:hanging="0"/>
        <w:jc w:val="both"/>
        <w:rPr/>
      </w:pPr>
      <w:r>
        <w:rPr/>
        <w:t>●</w:t>
      </w:r>
      <w:r>
        <w:rPr>
          <w:rFonts w:ascii="Times New Roman;Times;serif" w:hAnsi="Times New Roman;Times;serif"/>
          <w:sz w:val="20"/>
        </w:rPr>
        <w:t>expectations about our ability to maintain or enhance our leadership position in the markets in which we participate;</w:t>
      </w:r>
    </w:p>
    <w:p>
      <w:pPr>
        <w:pStyle w:val="TextBody"/>
        <w:bidi w:val="0"/>
        <w:spacing w:before="0" w:after="240"/>
        <w:ind w:left="0" w:right="0" w:hanging="0"/>
        <w:jc w:val="both"/>
        <w:rPr/>
      </w:pPr>
      <w:r>
        <w:rPr/>
        <w:t>●</w:t>
      </w:r>
      <w:r>
        <w:rPr>
          <w:rFonts w:ascii="Times New Roman;Times;serif" w:hAnsi="Times New Roman;Times;serif"/>
          <w:sz w:val="20"/>
        </w:rPr>
        <w:t>future consumer demand and behavior;</w:t>
      </w:r>
    </w:p>
    <w:p>
      <w:pPr>
        <w:pStyle w:val="TextBody"/>
        <w:bidi w:val="0"/>
        <w:spacing w:before="0" w:after="240"/>
        <w:ind w:left="0" w:right="0" w:hanging="0"/>
        <w:jc w:val="both"/>
        <w:rPr/>
      </w:pPr>
      <w:r>
        <w:rPr/>
        <w:t>●</w:t>
      </w:r>
      <w:r>
        <w:rPr>
          <w:rFonts w:ascii="Times New Roman;Times;serif" w:hAnsi="Times New Roman;Times;serif"/>
          <w:sz w:val="20"/>
        </w:rPr>
        <w:t>future products and technology, and the expected availability and benefits of such products and technology;</w:t>
      </w:r>
    </w:p>
    <w:p>
      <w:pPr>
        <w:pStyle w:val="TextBody"/>
        <w:bidi w:val="0"/>
        <w:spacing w:before="0" w:after="240"/>
        <w:ind w:left="0" w:right="0" w:hanging="0"/>
        <w:jc w:val="both"/>
        <w:rPr/>
      </w:pPr>
      <w:r>
        <w:rPr/>
        <w:t>●</w:t>
      </w:r>
      <w:r>
        <w:rPr>
          <w:rFonts w:ascii="Times New Roman;Times;serif" w:hAnsi="Times New Roman;Times;serif"/>
          <w:sz w:val="20"/>
        </w:rPr>
        <w:t>development of regulatory frameworks for current and future technology;</w:t>
      </w:r>
    </w:p>
    <w:p>
      <w:pPr>
        <w:pStyle w:val="TextBody"/>
        <w:bidi w:val="0"/>
        <w:spacing w:before="0" w:after="240"/>
        <w:ind w:left="0" w:right="0" w:hanging="0"/>
        <w:jc w:val="both"/>
        <w:rPr/>
      </w:pPr>
      <w:r>
        <w:rPr/>
        <w:t>●</w:t>
      </w:r>
      <w:r>
        <w:rPr>
          <w:rFonts w:ascii="Times New Roman;Times;serif" w:hAnsi="Times New Roman;Times;serif"/>
          <w:sz w:val="20"/>
        </w:rPr>
        <w:t>projected cost and pricing trends;</w:t>
      </w:r>
    </w:p>
    <w:p>
      <w:pPr>
        <w:pStyle w:val="TextBody"/>
        <w:bidi w:val="0"/>
        <w:spacing w:before="0" w:after="240"/>
        <w:ind w:left="0" w:right="0" w:hanging="0"/>
        <w:jc w:val="both"/>
        <w:rPr/>
      </w:pPr>
      <w:r>
        <w:rPr/>
        <w:t>●</w:t>
      </w:r>
      <w:r>
        <w:rPr>
          <w:rFonts w:ascii="Times New Roman;Times;serif" w:hAnsi="Times New Roman;Times;serif"/>
          <w:sz w:val="20"/>
        </w:rPr>
        <w:t>future production capacity and product supply;</w:t>
      </w:r>
    </w:p>
    <w:p>
      <w:pPr>
        <w:pStyle w:val="TextBody"/>
        <w:bidi w:val="0"/>
        <w:spacing w:before="0" w:after="240"/>
        <w:ind w:left="0" w:right="0" w:hanging="0"/>
        <w:jc w:val="both"/>
        <w:rPr/>
      </w:pPr>
      <w:r>
        <w:rPr/>
        <w:t>●</w:t>
      </w:r>
      <w:r>
        <w:rPr>
          <w:rFonts w:ascii="Times New Roman;Times;serif" w:hAnsi="Times New Roman;Times;serif"/>
          <w:sz w:val="20"/>
        </w:rPr>
        <w:t>potential future benefits and competitive advantages associated with our technologies and architecture and the data we have accumulated;</w:t>
      </w:r>
    </w:p>
    <w:p>
      <w:pPr>
        <w:pStyle w:val="TextBody"/>
        <w:bidi w:val="0"/>
        <w:spacing w:before="0" w:after="240"/>
        <w:ind w:left="0" w:right="0" w:hanging="0"/>
        <w:jc w:val="both"/>
        <w:rPr/>
      </w:pPr>
      <w:r>
        <w:rPr/>
        <w:t>●</w:t>
      </w:r>
      <w:r>
        <w:rPr>
          <w:rFonts w:ascii="Times New Roman;Times;serif" w:hAnsi="Times New Roman;Times;serif"/>
          <w:sz w:val="20"/>
        </w:rPr>
        <w:t>the future purchase, use and availability of products, components and services supplied by third parties, including third-party IP and manufacturing services;</w:t>
      </w:r>
    </w:p>
    <w:p>
      <w:pPr>
        <w:pStyle w:val="TextBody"/>
        <w:bidi w:val="0"/>
        <w:spacing w:before="0" w:after="240"/>
        <w:ind w:left="0" w:right="0" w:hanging="0"/>
        <w:jc w:val="both"/>
        <w:rPr/>
      </w:pPr>
      <w:r>
        <w:rPr/>
        <w:t>●</w:t>
      </w:r>
      <w:r>
        <w:rPr>
          <w:rFonts w:ascii="Times New Roman;Times;serif" w:hAnsi="Times New Roman;Times;serif"/>
          <w:sz w:val="20"/>
        </w:rPr>
        <w:t>uncertain events or assumptions, including statements relating to our estimated vehicle production and market opportunity, potential production volumes associated with design wins and other characterizations of future events or circumstances;</w:t>
      </w:r>
    </w:p>
    <w:p>
      <w:pPr>
        <w:pStyle w:val="TextBody"/>
        <w:bidi w:val="0"/>
        <w:spacing w:before="0" w:after="240"/>
        <w:ind w:left="0" w:right="0" w:hanging="0"/>
        <w:jc w:val="both"/>
        <w:rPr/>
      </w:pPr>
      <w:r>
        <w:rPr/>
        <w:t>●</w:t>
      </w:r>
      <w:r>
        <w:rPr>
          <w:rFonts w:ascii="Times New Roman;Times;serif" w:hAnsi="Times New Roman;Times;serif"/>
          <w:sz w:val="20"/>
        </w:rPr>
        <w:t>future responses to and effects of the COVID-19 pandemic;</w:t>
      </w:r>
    </w:p>
    <w:p>
      <w:pPr>
        <w:pStyle w:val="TextBody"/>
        <w:bidi w:val="0"/>
        <w:spacing w:before="0" w:after="240"/>
        <w:ind w:left="0" w:right="0" w:hanging="0"/>
        <w:jc w:val="both"/>
        <w:rPr/>
      </w:pPr>
      <w:r>
        <w:rPr/>
        <w:t>●</w:t>
      </w:r>
      <w:r>
        <w:rPr>
          <w:rFonts w:ascii="Times New Roman;Times;serif" w:hAnsi="Times New Roman;Times;serif"/>
          <w:sz w:val="20"/>
        </w:rPr>
        <w:t>availability, uses, sufficiency and cost of capital and capital resources, including expected returns to stockholders such as dividends, and the expected timing of future dividends;</w:t>
      </w:r>
    </w:p>
    <w:p>
      <w:pPr>
        <w:pStyle w:val="TextBody"/>
        <w:bidi w:val="0"/>
        <w:spacing w:before="0" w:after="240"/>
        <w:ind w:left="0" w:right="0" w:hanging="0"/>
        <w:jc w:val="both"/>
        <w:rPr/>
      </w:pPr>
      <w:r>
        <w:rPr/>
        <w:t>●</w:t>
      </w:r>
      <w:r>
        <w:rPr>
          <w:rFonts w:ascii="Times New Roman;Times;serif" w:hAnsi="Times New Roman;Times;serif"/>
          <w:sz w:val="20"/>
        </w:rPr>
        <w:t>tax- and accounting-related expectations; and</w:t>
      </w:r>
    </w:p>
    <w:p>
      <w:pPr>
        <w:pStyle w:val="TextBody"/>
        <w:bidi w:val="0"/>
        <w:ind w:left="0" w:right="0" w:hanging="0"/>
        <w:jc w:val="both"/>
        <w:rPr/>
      </w:pPr>
      <w:r>
        <w:rPr/>
        <w:t>●</w:t>
      </w:r>
      <w:r>
        <w:rPr>
          <w:rFonts w:ascii="Times New Roman;Times;serif" w:hAnsi="Times New Roman;Times;serif"/>
          <w:sz w:val="20"/>
        </w:rPr>
        <w:t>other statements described in this report and under the sections entitled “Risk Factors,” “Management’s Discussion and Analysis of Financial Condition and Results of Operations” and “Business,” in our 2022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risk factors discussed under the section entitled “Risk Factors” included in our 2022 Form 10-K could cause our results to differ materially from those expressed in the forward-looking statements made in this Quarterly Report on Form 10-Q. There also may be other risks that are currently unknown to us or that we are unable to predict at this time.</w:t>
      </w:r>
    </w:p>
    <w:p>
      <w:pPr>
        <w:pStyle w:val="TextBody"/>
        <w:bidi w:val="0"/>
        <w:spacing w:before="0" w:after="240"/>
        <w:ind w:left="0" w:right="0" w:hanging="0"/>
        <w:jc w:val="left"/>
        <w:rPr>
          <w:rFonts w:ascii="Times New Roman;Times;serif" w:hAnsi="Times New Roman;Times;serif"/>
          <w:b/>
          <w:sz w:val="20"/>
        </w:rPr>
      </w:pPr>
      <w:bookmarkStart w:id="1268" w:name="Item3QuantitativeandQualitativeDisclosur"/>
      <w:bookmarkStart w:id="1269" w:name="_71725341_f3c7_461e_aaf2_8d65c9e0d425"/>
      <w:bookmarkEnd w:id="1268"/>
      <w:bookmarkEnd w:id="1269"/>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New Israeli Shekel had strengthened by 10% against the U.S. dollar, it would have decreased our cash flows by approximately $29 million in the nine months ended September 30, 2023. This exposure to U.S. dollar / New Israeli Shekel exchange rates results from the six months ended September 30, 2023, since in the first quarter of 2023 we were still affected by the hedging program with Intel and therefore the effect of the exchange rates would not have had a material impact on our cash flows. The effect of a 10% change in the U.S. dollar / New Israeli Shekel exchange rate would not have had a material impact on our cash flows in the nine months ended October 1, 2022 due to our hedging services agreement with Intel.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70" w:name="Item4ControlsandProcedures_574241"/>
      <w:bookmarkStart w:id="1271" w:name="_4d82c603_65c6_4a3b_8a96_6845a87b45ed"/>
      <w:bookmarkEnd w:id="1270"/>
      <w:bookmarkEnd w:id="1271"/>
      <w:r>
        <w:rPr>
          <w:rFonts w:ascii="Times New Roman;Times;serif" w:hAnsi="Times New Roman;Times;serif"/>
          <w:b/>
          <w:sz w:val="20"/>
        </w:rPr>
        <w:t>Item 4. Controls and Procedures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that occurred during the three months ended September 30, 2023 that have materially affected, or are reasonably likely to materially affect, our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72" w:name="PARTIIOTHERINFORMATION_796665"/>
      <w:bookmarkStart w:id="1273" w:name="_bc402a3e_a92d_4b86_94d1_bea424d1bb83"/>
      <w:bookmarkEnd w:id="1272"/>
      <w:bookmarkEnd w:id="1273"/>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74" w:name="Item1LegalProceedings_436997"/>
      <w:bookmarkEnd w:id="1274"/>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sz w:val="20"/>
        </w:rPr>
      </w:pPr>
      <w:bookmarkStart w:id="1275" w:name="Item1ARiskFactors_542062"/>
      <w:bookmarkStart w:id="1276" w:name="_68ec0693_ee9f_4b07_b594_870995c93782"/>
      <w:bookmarkEnd w:id="1275"/>
      <w:bookmarkEnd w:id="1276"/>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the risk factors as disclosed in our 2022 Form 10-K. The risks described in the section entitled “Item 1A. Risk Factors” in our 2022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pStyle w:val="TextBody"/>
        <w:bidi w:val="0"/>
        <w:spacing w:before="0" w:after="240"/>
        <w:ind w:left="0" w:right="0" w:hanging="0"/>
        <w:jc w:val="left"/>
        <w:rPr>
          <w:rFonts w:ascii="Times New Roman;Times;serif" w:hAnsi="Times New Roman;Times;serif"/>
          <w:b/>
          <w:sz w:val="20"/>
        </w:rPr>
      </w:pPr>
      <w:bookmarkStart w:id="1277" w:name="Item2UnregisteredSalesofEquitySecurities"/>
      <w:bookmarkStart w:id="1278" w:name="_fd5c8222_4684_404c_9235_c5bae7368c32"/>
      <w:bookmarkEnd w:id="1277"/>
      <w:bookmarkEnd w:id="1278"/>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 Sale of Unregistered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sales of unregistered equity securities during the three months ended September 30, 2023.</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279" w:name="Item3DefaultsUponSeniorSecurities_197938"/>
      <w:bookmarkStart w:id="1280" w:name="_69d40dbd_bf36_4bc7_905f_6599ffe662d7"/>
      <w:bookmarkEnd w:id="1279"/>
      <w:bookmarkEnd w:id="1280"/>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281" w:name="Item4MineSafetyDisclosures_560402"/>
      <w:bookmarkStart w:id="1282" w:name="_d1e9061e_97a7_427f_a867_f1e7596e2226"/>
      <w:bookmarkEnd w:id="1281"/>
      <w:bookmarkEnd w:id="1282"/>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283" w:name="Item5OtherInformation_30350"/>
      <w:bookmarkStart w:id="1284" w:name="_43d4dbdb_e5fb_45e5_99ff_659cec5383a7"/>
      <w:bookmarkEnd w:id="1283"/>
      <w:bookmarkEnd w:id="1284"/>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2023, none of our directors or executive officers adopted or terminated any contract, instruction or written plan for the purchase or sale of Mobileye securities that was intended to satisfy the affirmative defense conditions of Rule 10b5-1(c) or any “non-Rule 10b5-1” trading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85" w:name="Item6Exhibits_915444"/>
      <w:bookmarkStart w:id="1286" w:name="_0861550d_62b1_40dd_b80a_32d8be29e835"/>
      <w:bookmarkEnd w:id="1285"/>
      <w:bookmarkEnd w:id="1286"/>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499"/>
        <w:gridCol w:w="326"/>
        <w:gridCol w:w="9380"/>
      </w:tblGrid>
      <w:tr>
        <w:trPr/>
        <w:tc>
          <w:tcPr>
            <w:tcW w:w="4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956300" cy="175260"/>
                      <wp:effectExtent l="0" t="0" r="0" b="0"/>
                      <wp:wrapNone/>
                      <wp:docPr id="422" name="Frame422"/>
                      <a:graphic xmlns:a="http://schemas.openxmlformats.org/drawingml/2006/main">
                        <a:graphicData uri="http://schemas.microsoft.com/office/word/2010/wordprocessingShape">
                          <wps:wsp>
                            <wps:cNvSpPr txBox="1"/>
                            <wps:spPr>
                              <a:xfrm>
                                <a:off x="0" y="0"/>
                                <a:ext cx="595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    </w:t>
            </w:r>
          </w:p>
        </w:tc>
        <w:tc>
          <w:tcPr>
            <w:tcW w:w="9380" w:type="dxa"/>
            <w:tcBorders/>
            <w:vAlign w:val="center"/>
          </w:tcPr>
          <w:p>
            <w:pPr>
              <w:pStyle w:val="TableContents"/>
              <w:bidi w:val="0"/>
              <w:spacing w:before="0" w:after="0"/>
              <w:ind w:left="0" w:right="0" w:hanging="0"/>
              <w:jc w:val="both"/>
              <w:rPr/>
            </w:pPr>
            <w:hyperlink w:anchor="mbly-20230930xex31d1.htm">
              <w:r>
                <w:rPr>
                  <w:rStyle w:val="InternetLink"/>
                  <w:rFonts w:ascii="Times New Roman;Times;serif" w:hAnsi="Times New Roman;Times;serif"/>
                  <w:b w:val="false"/>
                  <w:i w:val="false"/>
                  <w:caps w:val="false"/>
                  <w:smallCaps w:val="false"/>
                  <w:sz w:val="20"/>
                </w:rPr>
                <w:t>Certification of the Chief Executive Officer pursuant to Section 302 of the Sarbanes-Oxley Act of 2002.</w:t>
              </w:r>
            </w:hyperlink>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30930xex31d2.htm">
              <w:r>
                <w:rPr>
                  <w:rStyle w:val="InternetLink"/>
                  <w:rFonts w:ascii="Times New Roman;Times;serif" w:hAnsi="Times New Roman;Times;serif"/>
                  <w:b w:val="false"/>
                  <w:i w:val="false"/>
                  <w:caps w:val="false"/>
                  <w:smallCaps w:val="false"/>
                  <w:sz w:val="20"/>
                </w:rPr>
                <w:t>Certification of the Chief Financial Officer pursuant to Section 302 of the Sarbanes-Oxley Act of 2002.</w:t>
              </w:r>
            </w:hyperlink>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30930xex32d1.htm">
              <w:r>
                <w:rPr>
                  <w:rStyle w:val="InternetLink"/>
                  <w:rFonts w:ascii="Times New Roman;Times;serif" w:hAnsi="Times New Roman;Times;serif"/>
                  <w:b w:val="false"/>
                  <w:i w:val="false"/>
                  <w:caps w:val="false"/>
                  <w:smallCaps w:val="false"/>
                  <w:sz w:val="20"/>
                </w:rPr>
                <w:t>Certificate of the Chief Executive Officer of Mobileye Global Inc. pursuant to 18 U.S.C. § 1350 as adopted pursuant to Section 906 of the Sarbanes-Oxley Act of 2002.</w:t>
              </w:r>
            </w:hyperlink>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pPr>
            <w:hyperlink w:anchor="mbly-20230930xex32d2.htm">
              <w:r>
                <w:rPr>
                  <w:rStyle w:val="InternetLink"/>
                  <w:rFonts w:ascii="Times New Roman;Times;serif" w:hAnsi="Times New Roman;Times;serif"/>
                  <w:b w:val="false"/>
                  <w:i w:val="false"/>
                  <w:caps w:val="false"/>
                  <w:smallCaps w:val="false"/>
                  <w:sz w:val="20"/>
                </w:rPr>
                <w:t>Certificate of the Chief Financial Officer of Mobileye Global Inc. pursuant to 18 U.S.C. § 1350 as adopted pursuant to Section 906 of the Sarbanes-Oxley Act of 2002.</w:t>
              </w:r>
            </w:hyperlink>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statements from Mobileye Global Inc.’s Quarterly Report on Form 10-Q for the three months ended September 30, 2023, filed with the Securities and Exchange Commission on November 9, 2023,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tc>
      </w:tr>
      <w:tr>
        <w:trPr/>
        <w:tc>
          <w:tcPr>
            <w:tcW w:w="49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287" w:name="SIGNATURES_811601"/>
      <w:bookmarkStart w:id="1288" w:name="_e0468033_3964_482c_a937_b9b02eff488c"/>
      <w:bookmarkEnd w:id="1287"/>
      <w:bookmarkEnd w:id="1288"/>
      <w:r>
        <w:rPr>
          <w:rFonts w:ascii="Times New Roman;Times;serif" w:hAnsi="Times New Roman;Times;serif"/>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68" w:type="dxa"/>
        <w:jc w:val="left"/>
        <w:tblInd w:w="0" w:type="dxa"/>
        <w:tblLayout w:type="fixed"/>
        <w:tblCellMar>
          <w:top w:w="0" w:type="dxa"/>
          <w:left w:w="0" w:type="dxa"/>
          <w:bottom w:w="0" w:type="dxa"/>
          <w:right w:w="0" w:type="dxa"/>
        </w:tblCellMar>
      </w:tblPr>
      <w:tblGrid>
        <w:gridCol w:w="2101"/>
        <w:gridCol w:w="406"/>
        <w:gridCol w:w="3961"/>
      </w:tblGrid>
      <w:tr>
        <w:trPr/>
        <w:tc>
          <w:tcPr>
            <w:tcW w:w="2101"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Mobileye Global Inc.</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Professor Amnon Shashua</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Professor Amnon Shashua</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President and Director</w:t>
              <w:br/>
              <w:t>(Principal Executive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right"/>
        <w:rPr>
          <w:rFonts w:ascii="Times New Roman;Times;serif" w:hAnsi="Times New Roman;Times;serif"/>
          <w:b/>
          <w:sz w:val="20"/>
        </w:rPr>
      </w:pPr>
      <w:bookmarkStart w:id="1289" w:name="mbly-20230930xex31d1.htm"/>
      <w:bookmarkStart w:id="1290" w:name="ksmbly20230930xex31d1"/>
      <w:bookmarkEnd w:id="1289"/>
      <w:bookmarkEnd w:id="129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Professor </w:t>
      </w:r>
      <w:r>
        <w:rPr>
          <w:rFonts w:ascii="Times New Roman;Times;serif" w:hAnsi="Times New Roman;Times;serif"/>
          <w:color w:val="231F20"/>
          <w:sz w:val="20"/>
        </w:rPr>
        <w:t>Amnon Shashua</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6258" w:type="dxa"/>
        <w:jc w:val="left"/>
        <w:tblInd w:w="0" w:type="dxa"/>
        <w:tblLayout w:type="fixed"/>
        <w:tblCellMar>
          <w:top w:w="0" w:type="dxa"/>
          <w:left w:w="0" w:type="dxa"/>
          <w:bottom w:w="0" w:type="dxa"/>
          <w:right w:w="0" w:type="dxa"/>
        </w:tblCellMar>
      </w:tblPr>
      <w:tblGrid>
        <w:gridCol w:w="23"/>
        <w:gridCol w:w="245"/>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5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[Paragraph intentionally omitted pursuant to Exchange Act Rule 13a-14];</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tbl>
      <w:tblPr>
        <w:tblW w:w="5808" w:type="dxa"/>
        <w:jc w:val="center"/>
        <w:tblInd w:w="0" w:type="dxa"/>
        <w:tblLayout w:type="fixed"/>
        <w:tblCellMar>
          <w:top w:w="0" w:type="dxa"/>
          <w:left w:w="0" w:type="dxa"/>
          <w:bottom w:w="0" w:type="dxa"/>
          <w:right w:w="0" w:type="dxa"/>
        </w:tblCellMar>
      </w:tblPr>
      <w:tblGrid>
        <w:gridCol w:w="2101"/>
        <w:gridCol w:w="406"/>
        <w:gridCol w:w="330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4135" cy="175260"/>
                      <wp:effectExtent l="0" t="0" r="0" b="0"/>
                      <wp:wrapNone/>
                      <wp:docPr id="423" name="Frame423"/>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96770" cy="175260"/>
                      <wp:effectExtent l="0" t="0" r="0" b="0"/>
                      <wp:wrapNone/>
                      <wp:docPr id="424" name="Frame424"/>
                      <a:graphic xmlns:a="http://schemas.openxmlformats.org/drawingml/2006/main">
                        <a:graphicData uri="http://schemas.microsoft.com/office/word/2010/wordprocessingShape">
                          <wps:wsp>
                            <wps:cNvSpPr txBox="1"/>
                            <wps:spPr>
                              <a:xfrm>
                                <a:off x="0" y="0"/>
                                <a:ext cx="2096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Amnon Shashua</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01" w:type="dxa"/>
            <w:tcBorders/>
            <w:vAlign w:val="center"/>
          </w:tcPr>
          <w:p>
            <w:pPr>
              <w:pStyle w:val="TableContents"/>
              <w:bidi w:val="0"/>
              <w:spacing w:before="0" w:after="0"/>
              <w:ind w:left="0" w:right="0" w:firstLine="13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91" w:name="mbly-20230930xex31d2.htm"/>
      <w:bookmarkStart w:id="1292" w:name="ksmbly20230930xex31d2"/>
      <w:bookmarkEnd w:id="1291"/>
      <w:bookmarkEnd w:id="129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color w:val="231F20"/>
          <w:sz w:val="20"/>
        </w:rPr>
        <w:t>Moran Shemesh Rojansky</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6258" w:type="dxa"/>
        <w:jc w:val="left"/>
        <w:tblInd w:w="0" w:type="dxa"/>
        <w:tblLayout w:type="fixed"/>
        <w:tblCellMar>
          <w:top w:w="0" w:type="dxa"/>
          <w:left w:w="0" w:type="dxa"/>
          <w:bottom w:w="0" w:type="dxa"/>
          <w:right w:w="0" w:type="dxa"/>
        </w:tblCellMar>
      </w:tblPr>
      <w:tblGrid>
        <w:gridCol w:w="23"/>
        <w:gridCol w:w="245"/>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intentionally omitted pursuant to Exchange Act Rule 13a-14];</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tbl>
      <w:tblPr>
        <w:tblW w:w="6273" w:type="dxa"/>
        <w:jc w:val="center"/>
        <w:tblInd w:w="0" w:type="dxa"/>
        <w:tblLayout w:type="fixed"/>
        <w:tblCellMar>
          <w:top w:w="0" w:type="dxa"/>
          <w:left w:w="0" w:type="dxa"/>
          <w:bottom w:w="0" w:type="dxa"/>
          <w:right w:w="0" w:type="dxa"/>
        </w:tblCellMar>
      </w:tblPr>
      <w:tblGrid>
        <w:gridCol w:w="2101"/>
        <w:gridCol w:w="406"/>
        <w:gridCol w:w="376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391410" cy="175260"/>
                      <wp:effectExtent l="0" t="0" r="0" b="0"/>
                      <wp:wrapNone/>
                      <wp:docPr id="425" name="Frame425"/>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93" w:name="mbly-20230930xex32d1.htm"/>
      <w:bookmarkStart w:id="1294" w:name="ksmbly20230930xex32d1"/>
      <w:bookmarkEnd w:id="1293"/>
      <w:bookmarkEnd w:id="1294"/>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Certificate of the Chief Executive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September 30, 2023 as filed with the Securities and Exchange Commission on the date hereof (the “Report”), I, </w:t>
      </w:r>
      <w:r>
        <w:rPr>
          <w:rFonts w:ascii="Times New Roman;Times;serif" w:hAnsi="Times New Roman;Times;serif"/>
          <w:color w:val="231F20"/>
          <w:sz w:val="20"/>
        </w:rPr>
        <w:t>Professor Amnon</w:t>
      </w:r>
      <w:r>
        <w:rPr>
          <w:rFonts w:ascii="Times New Roman;Times;serif" w:hAnsi="Times New Roman;Times;serif"/>
          <w:color w:val="231F20"/>
          <w:spacing w:val="-1"/>
          <w:sz w:val="20"/>
        </w:rPr>
        <w:t xml:space="preserve"> </w:t>
      </w:r>
      <w:r>
        <w:rPr>
          <w:rFonts w:ascii="Times New Roman;Times;serif" w:hAnsi="Times New Roman;Times;serif"/>
          <w:color w:val="231F20"/>
          <w:sz w:val="20"/>
        </w:rPr>
        <w:t>Shashua</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Mobileye Global Inc.</w:t>
            </w:r>
          </w:p>
        </w:tc>
      </w:tr>
    </w:tbl>
    <w:tbl>
      <w:tblPr>
        <w:tblW w:w="5808" w:type="dxa"/>
        <w:jc w:val="left"/>
        <w:tblInd w:w="0" w:type="dxa"/>
        <w:tblLayout w:type="fixed"/>
        <w:tblCellMar>
          <w:top w:w="0" w:type="dxa"/>
          <w:left w:w="0" w:type="dxa"/>
          <w:bottom w:w="0" w:type="dxa"/>
          <w:right w:w="0" w:type="dxa"/>
        </w:tblCellMar>
      </w:tblPr>
      <w:tblGrid>
        <w:gridCol w:w="2101"/>
        <w:gridCol w:w="406"/>
        <w:gridCol w:w="330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06" w:type="dxa"/>
            <w:tcBorders/>
            <w:vAlign w:val="center"/>
          </w:tcPr>
          <w:p>
            <w:pPr>
              <w:pStyle w:val="TableContents"/>
              <w:bidi w:val="0"/>
              <w:spacing w:before="0" w:after="200"/>
              <w:ind w:left="0" w:right="0" w:hanging="0"/>
              <w:jc w:val="left"/>
              <w:rPr/>
            </w:pPr>
            <w:r>
              <w:rPr/>
              <w:t>​</w:t>
            </w:r>
          </w:p>
        </w:tc>
        <w:tc>
          <w:tcPr>
            <w:tcW w:w="3301" w:type="dxa"/>
            <w:tcBorders/>
            <w:vAlign w:val="center"/>
          </w:tcPr>
          <w:p>
            <w:pPr>
              <w:pStyle w:val="TableContents"/>
              <w:bidi w:val="0"/>
              <w:spacing w:before="0" w:after="200"/>
              <w:ind w:left="0" w:right="0" w:hanging="0"/>
              <w:jc w:val="left"/>
              <w:rPr/>
            </w:pPr>
            <w:r>
              <w:rPr/>
              <w:t>​</w:t>
            </w:r>
          </w:p>
        </w:tc>
      </w:tr>
      <w:tr>
        <w:trPr/>
        <w:tc>
          <w:tcPr>
            <w:tcW w:w="2101" w:type="dxa"/>
            <w:tcBorders/>
            <w:vAlign w:val="center"/>
          </w:tcPr>
          <w:p>
            <w:pPr>
              <w:pStyle w:val="TableContents"/>
              <w:bidi w:val="0"/>
              <w:spacing w:before="0" w:after="20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Amnon Shashua</w:t>
            </w:r>
          </w:p>
        </w:tc>
      </w:tr>
      <w:tr>
        <w:trPr/>
        <w:tc>
          <w:tcPr>
            <w:tcW w:w="2101" w:type="dxa"/>
            <w:tcBorders/>
            <w:vAlign w:val="center"/>
          </w:tcPr>
          <w:p>
            <w:pPr>
              <w:pStyle w:val="TableContents"/>
              <w:bidi w:val="0"/>
              <w:spacing w:before="0" w:after="200"/>
              <w:ind w:left="0" w:right="0" w:hanging="0"/>
              <w:jc w:val="left"/>
              <w:rPr/>
            </w:pPr>
            <w:r>
              <w:rPr/>
              <w:t>​</w:t>
            </w:r>
          </w:p>
        </w:tc>
        <w:tc>
          <w:tcPr>
            <w:tcW w:w="406" w:type="dxa"/>
            <w:tcBorders/>
            <w:vAlign w:val="center"/>
          </w:tcPr>
          <w:p>
            <w:pPr>
              <w:pStyle w:val="TableContents"/>
              <w:bidi w:val="0"/>
              <w:spacing w:before="0" w:after="200"/>
              <w:ind w:left="0" w:right="0" w:hanging="0"/>
              <w:jc w:val="left"/>
              <w:rPr/>
            </w:pPr>
            <w:r>
              <w:rPr/>
              <w:t>​</w:t>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231F20"/>
                <w:sz w:val="20"/>
              </w:rPr>
              <w:t>Professor Amnon</w:t>
            </w:r>
            <w:r>
              <w:rPr>
                <w:rFonts w:ascii="Times New Roman;Times;serif" w:hAnsi="Times New Roman;Times;serif"/>
                <w:color w:val="231F20"/>
                <w:spacing w:val="-1"/>
                <w:sz w:val="20"/>
              </w:rPr>
              <w:t xml:space="preserve"> </w:t>
            </w:r>
            <w:r>
              <w:rPr>
                <w:rFonts w:ascii="Times New Roman;Times;serif" w:hAnsi="Times New Roman;Times;serif"/>
                <w:color w:val="231F20"/>
                <w:sz w:val="20"/>
              </w:rPr>
              <w:t>Shashua</w:t>
            </w:r>
          </w:p>
        </w:tc>
      </w:tr>
      <w:tr>
        <w:trPr/>
        <w:tc>
          <w:tcPr>
            <w:tcW w:w="2101" w:type="dxa"/>
            <w:tcBorders/>
            <w:vAlign w:val="center"/>
          </w:tcPr>
          <w:p>
            <w:pPr>
              <w:pStyle w:val="TableContents"/>
              <w:bidi w:val="0"/>
              <w:spacing w:before="0" w:after="200"/>
              <w:ind w:left="0" w:right="0" w:hanging="0"/>
              <w:jc w:val="left"/>
              <w:rPr/>
            </w:pPr>
            <w:r>
              <w:rPr/>
              <w:t>​</w:t>
            </w:r>
          </w:p>
        </w:tc>
        <w:tc>
          <w:tcPr>
            <w:tcW w:w="406" w:type="dxa"/>
            <w:tcBorders/>
            <w:vAlign w:val="center"/>
          </w:tcPr>
          <w:p>
            <w:pPr>
              <w:pStyle w:val="TableContents"/>
              <w:bidi w:val="0"/>
              <w:spacing w:before="0" w:after="20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w:t>
            </w:r>
          </w:p>
        </w:tc>
      </w:tr>
      <w:tr>
        <w:trPr/>
        <w:tc>
          <w:tcPr>
            <w:tcW w:w="2101" w:type="dxa"/>
            <w:tcBorders/>
            <w:vAlign w:val="center"/>
          </w:tcPr>
          <w:p>
            <w:pPr>
              <w:pStyle w:val="TableContents"/>
              <w:bidi w:val="0"/>
              <w:spacing w:before="0" w:after="200"/>
              <w:ind w:left="0" w:right="0" w:hanging="0"/>
              <w:jc w:val="left"/>
              <w:rPr/>
            </w:pPr>
            <w:r>
              <w:rPr/>
              <w:t>​</w:t>
            </w:r>
          </w:p>
        </w:tc>
        <w:tc>
          <w:tcPr>
            <w:tcW w:w="406" w:type="dxa"/>
            <w:tcBorders/>
            <w:vAlign w:val="center"/>
          </w:tcPr>
          <w:p>
            <w:pPr>
              <w:pStyle w:val="TableContents"/>
              <w:bidi w:val="0"/>
              <w:spacing w:before="0" w:after="20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101" w:type="dxa"/>
            <w:tcBorders/>
            <w:vAlign w:val="center"/>
          </w:tcPr>
          <w:p>
            <w:pPr>
              <w:pStyle w:val="TableContents"/>
              <w:bidi w:val="0"/>
              <w:spacing w:before="0" w:after="200"/>
              <w:ind w:left="0" w:right="0" w:hanging="0"/>
              <w:jc w:val="left"/>
              <w:rPr/>
            </w:pPr>
            <w:r>
              <w:rPr/>
              <w:t>​</w:t>
            </w:r>
          </w:p>
        </w:tc>
        <w:tc>
          <w:tcPr>
            <w:tcW w:w="406" w:type="dxa"/>
            <w:tcBorders/>
            <w:vAlign w:val="center"/>
          </w:tcPr>
          <w:p>
            <w:pPr>
              <w:pStyle w:val="TableContents"/>
              <w:bidi w:val="0"/>
              <w:spacing w:before="0" w:after="200"/>
              <w:ind w:left="0" w:right="0" w:hanging="0"/>
              <w:jc w:val="left"/>
              <w:rPr/>
            </w:pPr>
            <w:r>
              <w:rPr/>
              <w:t>​</w:t>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427">
                <wp:simplePos x="0" y="0"/>
                <wp:positionH relativeFrom="page">
                  <wp:posOffset>0</wp:posOffset>
                </wp:positionH>
                <wp:positionV relativeFrom="line">
                  <wp:posOffset>635</wp:posOffset>
                </wp:positionV>
                <wp:extent cx="6480175" cy="175260"/>
                <wp:effectExtent l="0" t="0" r="0" b="0"/>
                <wp:wrapNone/>
                <wp:docPr id="426"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95" w:name="mbly-20230930xex32d2.htm"/>
      <w:bookmarkStart w:id="1296" w:name="ksmbly20230930xex32d2"/>
      <w:bookmarkEnd w:id="1295"/>
      <w:bookmarkEnd w:id="1296"/>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 32.2: Certificate of the Chief Financial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September 30, 2023 as filed with the Securities and Exchange Commission on the date hereof (the “Report”), I, </w:t>
      </w:r>
      <w:r>
        <w:rPr>
          <w:rFonts w:ascii="Times New Roman;Times;serif" w:hAnsi="Times New Roman;Times;serif"/>
          <w:color w:val="231F20"/>
          <w:sz w:val="20"/>
        </w:rPr>
        <w:t>Moran Shemesh Rojansky</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Mobileye Global Inc.</w:t>
            </w:r>
          </w:p>
        </w:tc>
      </w:tr>
    </w:tbl>
    <w:tbl>
      <w:tblPr>
        <w:tblW w:w="6273" w:type="dxa"/>
        <w:jc w:val="center"/>
        <w:tblInd w:w="0" w:type="dxa"/>
        <w:tblLayout w:type="fixed"/>
        <w:tblCellMar>
          <w:top w:w="0" w:type="dxa"/>
          <w:left w:w="0" w:type="dxa"/>
          <w:bottom w:w="0" w:type="dxa"/>
          <w:right w:w="0" w:type="dxa"/>
        </w:tblCellMar>
      </w:tblPr>
      <w:tblGrid>
        <w:gridCol w:w="2101"/>
        <w:gridCol w:w="406"/>
        <w:gridCol w:w="3766"/>
      </w:tblGrid>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22774</Words>
  <Characters>122907</Characters>
  <CharactersWithSpaces>147007</CharactersWithSpaces>
  <Paragraphs>6076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