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 Mobileye B.V.</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Har Hotzvim, 13 Hartom Street</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P.O. Box 45157</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Jerusalem 9777513, Israel</w:t>
      </w:r>
    </w:p>
    <w:p>
      <w:pPr>
        <w:spacing w:after="0" w:line="207" w:lineRule="exact"/>
        <w:rPr>
          <w:sz w:val="24"/>
          <w:szCs w:val="24"/>
          <w:color w:val="auto"/>
        </w:rPr>
      </w:pPr>
    </w:p>
    <w:p>
      <w:pPr>
        <w:ind w:left="8920"/>
        <w:spacing w:after="0"/>
        <w:rPr>
          <w:sz w:val="20"/>
          <w:szCs w:val="20"/>
          <w:color w:val="auto"/>
        </w:rPr>
      </w:pPr>
      <w:r>
        <w:rPr>
          <w:rFonts w:ascii="Times New Roman" w:cs="Times New Roman" w:eastAsia="Times New Roman" w:hAnsi="Times New Roman"/>
          <w:sz w:val="18"/>
          <w:szCs w:val="18"/>
          <w:color w:val="auto"/>
        </w:rPr>
        <w:t>October 24,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EMAIL &amp;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tbl>
      <w:tblPr>
        <w:tblLayout w:type="fixed"/>
        <w:tblInd w:w="126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Mobileye Global Inc. (the “Company”)</w:t>
            </w:r>
          </w:p>
        </w:tc>
      </w:tr>
      <w:tr>
        <w:trPr>
          <w:trHeight w:val="194"/>
        </w:trPr>
        <w:tc>
          <w:tcPr>
            <w:tcW w:w="560" w:type="dxa"/>
            <w:vAlign w:val="bottom"/>
          </w:tcPr>
          <w:p>
            <w:pPr>
              <w:spacing w:after="0"/>
              <w:rPr>
                <w:sz w:val="16"/>
                <w:szCs w:val="16"/>
                <w:color w:val="auto"/>
              </w:rPr>
            </w:pPr>
          </w:p>
        </w:tc>
        <w:tc>
          <w:tcPr>
            <w:tcW w:w="48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Registration Statement on Form S-1 (Registration No. 333-267685)</w:t>
            </w:r>
          </w:p>
        </w:tc>
      </w:tr>
    </w:tbl>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Rule 461(a) of the General Rules and Regulations under the Securities Act of 1933, as amended, we respectfully request that the effective date of the Company’s Registration Statement on Form S-1 (File No. 333-267685) be accelerated by the Securities and Exchange Commission to 4:00 p.m. Washington D.C. time on October 25, 2022, or as soon as practicable thereafter.</w:t>
      </w:r>
    </w:p>
    <w:p>
      <w:pPr>
        <w:spacing w:after="0" w:line="176" w:lineRule="exact"/>
        <w:rPr>
          <w:sz w:val="24"/>
          <w:szCs w:val="24"/>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request that we be notified of such effectiveness by a telephone call to Michelle Gasaway of Skadden, Arps, Slate, Meagher &amp; Flom LLP at (213) 687-5122 and that such effectiveness also be confirmed in writing.</w:t>
      </w:r>
    </w:p>
    <w:p>
      <w:pPr>
        <w:spacing w:after="0" w:line="162"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Mobileye Global Inc.</w:t>
      </w:r>
    </w:p>
    <w:p>
      <w:pPr>
        <w:spacing w:after="0" w:line="225" w:lineRule="exact"/>
        <w:rPr>
          <w:sz w:val="24"/>
          <w:szCs w:val="24"/>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Anat Heller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Anat Heller</w:t>
      </w:r>
    </w:p>
    <w:p>
      <w:pPr>
        <w:spacing w:after="0" w:line="23" w:lineRule="exact"/>
        <w:rPr>
          <w:sz w:val="24"/>
          <w:szCs w:val="24"/>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5" w:lineRule="exact"/>
        <w:rPr>
          <w:sz w:val="24"/>
          <w:szCs w:val="24"/>
          <w:color w:val="auto"/>
        </w:rPr>
      </w:pPr>
    </w:p>
    <w:p>
      <w:pPr>
        <w:ind w:left="460" w:right="7460" w:hanging="452"/>
        <w:spacing w:after="0" w:line="284"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Skadden, Arps, Slate, Meagher &amp; Flom LLP </w:t>
      </w:r>
      <w:r>
        <w:rPr>
          <w:rFonts w:ascii="Times New Roman" w:cs="Times New Roman" w:eastAsia="Times New Roman" w:hAnsi="Times New Roman"/>
          <w:sz w:val="18"/>
          <w:szCs w:val="18"/>
          <w:color w:val="auto"/>
        </w:rPr>
        <w:t>Gregg A. Noel and P. Michelle Gasaway</w:t>
      </w:r>
    </w:p>
    <w:p>
      <w:pPr>
        <w:spacing w:after="0" w:line="158" w:lineRule="exact"/>
        <w:rPr>
          <w:sz w:val="24"/>
          <w:szCs w:val="24"/>
          <w:color w:val="auto"/>
        </w:rPr>
      </w:pPr>
    </w:p>
    <w:p>
      <w:pPr>
        <w:ind w:left="460" w:right="8780" w:hanging="452"/>
        <w:spacing w:after="0" w:line="284"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Sullivan &amp; Cromwell LLP </w:t>
      </w:r>
      <w:r>
        <w:rPr>
          <w:rFonts w:ascii="Times New Roman" w:cs="Times New Roman" w:eastAsia="Times New Roman" w:hAnsi="Times New Roman"/>
          <w:sz w:val="18"/>
          <w:szCs w:val="18"/>
          <w:color w:val="auto"/>
        </w:rPr>
        <w:t>John L. Savva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20"/>
      </w:cols>
      <w:pgMar w:left="320" w:top="46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29"/>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2022-11-23T23:08:39Z</dcterms:created>
  <dcterms:modified xsi:type="dcterms:W3CDTF">2022-11-23T23:08:39Z</dcterms:modified>
</cp:coreProperties>
</file>