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bly-20240629x10q.htm"/>
        <w:bookmarkStart w:id="1" w:name="ksmbly20240629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both"/>
        <w:rPr/>
      </w:pPr>
      <w:r>
        <w:rPr/>
        <w:t>​</w:t>
      </w:r>
    </w:p>
    <w:p>
      <w:pPr>
        <w:pStyle w:val="TextBody"/>
        <w:bidi w:val="0"/>
        <w:spacing w:before="0" w:after="60"/>
        <w:ind w:left="0" w:right="0" w:hanging="0"/>
        <w:jc w:val="center"/>
        <w:rPr>
          <w:rFonts w:ascii="Times New Roman;Times;serif" w:hAnsi="Times New Roman;Times;serif"/>
          <w:b/>
          <w:sz w:val="32"/>
        </w:rPr>
      </w:pPr>
      <w:bookmarkStart w:id="2" w:name="_27c7e0d5_bad2_4cb9_ba71_533e5344013f"/>
      <w:bookmarkEnd w:id="2"/>
      <w:r>
        <w:rPr>
          <w:rFonts w:ascii="Times New Roman;Times;serif" w:hAnsi="Times New Roman;Times;serif"/>
          <w:b/>
          <w:sz w:val="32"/>
        </w:rPr>
        <w:t>UNITED STATES SECURITIES AND EXCHANGE COMMISSION</w:t>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8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(Mark One)</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For the quarterly period ended </w:t>
      </w:r>
      <w:r>
        <w:rPr>
          <w:rFonts w:ascii="Times New Roman;Times;serif" w:hAnsi="Times New Roman;Times;serif"/>
          <w:b/>
          <w:i w:val="false"/>
          <w:caps w:val="false"/>
          <w:smallCaps w:val="false"/>
          <w:sz w:val="20"/>
        </w:rPr>
        <w:t>June 29, 2024</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OR</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Commission file number 001-41541</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Mobileye Global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cxeZK39hm0eeU_LnIo_nTg_3_2"/>
      <w:bookmarkStart w:id="4" w:name="Tc_a8UkTxrPDkmSVd07NCwV9g_3_0"/>
      <w:bookmarkStart w:id="5" w:name="Tc_Zam3Z6octEK9KPDuDNs9ZA_2_2"/>
      <w:bookmarkStart w:id="6" w:name="Tc_2yo8smTAl0uhVKNjlITH4A_2_0"/>
      <w:bookmarkStart w:id="7" w:name="Tc_AxmIz2WqA0WznAwaDFNF7g_1_2"/>
      <w:bookmarkStart w:id="8" w:name="Tc_LDoVpzONk0KYXP7mJ4D9tw_1_0"/>
      <w:bookmarkStart w:id="9" w:name="_2ba46547_6385_420a_bba6_576e9f27ef27"/>
      <w:bookmarkStart w:id="10" w:name="Tc_cxeZK39hm0eeU_LnIo_nTg_3_2"/>
      <w:bookmarkStart w:id="11" w:name="Tc_a8UkTxrPDkmSVd07NCwV9g_3_0"/>
      <w:bookmarkStart w:id="12" w:name="Tc_Zam3Z6octEK9KPDuDNs9ZA_2_2"/>
      <w:bookmarkStart w:id="13" w:name="Tc_2yo8smTAl0uhVKNjlITH4A_2_0"/>
      <w:bookmarkStart w:id="14" w:name="Tc_AxmIz2WqA0WznAwaDFNF7g_1_2"/>
      <w:bookmarkStart w:id="15" w:name="Tc_LDoVpzONk0KYXP7mJ4D9tw_1_0"/>
      <w:bookmarkStart w:id="16" w:name="_2ba46547_6385_420a_bba6_576e9f27ef27"/>
      <w:bookmarkEnd w:id="10"/>
      <w:bookmarkEnd w:id="11"/>
      <w:bookmarkEnd w:id="12"/>
      <w:bookmarkEnd w:id="13"/>
      <w:bookmarkEnd w:id="14"/>
      <w:bookmarkEnd w:id="15"/>
      <w:bookmarkEnd w:id="16"/>
    </w:p>
    <w:tbl>
      <w:tblPr>
        <w:tblW w:w="9013" w:type="dxa"/>
        <w:jc w:val="left"/>
        <w:tblInd w:w="0" w:type="dxa"/>
        <w:tblLayout w:type="fixed"/>
        <w:tblCellMar>
          <w:top w:w="0" w:type="dxa"/>
          <w:left w:w="0" w:type="dxa"/>
          <w:bottom w:w="0" w:type="dxa"/>
          <w:right w:w="0" w:type="dxa"/>
        </w:tblCellMar>
      </w:tblPr>
      <w:tblGrid>
        <w:gridCol w:w="4231"/>
        <w:gridCol w:w="326"/>
        <w:gridCol w:w="4456"/>
      </w:tblGrid>
      <w:tr>
        <w:trPr/>
        <w:tc>
          <w:tcPr>
            <w:tcW w:w="4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44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88-0666433</w:t>
            </w:r>
          </w:p>
        </w:tc>
      </w:tr>
      <w:tr>
        <w:trPr/>
        <w:tc>
          <w:tcPr>
            <w:tcW w:w="423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w:t>
              <w:br/>
              <w:t>organization)</w:t>
            </w:r>
          </w:p>
        </w:tc>
        <w:tc>
          <w:tcPr>
            <w:tcW w:w="326" w:type="dxa"/>
            <w:tcBorders/>
            <w:vAlign w:val="center"/>
          </w:tcPr>
          <w:p>
            <w:pPr>
              <w:pStyle w:val="TableContents"/>
              <w:bidi w:val="0"/>
              <w:spacing w:before="0" w:after="0"/>
              <w:ind w:left="0" w:right="0" w:hanging="0"/>
              <w:jc w:val="center"/>
              <w:rPr/>
            </w:pPr>
            <w:r>
              <w:rPr/>
              <w:t>​</w:t>
            </w:r>
          </w:p>
        </w:tc>
        <w:tc>
          <w:tcPr>
            <w:tcW w:w="4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231" w:type="dxa"/>
            <w:tcBorders/>
            <w:vAlign w:val="center"/>
          </w:tcPr>
          <w:p>
            <w:pPr>
              <w:pStyle w:val="TableContents"/>
              <w:pBdr/>
              <w:bidi w:val="0"/>
              <w:spacing w:before="0" w:after="0"/>
              <w:ind w:left="60" w:right="0" w:hanging="144"/>
              <w:jc w:val="center"/>
              <w:rPr>
                <w:rFonts w:ascii="Times New Roman;Times;serif" w:hAnsi="Times New Roman;Times;serif"/>
                <w:sz w:val="20"/>
              </w:rPr>
            </w:pPr>
            <w:r>
              <w:rPr>
                <w:rFonts w:ascii="Times New Roman;Times;serif" w:hAnsi="Times New Roman;Times;serif"/>
                <w:sz w:val="20"/>
              </w:rPr>
              <w:t>c/o Mobileye B.V.</w:t>
            </w:r>
          </w:p>
          <w:p>
            <w:pPr>
              <w:pStyle w:val="TableContents"/>
              <w:pBdr/>
              <w:bidi w:val="0"/>
              <w:spacing w:before="0" w:after="0"/>
              <w:ind w:left="60" w:right="0" w:hanging="144"/>
              <w:jc w:val="center"/>
              <w:rPr>
                <w:rFonts w:ascii="Times New Roman;Times;serif" w:hAnsi="Times New Roman;Times;serif"/>
                <w:sz w:val="20"/>
              </w:rPr>
            </w:pPr>
            <w:r>
              <w:rPr>
                <w:rFonts w:ascii="Times New Roman;Times;serif" w:hAnsi="Times New Roman;Times;serif"/>
                <w:sz w:val="20"/>
              </w:rPr>
              <w:t>Har Hotzvim, 1 Shlomo Momo HaLevi Street</w:t>
            </w:r>
          </w:p>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Jerusalem 9777015, Israel</w:t>
            </w:r>
          </w:p>
        </w:tc>
        <w:tc>
          <w:tcPr>
            <w:tcW w:w="326" w:type="dxa"/>
            <w:tcBorders/>
            <w:vAlign w:val="center"/>
          </w:tcPr>
          <w:p>
            <w:pPr>
              <w:pStyle w:val="TableContents"/>
              <w:bidi w:val="0"/>
              <w:spacing w:before="0" w:after="0"/>
              <w:ind w:left="0" w:right="0" w:hanging="0"/>
              <w:jc w:val="center"/>
              <w:rPr/>
            </w:pPr>
            <w:r>
              <w:rPr/>
              <w:t>​</w:t>
            </w:r>
          </w:p>
        </w:tc>
        <w:tc>
          <w:tcPr>
            <w:tcW w:w="4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+972-2-541-7333</w:t>
            </w:r>
          </w:p>
        </w:tc>
      </w:tr>
      <w:tr>
        <w:trPr/>
        <w:tc>
          <w:tcPr>
            <w:tcW w:w="423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tc>
        <w:tc>
          <w:tcPr>
            <w:tcW w:w="326" w:type="dxa"/>
            <w:tcBorders/>
            <w:vAlign w:val="center"/>
          </w:tcPr>
          <w:p>
            <w:pPr>
              <w:pStyle w:val="TableContents"/>
              <w:bidi w:val="0"/>
              <w:spacing w:before="0" w:after="0"/>
              <w:ind w:left="0" w:right="0" w:hanging="0"/>
              <w:jc w:val="center"/>
              <w:rPr/>
            </w:pPr>
            <w:r>
              <w:rPr/>
              <w:t>​</w:t>
            </w:r>
          </w:p>
        </w:tc>
        <w:tc>
          <w:tcPr>
            <w:tcW w:w="4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YEurr9IuA0uvySetLhXyEA_0_4"/>
      <w:bookmarkStart w:id="18" w:name="Tc_-RyAnXXgg0yKDIpP3usm-g_0_2"/>
      <w:bookmarkStart w:id="19" w:name="Tc_ny8zODvcoEqB4c5LwyGunQ_0_0"/>
      <w:bookmarkStart w:id="20" w:name="_e53b84ab_02a2_412c_84fb_b5311e08afdb"/>
      <w:bookmarkStart w:id="21" w:name="Tc_YEurr9IuA0uvySetLhXyEA_0_4"/>
      <w:bookmarkStart w:id="22" w:name="Tc_-RyAnXXgg0yKDIpP3usm-g_0_2"/>
      <w:bookmarkStart w:id="23" w:name="Tc_ny8zODvcoEqB4c5LwyGunQ_0_0"/>
      <w:bookmarkStart w:id="24" w:name="_e53b84ab_02a2_412c_84fb_b5311e08afdb"/>
      <w:bookmarkEnd w:id="21"/>
      <w:bookmarkEnd w:id="22"/>
      <w:bookmarkEnd w:id="23"/>
      <w:bookmarkEnd w:id="24"/>
    </w:p>
    <w:tbl>
      <w:tblPr>
        <w:tblW w:w="9490" w:type="dxa"/>
        <w:jc w:val="left"/>
        <w:tblInd w:w="0" w:type="dxa"/>
        <w:tblLayout w:type="fixed"/>
        <w:tblCellMar>
          <w:top w:w="0" w:type="dxa"/>
          <w:left w:w="0" w:type="dxa"/>
          <w:bottom w:w="0" w:type="dxa"/>
          <w:right w:w="0" w:type="dxa"/>
        </w:tblCellMar>
      </w:tblPr>
      <w:tblGrid>
        <w:gridCol w:w="3316"/>
        <w:gridCol w:w="326"/>
        <w:gridCol w:w="1501"/>
        <w:gridCol w:w="326"/>
        <w:gridCol w:w="4021"/>
      </w:tblGrid>
      <w:tr>
        <w:trPr/>
        <w:tc>
          <w:tcPr>
            <w:tcW w:w="33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26" w:type="dxa"/>
            <w:tcBorders/>
            <w:vAlign w:val="center"/>
          </w:tcPr>
          <w:p>
            <w:pPr>
              <w:pStyle w:val="TableContents"/>
              <w:bidi w:val="0"/>
              <w:spacing w:before="0" w:after="0"/>
              <w:ind w:left="0" w:right="0" w:hanging="0"/>
              <w:jc w:val="left"/>
              <w:rPr/>
            </w:pPr>
            <w:r>
              <w:rPr/>
              <w:t>    </w:t>
            </w:r>
          </w:p>
        </w:tc>
        <w:tc>
          <w:tcPr>
            <w:tcW w:w="40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31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par value $0.01</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MBLY</w:t>
            </w:r>
          </w:p>
        </w:tc>
        <w:tc>
          <w:tcPr>
            <w:tcW w:w="326"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hanging="0"/>
        <w:jc w:val="both"/>
        <w:rPr/>
      </w:pPr>
      <w:r>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458" w:type="dxa"/>
        <w:jc w:val="left"/>
        <w:tblInd w:w="0" w:type="dxa"/>
        <w:tblLayout w:type="fixed"/>
        <w:tblCellMar>
          <w:top w:w="0" w:type="dxa"/>
          <w:left w:w="0" w:type="dxa"/>
          <w:bottom w:w="0" w:type="dxa"/>
          <w:right w:w="0" w:type="dxa"/>
        </w:tblCellMar>
      </w:tblPr>
      <w:tblGrid>
        <w:gridCol w:w="2551"/>
        <w:gridCol w:w="326"/>
        <w:gridCol w:w="2581"/>
      </w:tblGrid>
      <w:tr>
        <w:trPr/>
        <w:tc>
          <w:tcPr>
            <w:tcW w:w="25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Large accelerated filer ☒ </w:t>
            </w:r>
          </w:p>
        </w:tc>
        <w:tc>
          <w:tcPr>
            <w:tcW w:w="32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5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Non-accelerated filer ☐ </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5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533" w:hanging="0"/>
        <w:jc w:val="righ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hanging="0"/>
        <w:jc w:val="righ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20"/>
        </w:rPr>
        <w:t>There were 99,548,127</w:t>
      </w:r>
      <w:r>
        <w:rPr>
          <w:rFonts w:ascii="Times New Roman;Times;serif" w:hAnsi="Times New Roman;Times;serif"/>
          <w:sz w:val="18"/>
        </w:rPr>
        <w:t xml:space="preserve"> </w:t>
      </w:r>
      <w:r>
        <w:rPr>
          <w:rFonts w:ascii="Times New Roman;Times;serif" w:hAnsi="Times New Roman;Times;serif"/>
          <w:sz w:val="20"/>
        </w:rPr>
        <w:t>shares</w:t>
      </w:r>
      <w:r>
        <w:rPr>
          <w:rFonts w:ascii="Times New Roman;Times;serif" w:hAnsi="Times New Roman;Times;serif"/>
          <w:sz w:val="18"/>
        </w:rPr>
        <w:t xml:space="preserve"> </w:t>
      </w:r>
      <w:r>
        <w:rPr>
          <w:rFonts w:ascii="Times New Roman;Times;serif" w:hAnsi="Times New Roman;Times;serif"/>
          <w:sz w:val="20"/>
        </w:rPr>
        <w:t>of Class A common stock, $0.01 par value, outstanding at July 31, 2024</w:t>
      </w:r>
      <w:r>
        <w:rPr>
          <w:rFonts w:ascii="Times New Roman;Times;serif" w:hAnsi="Times New Roman;Times;serif"/>
          <w:sz w:val="18"/>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_10cc83cd_a5e8_4213_86f6_2cd1d3ff202f"/>
      <w:bookmarkEnd w:id="25"/>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29, 2024</w:t>
      </w:r>
    </w:p>
    <w:p>
      <w:pPr>
        <w:pStyle w:val="TextBody"/>
        <w:bidi w:val="0"/>
        <w:spacing w:before="0" w:after="240"/>
        <w:ind w:left="0" w:right="0" w:hanging="0"/>
        <w:jc w:val="center"/>
        <w:rPr>
          <w:rFonts w:ascii="Times New Roman;Times;serif" w:hAnsi="Times New Roman;Times;serif"/>
          <w:b/>
          <w:sz w:val="20"/>
        </w:rPr>
      </w:pPr>
      <w:bookmarkStart w:id="26" w:name="TOC"/>
      <w:bookmarkEnd w:id="26"/>
      <w:r>
        <w:rPr>
          <w:rFonts w:ascii="Times New Roman;Times;serif" w:hAnsi="Times New Roman;Times;serif"/>
          <w:b/>
          <w:sz w:val="20"/>
        </w:rPr>
        <w:t>TABLE OF CONTENTS</w:t>
      </w:r>
    </w:p>
    <w:tbl>
      <w:tblPr>
        <w:tblW w:w="8763" w:type="dxa"/>
        <w:jc w:val="left"/>
        <w:tblInd w:w="0" w:type="dxa"/>
        <w:tblLayout w:type="fixed"/>
        <w:tblCellMar>
          <w:top w:w="0" w:type="dxa"/>
          <w:left w:w="0" w:type="dxa"/>
          <w:bottom w:w="0" w:type="dxa"/>
          <w:right w:w="0" w:type="dxa"/>
        </w:tblCellMar>
      </w:tblPr>
      <w:tblGrid>
        <w:gridCol w:w="811"/>
        <w:gridCol w:w="7366"/>
        <w:gridCol w:w="586"/>
      </w:tblGrid>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w:t>
            </w:r>
          </w:p>
        </w:tc>
      </w:tr>
      <w:tr>
        <w:trPr/>
        <w:tc>
          <w:tcPr>
            <w:tcW w:w="811" w:type="dxa"/>
            <w:tcBorders/>
            <w:vAlign w:val="center"/>
          </w:tcPr>
          <w:p>
            <w:pPr>
              <w:pStyle w:val="TableContents"/>
              <w:bidi w:val="0"/>
              <w:spacing w:before="0" w:after="0"/>
              <w:ind w:left="0" w:right="0" w:hanging="0"/>
              <w:jc w:val="left"/>
              <w:rPr/>
            </w:pPr>
            <w:hyperlink w:anchor="Part1FINANCIALINFORMATION_877193">
              <w:r>
                <w:rPr>
                  <w:rStyle w:val="InternetLink"/>
                  <w:rFonts w:ascii="Times New Roman;Times;serif" w:hAnsi="Times New Roman;Times;serif"/>
                  <w:b w:val="false"/>
                  <w:i w:val="false"/>
                  <w:caps w:val="false"/>
                  <w:smallCaps w:val="false"/>
                  <w:sz w:val="20"/>
                </w:rPr>
                <w:t>Part I.</w:t>
              </w:r>
            </w:hyperlink>
          </w:p>
        </w:tc>
        <w:tc>
          <w:tcPr>
            <w:tcW w:w="7366" w:type="dxa"/>
            <w:tcBorders/>
            <w:vAlign w:val="center"/>
          </w:tcPr>
          <w:p>
            <w:pPr>
              <w:pStyle w:val="TableContents"/>
              <w:bidi w:val="0"/>
              <w:spacing w:before="0" w:after="0"/>
              <w:ind w:left="0" w:right="0" w:hanging="0"/>
              <w:jc w:val="left"/>
              <w:rPr/>
            </w:pPr>
            <w:hyperlink w:anchor="Part1FINANCIALINFORMATION_877193">
              <w:r>
                <w:rPr>
                  <w:rStyle w:val="InternetLink"/>
                  <w:rFonts w:ascii="Times New Roman;Times;serif" w:hAnsi="Times New Roman;Times;serif"/>
                  <w:b w:val="false"/>
                  <w:i w:val="false"/>
                  <w:caps w:val="false"/>
                  <w:smallCaps w:val="false"/>
                  <w:sz w:val="20"/>
                </w:rPr>
                <w:t>FINANCIAL INFORMATION</w:t>
              </w:r>
            </w:hyperlink>
          </w:p>
        </w:tc>
        <w:tc>
          <w:tcPr>
            <w:tcW w:w="586"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
              <w:r>
                <w:rPr>
                  <w:rStyle w:val="InternetLink"/>
                  <w:rFonts w:ascii="Times New Roman;Times;serif" w:hAnsi="Times New Roman;Times;serif"/>
                  <w:b w:val="false"/>
                  <w:i w:val="false"/>
                  <w:caps w:val="false"/>
                  <w:smallCaps w:val="false"/>
                  <w:sz w:val="20"/>
                </w:rPr>
                <w:t>Financial Statements (Unaudited)</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MBINEDBALANCESHEETS_521489">
              <w:r>
                <w:rPr>
                  <w:rStyle w:val="InternetLink"/>
                  <w:rFonts w:ascii="Times New Roman;Times;serif" w:hAnsi="Times New Roman;Times;serif"/>
                  <w:b w:val="false"/>
                  <w:i w:val="false"/>
                  <w:caps w:val="false"/>
                  <w:smallCaps w:val="false"/>
                  <w:sz w:val="20"/>
                </w:rPr>
                <w:t>Condensed Consolidated Balance Sheets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OPERATIONS_20748">
              <w:r>
                <w:rPr>
                  <w:rStyle w:val="InternetLink"/>
                  <w:rFonts w:ascii="Times New Roman;Times;serif" w:hAnsi="Times New Roman;Times;serif"/>
                  <w:b w:val="false"/>
                  <w:i w:val="false"/>
                  <w:caps w:val="false"/>
                  <w:smallCaps w:val="false"/>
                  <w:sz w:val="20"/>
                </w:rPr>
                <w:t>Condensed Consolidated Statements of Operations and Comprehensive Income (Loss)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CHANGESINEQUITY_373450">
              <w:r>
                <w:rPr>
                  <w:rStyle w:val="InternetLink"/>
                  <w:rFonts w:ascii="Times New Roman;Times;serif" w:hAnsi="Times New Roman;Times;serif"/>
                  <w:b w:val="false"/>
                  <w:i w:val="false"/>
                  <w:caps w:val="false"/>
                  <w:smallCaps w:val="false"/>
                  <w:sz w:val="20"/>
                </w:rPr>
                <w:t>Condensed Consolidated Statements of Changes in Equity</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ASHFLOWS_425786">
              <w:r>
                <w:rPr>
                  <w:rStyle w:val="InternetLink"/>
                  <w:rFonts w:ascii="Times New Roman;Times;serif" w:hAnsi="Times New Roman;Times;serif"/>
                  <w:b w:val="false"/>
                  <w:i w:val="false"/>
                  <w:caps w:val="false"/>
                  <w:smallCaps w:val="false"/>
                  <w:sz w:val="20"/>
                </w:rPr>
                <w:t>Condensed Consolidated Statements of Cash Flows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NOTE1GENERAL_726633">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hyperlink w:anchor="Item4ControlsandProcedures_574241">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574241">
              <w:r>
                <w:rPr>
                  <w:rStyle w:val="InternetLink"/>
                  <w:rFonts w:ascii="Times New Roman;Times;serif" w:hAnsi="Times New Roman;Times;serif"/>
                  <w:b w:val="false"/>
                  <w:i w:val="false"/>
                  <w:caps w:val="false"/>
                  <w:smallCaps w:val="false"/>
                  <w:sz w:val="20"/>
                </w:rPr>
                <w:t>Controls and Procedures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before="0" w:after="0"/>
              <w:ind w:left="0" w:right="0" w:hanging="0"/>
              <w:jc w:val="left"/>
              <w:rPr/>
            </w:pPr>
            <w:hyperlink w:anchor="PARTIIOTHERINFORMATION_796665">
              <w:r>
                <w:rPr>
                  <w:rStyle w:val="InternetLink"/>
                  <w:rFonts w:ascii="Times New Roman;Times;serif" w:hAnsi="Times New Roman;Times;serif"/>
                  <w:b w:val="false"/>
                  <w:i w:val="false"/>
                  <w:caps w:val="false"/>
                  <w:smallCaps w:val="false"/>
                  <w:sz w:val="20"/>
                </w:rPr>
                <w:t>Part II.</w:t>
              </w:r>
            </w:hyperlink>
          </w:p>
        </w:tc>
        <w:tc>
          <w:tcPr>
            <w:tcW w:w="7366" w:type="dxa"/>
            <w:tcBorders/>
            <w:vAlign w:val="center"/>
          </w:tcPr>
          <w:p>
            <w:pPr>
              <w:pStyle w:val="TableContents"/>
              <w:bidi w:val="0"/>
              <w:spacing w:before="0" w:after="0"/>
              <w:ind w:left="0" w:right="0" w:hanging="0"/>
              <w:jc w:val="left"/>
              <w:rPr/>
            </w:pPr>
            <w:hyperlink w:anchor="PARTIIOTHERINFORMATION_796665">
              <w:r>
                <w:rPr>
                  <w:rStyle w:val="InternetLink"/>
                  <w:rFonts w:ascii="Times New Roman;Times;serif" w:hAnsi="Times New Roman;Times;serif"/>
                  <w:b w:val="false"/>
                  <w:i w:val="false"/>
                  <w:caps w:val="false"/>
                  <w:smallCaps w:val="false"/>
                  <w:sz w:val="20"/>
                </w:rPr>
                <w:t>OTHER INFORMATION</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1LegalProceedings_436997">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436997">
              <w:r>
                <w:rPr>
                  <w:rStyle w:val="InternetLink"/>
                  <w:rFonts w:ascii="Times New Roman;Times;serif" w:hAnsi="Times New Roman;Times;serif"/>
                  <w:b w:val="false"/>
                  <w:i w:val="false"/>
                  <w:caps w:val="false"/>
                  <w:smallCaps w:val="false"/>
                  <w:sz w:val="20"/>
                </w:rPr>
                <w:t>Legal Proceedings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1ARiskFactors_542062">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542062">
              <w:r>
                <w:rPr>
                  <w:rStyle w:val="InternetLink"/>
                  <w:rFonts w:ascii="Times New Roman;Times;serif" w:hAnsi="Times New Roman;Times;serif"/>
                  <w:b w:val="false"/>
                  <w:i w:val="false"/>
                  <w:caps w:val="false"/>
                  <w:smallCaps w:val="false"/>
                  <w:sz w:val="20"/>
                </w:rPr>
                <w:t>Risk Factors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3DefaultsUponSeniorSecurities_197938">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197938">
              <w:r>
                <w:rPr>
                  <w:rStyle w:val="InternetLink"/>
                  <w:rFonts w:ascii="Times New Roman;Times;serif" w:hAnsi="Times New Roman;Times;serif"/>
                  <w:b w:val="false"/>
                  <w:i w:val="false"/>
                  <w:caps w:val="false"/>
                  <w:smallCaps w:val="false"/>
                  <w:sz w:val="20"/>
                </w:rPr>
                <w:t>Defaults Upon Senior Securities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4MineSafetyDisclosures_56040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560402">
              <w:r>
                <w:rPr>
                  <w:rStyle w:val="InternetLink"/>
                  <w:rFonts w:ascii="Times New Roman;Times;serif" w:hAnsi="Times New Roman;Times;serif"/>
                  <w:b w:val="false"/>
                  <w:i w:val="false"/>
                  <w:caps w:val="false"/>
                  <w:smallCaps w:val="false"/>
                  <w:sz w:val="20"/>
                </w:rPr>
                <w:t>Mine Safety Disclosures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5OtherInformation_30350">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30350">
              <w:r>
                <w:rPr>
                  <w:rStyle w:val="InternetLink"/>
                  <w:rFonts w:ascii="Times New Roman;Times;serif" w:hAnsi="Times New Roman;Times;serif"/>
                  <w:b w:val="false"/>
                  <w:i w:val="false"/>
                  <w:caps w:val="false"/>
                  <w:smallCaps w:val="false"/>
                  <w:sz w:val="20"/>
                </w:rPr>
                <w:t>Other Information</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6Exhibits_915444">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915444">
              <w:r>
                <w:rPr>
                  <w:rStyle w:val="InternetLink"/>
                  <w:rFonts w:ascii="Times New Roman;Times;serif" w:hAnsi="Times New Roman;Times;serif"/>
                  <w:b w:val="false"/>
                  <w:i w:val="false"/>
                  <w:caps w:val="false"/>
                  <w:smallCaps w:val="false"/>
                  <w:sz w:val="20"/>
                </w:rPr>
                <w:t>Exhibits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IGNATURES_811601">
              <w:r>
                <w:rPr>
                  <w:rStyle w:val="InternetLink"/>
                  <w:rFonts w:ascii="Times New Roman;Times;serif" w:hAnsi="Times New Roman;Times;serif"/>
                  <w:b w:val="false"/>
                  <w:i w:val="false"/>
                  <w:caps w:val="false"/>
                  <w:smallCaps w:val="false"/>
                  <w:sz w:val="20"/>
                </w:rPr>
                <w:t>Signatures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sz w:val="20"/>
        </w:rPr>
      </w:pPr>
      <w:bookmarkStart w:id="27" w:name="_97db1e1d_7c05_4e5a_a9a1_d295982535b2"/>
      <w:bookmarkEnd w:id="27"/>
      <w:r>
        <w:rPr>
          <w:rFonts w:ascii="Times New Roman;Times;serif" w:hAnsi="Times New Roman;Times;serif"/>
          <w:b/>
          <w:sz w:val="20"/>
        </w:rPr>
        <w:t>In this report,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We have a 52 or 53-week fiscal year that ends on the last Saturday in December. Fiscal year 2023 was a 52-week fiscal year; fiscal year 2024 is also a 52-week fiscal year.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8" w:name="Part1FINANCIALINFORMATION_877193"/>
      <w:bookmarkStart w:id="29" w:name="_79bd04f4_786d_473a_aa17_5bbbb62acfb3"/>
      <w:bookmarkEnd w:id="28"/>
      <w:bookmarkEnd w:id="29"/>
      <w:r>
        <w:rPr>
          <w:rFonts w:ascii="Times New Roman;Times;serif" w:hAnsi="Times New Roman;Times;serif"/>
          <w:b/>
          <w:sz w:val="20"/>
        </w:rPr>
        <w:t>Part 1: FINANCIAL INFORMATION</w:t>
      </w:r>
    </w:p>
    <w:p>
      <w:pPr>
        <w:pStyle w:val="TextBody"/>
        <w:bidi w:val="0"/>
        <w:spacing w:before="0" w:after="120"/>
        <w:ind w:left="0" w:right="0" w:hanging="0"/>
        <w:jc w:val="left"/>
        <w:rPr>
          <w:rFonts w:ascii="Times New Roman;Times;serif" w:hAnsi="Times New Roman;Times;serif"/>
          <w:b/>
          <w:sz w:val="20"/>
        </w:rPr>
      </w:pPr>
      <w:bookmarkStart w:id="30" w:name="ITEM1FINANCIALSTATEMENTS"/>
      <w:bookmarkEnd w:id="30"/>
      <w:r>
        <w:rPr>
          <w:rFonts w:ascii="Times New Roman;Times;serif" w:hAnsi="Times New Roman;Times;serif"/>
          <w:b/>
          <w:sz w:val="20"/>
        </w:rPr>
        <w:t>ITEM 1.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120"/>
        <w:ind w:left="0" w:right="0" w:hanging="0"/>
        <w:jc w:val="center"/>
        <w:rPr>
          <w:rFonts w:ascii="Times New Roman;Times;serif" w:hAnsi="Times New Roman;Times;serif"/>
          <w:b/>
          <w:sz w:val="20"/>
        </w:rPr>
      </w:pPr>
      <w:bookmarkStart w:id="31" w:name="CONDENSEDCOMBINEDBALANCESHEETS_521489"/>
      <w:bookmarkEnd w:id="31"/>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2" w:name="Tc_niO13uKa30-URfnO6TxukA_37_5"/>
      <w:bookmarkStart w:id="33" w:name="Tc_Ktq-OH979kqztVA93IhXRA_37_2"/>
      <w:bookmarkStart w:id="34" w:name="Tc_6q_ja0JRwUSvK2Va7zLmFw_37_0"/>
      <w:bookmarkStart w:id="35" w:name="Tc_KS_UDepdxUuuCxZEkvDHiA_36_0"/>
      <w:bookmarkStart w:id="36" w:name="Tc_LVmqizLwqk-coWYglkOA0g_35_0"/>
      <w:bookmarkStart w:id="37" w:name="Tc_UEhJjY3hP0eJHFBBAX8pFA_34_0"/>
      <w:bookmarkStart w:id="38" w:name="_f66e86f0_6959_4fe0_8c99_24ac1088290e_3"/>
      <w:bookmarkStart w:id="39" w:name="_f66e86f0_6959_4fe0_8c99_24ac1088290e_2"/>
      <w:bookmarkStart w:id="40" w:name="_f66e86f0_6959_4fe0_8c99_24ac1088290e"/>
      <w:bookmarkStart w:id="41" w:name="Tc_zo7WF0mZpky5KRsjnmFJfg_33_0"/>
      <w:bookmarkStart w:id="42" w:name="Tc_4RFGgmTBJUOR5XxG6hSXzg_32_0"/>
      <w:bookmarkStart w:id="43" w:name="Tc_HHWcTRsqRUa5ClFEP5xM5w_31_0"/>
      <w:bookmarkStart w:id="44" w:name="Tc_jTNNnwl45k-wUQ-pQ7g7tg_30_5"/>
      <w:bookmarkStart w:id="45" w:name="Tc_hPLQ1aszWUencOQhwexdSg_30_2"/>
      <w:bookmarkStart w:id="46" w:name="Tc_i7bM1bPqC0q2-YoimNrv-A_30_0"/>
      <w:bookmarkStart w:id="47" w:name="Tc_Z0Xy-71r7kyaa-bSWFJU2w_29_0"/>
      <w:bookmarkStart w:id="48" w:name="Tc_1SRdVREVWUmI3boi04frZw_28_0"/>
      <w:bookmarkStart w:id="49" w:name="Tc_EHLPjTyuVU6lznAoyKZzUQ_27_0"/>
      <w:bookmarkStart w:id="50" w:name="Tc_VOissvVf8kCjiGD1X0AfTA_26_0"/>
      <w:bookmarkStart w:id="51" w:name="Tc_eR_29by3gESaRLxNyuCmQQ_25_0"/>
      <w:bookmarkStart w:id="52" w:name="Tc_UwXtXsTrW0KoQU61CwhKBw_24_0"/>
      <w:bookmarkStart w:id="53" w:name="Tc_gw1s4cU7BEmNdOAWmx9Szg_23_0"/>
      <w:bookmarkStart w:id="54" w:name="Tc_Tww5bj4rH0yNZ4Pf6tj4Ng_22_0"/>
      <w:bookmarkStart w:id="55" w:name="Tc_8Nn210XKM06S3j62sMRU9w_21_0"/>
      <w:bookmarkStart w:id="56" w:name="Tc_n9j8EoA4NU-46yE5MivQEw_20_0"/>
      <w:bookmarkStart w:id="57" w:name="Tc_euHK6OgoxEy6bJZ8dwhFwQ_19_5"/>
      <w:bookmarkStart w:id="58" w:name="Tc_haC_pxUc10-96G0mKvkb1w_19_2"/>
      <w:bookmarkStart w:id="59" w:name="Tc_-H_A4_RELkGq_iIbJVvdAQ_19_0"/>
      <w:bookmarkStart w:id="60" w:name="Tc_TmgwfD5q_UW2rCLyQ1niZQ_18_0"/>
      <w:bookmarkStart w:id="61" w:name="Tc_WveCTRGFV0G1ftaexZAfuw_17_0"/>
      <w:bookmarkStart w:id="62" w:name="Tc_f73BD6J-H06ffoImP20iCg_16_5"/>
      <w:bookmarkStart w:id="63" w:name="Tc_leCAk-kULEi7-y4VfPftvQ_16_2"/>
      <w:bookmarkStart w:id="64" w:name="Tc_YWsSmqxtWkOUe5lnDv2Rug_16_0"/>
      <w:bookmarkStart w:id="65" w:name="Tc_cjJ9nwAT4k-beApvVKqV5A_15_0"/>
      <w:bookmarkStart w:id="66" w:name="Tc_bhRJjUYKt0ia8j4hnYGIJg_14_0"/>
      <w:bookmarkStart w:id="67" w:name="Tc_UPuamWrOvkCnQp7yEy_aBg_13_0"/>
      <w:bookmarkStart w:id="68" w:name="Tc_7cntQkGjG0Gdyn9slaPdWg_12_0"/>
      <w:bookmarkStart w:id="69" w:name="Tc_crNQpqCq0kOaxg62op_PAA_11_0"/>
      <w:bookmarkStart w:id="70" w:name="Tc_pLLCy9Frik6O1DAZNgEkXw_10_0"/>
      <w:bookmarkStart w:id="71" w:name="Tc_Q2I_LV8dxEmDduFQzUae3A_9_0"/>
      <w:bookmarkStart w:id="72" w:name="Tc_NMhTfjdpzkyzHCa6e4utwA_8_0"/>
      <w:bookmarkStart w:id="73" w:name="Tc_i5mv_1bYkkGTIwoh1WVmiQ_7_0"/>
      <w:bookmarkStart w:id="74" w:name="Tc_B_GALKp_oku2aXNk1__OAg_6_0"/>
      <w:bookmarkStart w:id="75" w:name="Tc_f7w42HrDwUCXaCPjpqgoLg_5_5"/>
      <w:bookmarkStart w:id="76" w:name="Tc_X-PWgdHfs0me_PE9zwPcqQ_5_2"/>
      <w:bookmarkStart w:id="77" w:name="Tc_Jyp1NA5JBkePh3F4t8FRqQ_5_0"/>
      <w:bookmarkStart w:id="78" w:name="Tc_BhzabGcGA0WtPoYC-PIeOQ_4_0"/>
      <w:bookmarkStart w:id="79" w:name="Tc_BJUSC1PHxU2hHdxLtx569Q_3_0"/>
      <w:bookmarkStart w:id="80" w:name="Tc_fFUmfp3lKkyzgaErDrDNdw_2_5"/>
      <w:bookmarkStart w:id="81" w:name="Tc_eEFm2NVDekOo_MpOymV5eQ_2_2"/>
      <w:bookmarkStart w:id="82" w:name="Tc_KvVj1S-j40GBiRtb_1gg0Q_2_0"/>
      <w:bookmarkStart w:id="83" w:name="Tc_cJyynfosmEyHH8kv2q4zOw_1_5"/>
      <w:bookmarkStart w:id="84" w:name="Tc_BmqCqc-cJ06pUdL3oRM3Mg_1_2"/>
      <w:bookmarkStart w:id="85" w:name="_e11123f1_89d0_4594_a3ea_8a243b56e44b"/>
      <w:bookmarkStart w:id="86" w:name="Tc_niO13uKa30-URfnO6TxukA_37_5"/>
      <w:bookmarkStart w:id="87" w:name="Tc_Ktq-OH979kqztVA93IhXRA_37_2"/>
      <w:bookmarkStart w:id="88" w:name="Tc_6q_ja0JRwUSvK2Va7zLmFw_37_0"/>
      <w:bookmarkStart w:id="89" w:name="Tc_KS_UDepdxUuuCxZEkvDHiA_36_0"/>
      <w:bookmarkStart w:id="90" w:name="Tc_LVmqizLwqk-coWYglkOA0g_35_0"/>
      <w:bookmarkStart w:id="91" w:name="Tc_UEhJjY3hP0eJHFBBAX8pFA_34_0"/>
      <w:bookmarkStart w:id="92" w:name="_f66e86f0_6959_4fe0_8c99_24ac1088290e_3"/>
      <w:bookmarkStart w:id="93" w:name="_f66e86f0_6959_4fe0_8c99_24ac1088290e_2"/>
      <w:bookmarkStart w:id="94" w:name="_f66e86f0_6959_4fe0_8c99_24ac1088290e"/>
      <w:bookmarkStart w:id="95" w:name="Tc_zo7WF0mZpky5KRsjnmFJfg_33_0"/>
      <w:bookmarkStart w:id="96" w:name="Tc_4RFGgmTBJUOR5XxG6hSXzg_32_0"/>
      <w:bookmarkStart w:id="97" w:name="Tc_HHWcTRsqRUa5ClFEP5xM5w_31_0"/>
      <w:bookmarkStart w:id="98" w:name="Tc_jTNNnwl45k-wUQ-pQ7g7tg_30_5"/>
      <w:bookmarkStart w:id="99" w:name="Tc_hPLQ1aszWUencOQhwexdSg_30_2"/>
      <w:bookmarkStart w:id="100" w:name="Tc_i7bM1bPqC0q2-YoimNrv-A_30_0"/>
      <w:bookmarkStart w:id="101" w:name="Tc_Z0Xy-71r7kyaa-bSWFJU2w_29_0"/>
      <w:bookmarkStart w:id="102" w:name="Tc_1SRdVREVWUmI3boi04frZw_28_0"/>
      <w:bookmarkStart w:id="103" w:name="Tc_EHLPjTyuVU6lznAoyKZzUQ_27_0"/>
      <w:bookmarkStart w:id="104" w:name="Tc_VOissvVf8kCjiGD1X0AfTA_26_0"/>
      <w:bookmarkStart w:id="105" w:name="Tc_eR_29by3gESaRLxNyuCmQQ_25_0"/>
      <w:bookmarkStart w:id="106" w:name="Tc_UwXtXsTrW0KoQU61CwhKBw_24_0"/>
      <w:bookmarkStart w:id="107" w:name="Tc_gw1s4cU7BEmNdOAWmx9Szg_23_0"/>
      <w:bookmarkStart w:id="108" w:name="Tc_Tww5bj4rH0yNZ4Pf6tj4Ng_22_0"/>
      <w:bookmarkStart w:id="109" w:name="Tc_8Nn210XKM06S3j62sMRU9w_21_0"/>
      <w:bookmarkStart w:id="110" w:name="Tc_n9j8EoA4NU-46yE5MivQEw_20_0"/>
      <w:bookmarkStart w:id="111" w:name="Tc_euHK6OgoxEy6bJZ8dwhFwQ_19_5"/>
      <w:bookmarkStart w:id="112" w:name="Tc_haC_pxUc10-96G0mKvkb1w_19_2"/>
      <w:bookmarkStart w:id="113" w:name="Tc_-H_A4_RELkGq_iIbJVvdAQ_19_0"/>
      <w:bookmarkStart w:id="114" w:name="Tc_TmgwfD5q_UW2rCLyQ1niZQ_18_0"/>
      <w:bookmarkStart w:id="115" w:name="Tc_WveCTRGFV0G1ftaexZAfuw_17_0"/>
      <w:bookmarkStart w:id="116" w:name="Tc_f73BD6J-H06ffoImP20iCg_16_5"/>
      <w:bookmarkStart w:id="117" w:name="Tc_leCAk-kULEi7-y4VfPftvQ_16_2"/>
      <w:bookmarkStart w:id="118" w:name="Tc_YWsSmqxtWkOUe5lnDv2Rug_16_0"/>
      <w:bookmarkStart w:id="119" w:name="Tc_cjJ9nwAT4k-beApvVKqV5A_15_0"/>
      <w:bookmarkStart w:id="120" w:name="Tc_bhRJjUYKt0ia8j4hnYGIJg_14_0"/>
      <w:bookmarkStart w:id="121" w:name="Tc_UPuamWrOvkCnQp7yEy_aBg_13_0"/>
      <w:bookmarkStart w:id="122" w:name="Tc_7cntQkGjG0Gdyn9slaPdWg_12_0"/>
      <w:bookmarkStart w:id="123" w:name="Tc_crNQpqCq0kOaxg62op_PAA_11_0"/>
      <w:bookmarkStart w:id="124" w:name="Tc_pLLCy9Frik6O1DAZNgEkXw_10_0"/>
      <w:bookmarkStart w:id="125" w:name="Tc_Q2I_LV8dxEmDduFQzUae3A_9_0"/>
      <w:bookmarkStart w:id="126" w:name="Tc_NMhTfjdpzkyzHCa6e4utwA_8_0"/>
      <w:bookmarkStart w:id="127" w:name="Tc_i5mv_1bYkkGTIwoh1WVmiQ_7_0"/>
      <w:bookmarkStart w:id="128" w:name="Tc_B_GALKp_oku2aXNk1__OAg_6_0"/>
      <w:bookmarkStart w:id="129" w:name="Tc_f7w42HrDwUCXaCPjpqgoLg_5_5"/>
      <w:bookmarkStart w:id="130" w:name="Tc_X-PWgdHfs0me_PE9zwPcqQ_5_2"/>
      <w:bookmarkStart w:id="131" w:name="Tc_Jyp1NA5JBkePh3F4t8FRqQ_5_0"/>
      <w:bookmarkStart w:id="132" w:name="Tc_BhzabGcGA0WtPoYC-PIeOQ_4_0"/>
      <w:bookmarkStart w:id="133" w:name="Tc_BJUSC1PHxU2hHdxLtx569Q_3_0"/>
      <w:bookmarkStart w:id="134" w:name="Tc_fFUmfp3lKkyzgaErDrDNdw_2_5"/>
      <w:bookmarkStart w:id="135" w:name="Tc_eEFm2NVDekOo_MpOymV5eQ_2_2"/>
      <w:bookmarkStart w:id="136" w:name="Tc_KvVj1S-j40GBiRtb_1gg0Q_2_0"/>
      <w:bookmarkStart w:id="137" w:name="Tc_cJyynfosmEyHH8kv2q4zOw_1_5"/>
      <w:bookmarkStart w:id="138" w:name="Tc_BmqCqc-cJ06pUdL3oRM3Mg_1_2"/>
      <w:bookmarkStart w:id="139" w:name="_e11123f1_89d0_4594_a3ea_8a243b56e44b"/>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tbl>
      <w:tblPr>
        <w:tblW w:w="10205" w:type="dxa"/>
        <w:jc w:val="left"/>
        <w:tblInd w:w="0" w:type="dxa"/>
        <w:tblLayout w:type="fixed"/>
        <w:tblCellMar>
          <w:top w:w="0" w:type="dxa"/>
          <w:left w:w="0" w:type="dxa"/>
          <w:bottom w:w="0" w:type="dxa"/>
          <w:right w:w="0" w:type="dxa"/>
        </w:tblCellMar>
      </w:tblPr>
      <w:tblGrid>
        <w:gridCol w:w="7604"/>
        <w:gridCol w:w="326"/>
        <w:gridCol w:w="211"/>
        <w:gridCol w:w="676"/>
        <w:gridCol w:w="326"/>
        <w:gridCol w:w="225"/>
        <w:gridCol w:w="837"/>
      </w:tblGrid>
      <w:tr>
        <w:trPr/>
        <w:tc>
          <w:tcPr>
            <w:tcW w:w="7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828540" cy="175260"/>
                      <wp:effectExtent l="0" t="0" r="0" b="0"/>
                      <wp:wrapNone/>
                      <wp:docPr id="1" name="Frame1"/>
                      <a:graphic xmlns:a="http://schemas.openxmlformats.org/drawingml/2006/main">
                        <a:graphicData uri="http://schemas.microsoft.com/office/word/2010/wordprocessingShape">
                          <wps:wsp>
                            <wps:cNvSpPr txBox="1"/>
                            <wps:spPr>
                              <a:xfrm>
                                <a:off x="0" y="0"/>
                                <a:ext cx="4828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29260" cy="175260"/>
                      <wp:effectExtent l="0" t="0" r="0" b="0"/>
                      <wp:wrapNone/>
                      <wp:docPr id="4" name="Frame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2875" cy="175260"/>
                      <wp:effectExtent l="0" t="0" r="0" b="0"/>
                      <wp:wrapNone/>
                      <wp:docPr id="6" name="Frame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31495" cy="175260"/>
                      <wp:effectExtent l="0" t="0" r="0" b="0"/>
                      <wp:wrapNone/>
                      <wp:docPr id="7" name="Frame7"/>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  </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  </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2,007</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2,066</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  </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10,895</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10,895</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13,300</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13,511</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15,307</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15,577</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  </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related 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Related party payable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current liabilities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346</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403</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  </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employee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long-term liabilities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Contingencies (see note 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588</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653</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A common stock: $0.01 par value; 4,000,000,000 shares authorized;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97,736,898 as of June 29, 2024 and 94,652,348 as of December 30,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common stock: $0.01 par value; 1,500,000,000 shares authorized; shares issued and outstanding: 711,500,000 as of June 29, 2024 and December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14,985</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14,886</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 (accumulated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60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EQUITY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14,719</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14,924</w:t>
            </w:r>
          </w:p>
        </w:tc>
      </w:tr>
      <w:tr>
        <w:trPr/>
        <w:tc>
          <w:tcPr>
            <w:tcW w:w="760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15,307</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15,577</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40" w:name="_e1b8c491_8171_4b39_bb00_ede20c0b412d"/>
      <w:bookmarkEnd w:id="140"/>
      <w:r>
        <w:rPr>
          <w:rFonts w:ascii="Times New Roman;Times;serif" w:hAnsi="Times New Roman;Times;serif"/>
          <w:b/>
          <w:sz w:val="20"/>
        </w:rPr>
        <w:t>MOBILEYE GLOBAL INC.</w:t>
      </w:r>
    </w:p>
    <w:p>
      <w:pPr>
        <w:pStyle w:val="TextBody"/>
        <w:bidi w:val="0"/>
        <w:spacing w:before="0" w:after="120"/>
        <w:ind w:left="0" w:right="0" w:hanging="0"/>
        <w:jc w:val="center"/>
        <w:rPr>
          <w:rFonts w:ascii="Times New Roman;Times;serif" w:hAnsi="Times New Roman;Times;serif"/>
          <w:b/>
          <w:sz w:val="20"/>
        </w:rPr>
      </w:pPr>
      <w:bookmarkStart w:id="141" w:name="STATEMENTSOFOPERATIONS_20748"/>
      <w:bookmarkEnd w:id="141"/>
      <w:r>
        <w:rPr>
          <w:rFonts w:ascii="Times New Roman;Times;serif" w:hAnsi="Times New Roman;Times;serif"/>
          <w:b/>
          <w:sz w:val="20"/>
        </w:rPr>
        <w:t>CONDENSED CONSOLIDATED STATEMENTS OF OPERATIONS AND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2" w:name="Tc_d7K922ZKuUOsTgN8wKM8sA_22_11"/>
      <w:bookmarkStart w:id="143" w:name="Tc_bMwQq8uNbkm03wG7MAnILQ_22_8"/>
      <w:bookmarkStart w:id="144" w:name="Tc_O2IUnIJAi0qZO1zDBdgY4A_22_5"/>
      <w:bookmarkStart w:id="145" w:name="Tc_YkLrWq0X50WVsvppG35Tig_22_2"/>
      <w:bookmarkStart w:id="146" w:name="Tc_nb5o4RK5ZU6tnXobVwEVjA_22_0"/>
      <w:bookmarkStart w:id="147" w:name="Tc_gS5dErzHzUeiWQCV-Tfrtg_21_9"/>
      <w:bookmarkStart w:id="148" w:name="Tc_YNnnPM-igk-5cKu57nhVHA_21_6"/>
      <w:bookmarkStart w:id="149" w:name="Tc_2MOAwSo1dkC0ueHLjFfvIQ_21_3"/>
      <w:bookmarkStart w:id="150" w:name="Tc_Z5KJn-fdUUa4kHIdjqF5eg_21_0"/>
      <w:bookmarkStart w:id="151" w:name="Tc_7UrLqQf22k6RsO-bq9lROg_20_0"/>
      <w:bookmarkStart w:id="152" w:name="Tc_QLTEUKodT0uGgW58QwHHAA_19_0"/>
      <w:bookmarkStart w:id="153" w:name="Tc_hQHDk1vvyEGZ5nYvis3hGQ_18_0"/>
      <w:bookmarkStart w:id="154" w:name="Tc_uBJBZquLDEG5eshZGgT-Iw_17_11"/>
      <w:bookmarkStart w:id="155" w:name="Tc_vOCIwC0_NUiYK9uXx2rmCA_17_8"/>
      <w:bookmarkStart w:id="156" w:name="Tc_8Sc-GTQ030u2c1xPK1697Q_17_5"/>
      <w:bookmarkStart w:id="157" w:name="Tc_2sldTMcYE0yaS3hq7pF95w_17_2"/>
      <w:bookmarkStart w:id="158" w:name="Tc_392B-LadLEqk-BBy0ea4gw_17_0"/>
      <w:bookmarkStart w:id="159" w:name="Tc_1poe8ETTukuZy6u61XS_WA_16_0"/>
      <w:bookmarkStart w:id="160" w:name="Tc_6_av3QGAPU6doeXcYlyVKg_15_11"/>
      <w:bookmarkStart w:id="161" w:name="Tc_Z6Oa2vIij0eexjD9_6_u0g_15_8"/>
      <w:bookmarkStart w:id="162" w:name="Tc_jojljmQ9tkCgWrhFAsvvRQ_15_5"/>
      <w:bookmarkStart w:id="163" w:name="Tc_V9kasqExlEeyoAksDmnISg_15_2"/>
      <w:bookmarkStart w:id="164" w:name="Tc_KAwtCm7Pu0O44ChZ69_m3g_15_0"/>
      <w:bookmarkStart w:id="165" w:name="Tc_CA4TL0Yi-0qIfDC-0NM37Q_14_0"/>
      <w:bookmarkStart w:id="166" w:name="Tc_4Tb9VXqgGUGLzwyfmFpETg_13_0"/>
      <w:bookmarkStart w:id="167" w:name="Tc_m37xlI9vYUuLJTl6Yv5Sww_12_0"/>
      <w:bookmarkStart w:id="168" w:name="Tc_sH2_aSMFCUmwfhDu1JYMPQ_11_0"/>
      <w:bookmarkStart w:id="169" w:name="Tc_dk68bpDhB0iaP_RjO0GjYw_10_0"/>
      <w:bookmarkStart w:id="170" w:name="Tc_KR9Sbp1_5UqoOlog65j55w_9_0"/>
      <w:bookmarkStart w:id="171" w:name="Tc_pDRzv2sO1kuwyKeNtQ2FZA_8_0"/>
      <w:bookmarkStart w:id="172" w:name="Tc_EPXVEU2MV0C7Vg833wIRWQ_7_0"/>
      <w:bookmarkStart w:id="173" w:name="Tc_iHkJSawyD0etyQvQyCkWAg_6_0"/>
      <w:bookmarkStart w:id="174" w:name="Tc_Lkw7yq59AEOLrjRwBMxvLQ_5_0"/>
      <w:bookmarkStart w:id="175" w:name="Tc_wMzU26X62UaJ_Iqz2wKRMQ_4_11"/>
      <w:bookmarkStart w:id="176" w:name="Tc_0h-IMt-8ukOoPB7szxG-uw_4_8"/>
      <w:bookmarkStart w:id="177" w:name="Tc_Y6LcKzRlj02TCjAgfavARg_4_5"/>
      <w:bookmarkStart w:id="178" w:name="Tc_weoXThmI_UOHPB8MVQSzZA_4_2"/>
      <w:bookmarkStart w:id="179" w:name="Tc_wowA7VDKcUadZv731E_pnA_4_0"/>
      <w:bookmarkStart w:id="180" w:name="Tc_zTKAknrG8UCc4jB0YiXE7w_3_11"/>
      <w:bookmarkStart w:id="181" w:name="Tc_5J5MvGXia0qgJNszrNAwvw_3_8"/>
      <w:bookmarkStart w:id="182" w:name="Tc_0-mruHKvqkiWLoOLOa14OQ_3_5"/>
      <w:bookmarkStart w:id="183" w:name="Tc_g3uLPb2i4Eifa-02i6p9Lg_3_2"/>
      <w:bookmarkStart w:id="184" w:name="Tc_8VzoH1PmLE681moMEBqTqQ_3_0"/>
      <w:bookmarkStart w:id="185" w:name="Tc_VB77ILvxck-JBkC1T4LXnw_2_11"/>
      <w:bookmarkStart w:id="186" w:name="Tc_FtADi3JX_0Kuuld0KsdEkA_2_8"/>
      <w:bookmarkStart w:id="187" w:name="Tc_wtA3OxOR50uokmVDV8PFYA_2_5"/>
      <w:bookmarkStart w:id="188" w:name="Tc_5jBwAldG0EucRTkAvGtLvA_2_2"/>
      <w:bookmarkStart w:id="189" w:name="Tc_EQk-Qt52U0uHIygszeok9w_1_8"/>
      <w:bookmarkStart w:id="190" w:name="Tc_xf4tII4VKkW8AjJVHXZglQ_1_2"/>
      <w:bookmarkStart w:id="191" w:name="_2505a9fe_96a3_4bd2_8985_dd7a03cadefc"/>
      <w:bookmarkStart w:id="192" w:name="_3c54a114_da3f_48b2_878c_8beadfb931c0"/>
      <w:bookmarkStart w:id="193" w:name="Tc_d7K922ZKuUOsTgN8wKM8sA_22_11"/>
      <w:bookmarkStart w:id="194" w:name="Tc_bMwQq8uNbkm03wG7MAnILQ_22_8"/>
      <w:bookmarkStart w:id="195" w:name="Tc_O2IUnIJAi0qZO1zDBdgY4A_22_5"/>
      <w:bookmarkStart w:id="196" w:name="Tc_YkLrWq0X50WVsvppG35Tig_22_2"/>
      <w:bookmarkStart w:id="197" w:name="Tc_nb5o4RK5ZU6tnXobVwEVjA_22_0"/>
      <w:bookmarkStart w:id="198" w:name="Tc_gS5dErzHzUeiWQCV-Tfrtg_21_9"/>
      <w:bookmarkStart w:id="199" w:name="Tc_YNnnPM-igk-5cKu57nhVHA_21_6"/>
      <w:bookmarkStart w:id="200" w:name="Tc_2MOAwSo1dkC0ueHLjFfvIQ_21_3"/>
      <w:bookmarkStart w:id="201" w:name="Tc_Z5KJn-fdUUa4kHIdjqF5eg_21_0"/>
      <w:bookmarkStart w:id="202" w:name="Tc_7UrLqQf22k6RsO-bq9lROg_20_0"/>
      <w:bookmarkStart w:id="203" w:name="Tc_QLTEUKodT0uGgW58QwHHAA_19_0"/>
      <w:bookmarkStart w:id="204" w:name="Tc_hQHDk1vvyEGZ5nYvis3hGQ_18_0"/>
      <w:bookmarkStart w:id="205" w:name="Tc_uBJBZquLDEG5eshZGgT-Iw_17_11"/>
      <w:bookmarkStart w:id="206" w:name="Tc_vOCIwC0_NUiYK9uXx2rmCA_17_8"/>
      <w:bookmarkStart w:id="207" w:name="Tc_8Sc-GTQ030u2c1xPK1697Q_17_5"/>
      <w:bookmarkStart w:id="208" w:name="Tc_2sldTMcYE0yaS3hq7pF95w_17_2"/>
      <w:bookmarkStart w:id="209" w:name="Tc_392B-LadLEqk-BBy0ea4gw_17_0"/>
      <w:bookmarkStart w:id="210" w:name="Tc_1poe8ETTukuZy6u61XS_WA_16_0"/>
      <w:bookmarkStart w:id="211" w:name="Tc_6_av3QGAPU6doeXcYlyVKg_15_11"/>
      <w:bookmarkStart w:id="212" w:name="Tc_Z6Oa2vIij0eexjD9_6_u0g_15_8"/>
      <w:bookmarkStart w:id="213" w:name="Tc_jojljmQ9tkCgWrhFAsvvRQ_15_5"/>
      <w:bookmarkStart w:id="214" w:name="Tc_V9kasqExlEeyoAksDmnISg_15_2"/>
      <w:bookmarkStart w:id="215" w:name="Tc_KAwtCm7Pu0O44ChZ69_m3g_15_0"/>
      <w:bookmarkStart w:id="216" w:name="Tc_CA4TL0Yi-0qIfDC-0NM37Q_14_0"/>
      <w:bookmarkStart w:id="217" w:name="Tc_4Tb9VXqgGUGLzwyfmFpETg_13_0"/>
      <w:bookmarkStart w:id="218" w:name="Tc_m37xlI9vYUuLJTl6Yv5Sww_12_0"/>
      <w:bookmarkStart w:id="219" w:name="Tc_sH2_aSMFCUmwfhDu1JYMPQ_11_0"/>
      <w:bookmarkStart w:id="220" w:name="Tc_dk68bpDhB0iaP_RjO0GjYw_10_0"/>
      <w:bookmarkStart w:id="221" w:name="Tc_KR9Sbp1_5UqoOlog65j55w_9_0"/>
      <w:bookmarkStart w:id="222" w:name="Tc_pDRzv2sO1kuwyKeNtQ2FZA_8_0"/>
      <w:bookmarkStart w:id="223" w:name="Tc_EPXVEU2MV0C7Vg833wIRWQ_7_0"/>
      <w:bookmarkStart w:id="224" w:name="Tc_iHkJSawyD0etyQvQyCkWAg_6_0"/>
      <w:bookmarkStart w:id="225" w:name="Tc_Lkw7yq59AEOLrjRwBMxvLQ_5_0"/>
      <w:bookmarkStart w:id="226" w:name="Tc_wMzU26X62UaJ_Iqz2wKRMQ_4_11"/>
      <w:bookmarkStart w:id="227" w:name="Tc_0h-IMt-8ukOoPB7szxG-uw_4_8"/>
      <w:bookmarkStart w:id="228" w:name="Tc_Y6LcKzRlj02TCjAgfavARg_4_5"/>
      <w:bookmarkStart w:id="229" w:name="Tc_weoXThmI_UOHPB8MVQSzZA_4_2"/>
      <w:bookmarkStart w:id="230" w:name="Tc_wowA7VDKcUadZv731E_pnA_4_0"/>
      <w:bookmarkStart w:id="231" w:name="Tc_zTKAknrG8UCc4jB0YiXE7w_3_11"/>
      <w:bookmarkStart w:id="232" w:name="Tc_5J5MvGXia0qgJNszrNAwvw_3_8"/>
      <w:bookmarkStart w:id="233" w:name="Tc_0-mruHKvqkiWLoOLOa14OQ_3_5"/>
      <w:bookmarkStart w:id="234" w:name="Tc_g3uLPb2i4Eifa-02i6p9Lg_3_2"/>
      <w:bookmarkStart w:id="235" w:name="Tc_8VzoH1PmLE681moMEBqTqQ_3_0"/>
      <w:bookmarkStart w:id="236" w:name="Tc_VB77ILvxck-JBkC1T4LXnw_2_11"/>
      <w:bookmarkStart w:id="237" w:name="Tc_FtADi3JX_0Kuuld0KsdEkA_2_8"/>
      <w:bookmarkStart w:id="238" w:name="Tc_wtA3OxOR50uokmVDV8PFYA_2_5"/>
      <w:bookmarkStart w:id="239" w:name="Tc_5jBwAldG0EucRTkAvGtLvA_2_2"/>
      <w:bookmarkStart w:id="240" w:name="Tc_EQk-Qt52U0uHIygszeok9w_1_8"/>
      <w:bookmarkStart w:id="241" w:name="Tc_xf4tII4VKkW8AjJVHXZglQ_1_2"/>
      <w:bookmarkStart w:id="242" w:name="_2505a9fe_96a3_4bd2_8985_dd7a03cadefc"/>
      <w:bookmarkStart w:id="243" w:name="_3c54a114_da3f_48b2_878c_8beadfb931c0"/>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tbl>
      <w:tblPr>
        <w:tblW w:w="10205" w:type="dxa"/>
        <w:jc w:val="left"/>
        <w:tblInd w:w="0" w:type="dxa"/>
        <w:tblLayout w:type="fixed"/>
        <w:tblCellMar>
          <w:top w:w="0" w:type="dxa"/>
          <w:left w:w="0" w:type="dxa"/>
          <w:bottom w:w="0" w:type="dxa"/>
          <w:right w:w="0" w:type="dxa"/>
        </w:tblCellMar>
      </w:tblPr>
      <w:tblGrid>
        <w:gridCol w:w="5816"/>
        <w:gridCol w:w="326"/>
        <w:gridCol w:w="211"/>
        <w:gridCol w:w="548"/>
        <w:gridCol w:w="326"/>
        <w:gridCol w:w="211"/>
        <w:gridCol w:w="548"/>
        <w:gridCol w:w="326"/>
        <w:gridCol w:w="211"/>
        <w:gridCol w:w="548"/>
        <w:gridCol w:w="326"/>
        <w:gridCol w:w="211"/>
        <w:gridCol w:w="597"/>
      </w:tblGrid>
      <w:tr>
        <w:trPr/>
        <w:tc>
          <w:tcPr>
            <w:tcW w:w="5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693160" cy="175260"/>
                      <wp:effectExtent l="0" t="0" r="0" b="0"/>
                      <wp:wrapNone/>
                      <wp:docPr id="8" name="Frame8"/>
                      <a:graphic xmlns:a="http://schemas.openxmlformats.org/drawingml/2006/main">
                        <a:graphicData uri="http://schemas.microsoft.com/office/word/2010/wordprocessingShape">
                          <wps:wsp>
                            <wps:cNvSpPr txBox="1"/>
                            <wps:spPr>
                              <a:xfrm>
                                <a:off x="0" y="0"/>
                                <a:ext cx="369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47980" cy="175260"/>
                      <wp:effectExtent l="0" t="0" r="0" b="0"/>
                      <wp:wrapNone/>
                      <wp:docPr id="11" name="Frame11"/>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47980" cy="175260"/>
                      <wp:effectExtent l="0" t="0" r="0" b="0"/>
                      <wp:wrapNone/>
                      <wp:docPr id="14" name="Frame14"/>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47980" cy="175260"/>
                      <wp:effectExtent l="0" t="0" r="0" b="0"/>
                      <wp:wrapNone/>
                      <wp:docPr id="17" name="Frame17"/>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79095" cy="175260"/>
                      <wp:effectExtent l="0" t="0" r="0" b="0"/>
                      <wp:wrapNone/>
                      <wp:docPr id="20" name="Frame20"/>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    </w:t>
            </w:r>
          </w:p>
        </w:tc>
        <w:tc>
          <w:tcPr>
            <w:tcW w:w="18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5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left"/>
              <w:rPr/>
            </w:pPr>
            <w:r>
              <w:rPr/>
              <w:t> </w:t>
            </w:r>
          </w:p>
        </w:tc>
        <w:tc>
          <w:tcPr>
            <w:tcW w:w="7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w:t>
            </w:r>
          </w:p>
        </w:tc>
        <w:tc>
          <w:tcPr>
            <w:tcW w:w="326" w:type="dxa"/>
            <w:tcBorders/>
            <w:vAlign w:val="center"/>
          </w:tcPr>
          <w:p>
            <w:pPr>
              <w:pStyle w:val="TableContents"/>
              <w:bidi w:val="0"/>
              <w:spacing w:before="0" w:after="0"/>
              <w:ind w:left="0" w:right="0" w:hanging="0"/>
              <w:jc w:val="center"/>
              <w:rPr/>
            </w:pPr>
            <w:r>
              <w:rPr/>
              <w:t>​</w:t>
            </w:r>
          </w:p>
        </w:tc>
        <w:tc>
          <w:tcPr>
            <w:tcW w:w="7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left"/>
              <w:rPr/>
            </w:pPr>
            <w:r>
              <w:rPr/>
              <w:t> </w:t>
            </w:r>
          </w:p>
        </w:tc>
        <w:tc>
          <w:tcPr>
            <w:tcW w:w="8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w:t>
            </w:r>
          </w:p>
        </w:tc>
      </w:tr>
      <w:tr>
        <w:trPr/>
        <w:tc>
          <w:tcPr>
            <w:tcW w:w="581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 except per share amounts</w:t>
            </w:r>
          </w:p>
        </w:tc>
        <w:tc>
          <w:tcPr>
            <w:tcW w:w="326" w:type="dxa"/>
            <w:tcBorders/>
            <w:vAlign w:val="center"/>
          </w:tcPr>
          <w:p>
            <w:pPr>
              <w:pStyle w:val="TableContents"/>
              <w:bidi w:val="0"/>
              <w:spacing w:before="0" w:after="0"/>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58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r>
      <w:tr>
        <w:trPr/>
        <w:tc>
          <w:tcPr>
            <w:tcW w:w="58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431</w:t>
            </w:r>
          </w:p>
        </w:tc>
      </w:tr>
      <w:tr>
        <w:trPr/>
        <w:tc>
          <w:tcPr>
            <w:tcW w:w="58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58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58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58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545</w:t>
            </w:r>
          </w:p>
        </w:tc>
      </w:tr>
      <w:tr>
        <w:trPr/>
        <w:tc>
          <w:tcPr>
            <w:tcW w:w="581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w:t>
            </w:r>
          </w:p>
        </w:tc>
      </w:tr>
      <w:tr>
        <w:trPr/>
        <w:tc>
          <w:tcPr>
            <w:tcW w:w="58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581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Income (loss) before income taxes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w:t>
            </w:r>
          </w:p>
        </w:tc>
      </w:tr>
      <w:tr>
        <w:trPr/>
        <w:tc>
          <w:tcPr>
            <w:tcW w:w="58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581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(loss)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w:t>
            </w:r>
          </w:p>
        </w:tc>
      </w:tr>
      <w:tr>
        <w:trPr/>
        <w:tc>
          <w:tcPr>
            <w:tcW w:w="58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(loss) per share attributed to Class A and Class B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pPr>
            <w:r>
              <w:rPr/>
              <w:t>​</w:t>
            </w:r>
          </w:p>
        </w:tc>
      </w:tr>
      <w:tr>
        <w:trPr/>
        <w:tc>
          <w:tcPr>
            <w:tcW w:w="58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r>
      <w:tr>
        <w:trPr/>
        <w:tc>
          <w:tcPr>
            <w:tcW w:w="58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Weighted-average number of shares used in computation of earnings (loss) per share attributed to Class A and Class B stockholders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pPr>
            <w:r>
              <w:rPr/>
              <w:t>​</w:t>
            </w:r>
          </w:p>
        </w:tc>
      </w:tr>
      <w:tr>
        <w:trPr/>
        <w:tc>
          <w:tcPr>
            <w:tcW w:w="58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w:t>
            </w:r>
          </w:p>
        </w:tc>
      </w:tr>
      <w:tr>
        <w:trPr/>
        <w:tc>
          <w:tcPr>
            <w:tcW w:w="58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w:t>
            </w:r>
          </w:p>
        </w:tc>
      </w:tr>
      <w:tr>
        <w:trPr/>
        <w:tc>
          <w:tcPr>
            <w:tcW w:w="581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r>
      <w:tr>
        <w:trPr/>
        <w:tc>
          <w:tcPr>
            <w:tcW w:w="58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COMPREHENSIVE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44" w:name="_e3877c82_8b8d_4744_b635_64a5a6cc0ad0"/>
      <w:bookmarkEnd w:id="244"/>
      <w:r>
        <w:rPr>
          <w:rFonts w:ascii="Times New Roman;Times;serif" w:hAnsi="Times New Roman;Times;serif"/>
          <w:b/>
          <w:sz w:val="20"/>
        </w:rPr>
        <w:t>MOBILEYE GLOBAL INC.</w:t>
      </w:r>
    </w:p>
    <w:p>
      <w:pPr>
        <w:pStyle w:val="TextBody"/>
        <w:bidi w:val="0"/>
        <w:spacing w:before="0" w:after="120"/>
        <w:ind w:left="0" w:right="0" w:hanging="0"/>
        <w:jc w:val="center"/>
        <w:rPr>
          <w:rFonts w:ascii="Times New Roman;Times;serif" w:hAnsi="Times New Roman;Times;serif"/>
          <w:b/>
          <w:sz w:val="20"/>
        </w:rPr>
      </w:pPr>
      <w:bookmarkStart w:id="245" w:name="STATEMENTSOFCHANGESINEQUITY_373450"/>
      <w:bookmarkEnd w:id="245"/>
      <w:r>
        <w:rPr>
          <w:rFonts w:ascii="Times New Roman;Times;serif" w:hAnsi="Times New Roman;Times;serif"/>
          <w:b/>
          <w:sz w:val="20"/>
        </w:rPr>
        <w:t>CONDENSED 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46" w:name="Tc_--yGWd3yJUWjCxaY8ok0Uw_37_16"/>
      <w:bookmarkStart w:id="247" w:name="Tc_sVVHK7y4Z0-dUBK4rptNXA_37_13"/>
      <w:bookmarkStart w:id="248" w:name="Tc_7k2smPT0-kOfG-ToWeXVpQ_37_11"/>
      <w:bookmarkStart w:id="249" w:name="Tc_wpDeN9nNUEG1LA2CK_nncg_37_10"/>
      <w:bookmarkStart w:id="250" w:name="Tc_0i_gdKQm6Ei4ANfbDQVA5g_37_7"/>
      <w:bookmarkStart w:id="251" w:name="Tc_cKn1uFTSbE6gOcXN-n4SQw_37_4"/>
      <w:bookmarkStart w:id="252" w:name="Tc_3auIDKRQIk-yLwNhAixvSw_37_0"/>
      <w:bookmarkStart w:id="253" w:name="Tc_us3aqW6PzUeSvWELZf-AoQ_36_17"/>
      <w:bookmarkStart w:id="254" w:name="Tc__4EdxIEluE-3sbd1NSVlpQ_36_14"/>
      <w:bookmarkStart w:id="255" w:name="Tc_2O5j8Fh7t06czNuWhVvbjw_36_11"/>
      <w:bookmarkStart w:id="256" w:name="Tc_U6Khm15crUC1F9SB2xJOUQ_36_8"/>
      <w:bookmarkStart w:id="257" w:name="Tc_vaMHZ-TPn0ux9Xx6v1nJDQ_36_5"/>
      <w:bookmarkStart w:id="258" w:name="Tc_oYwrlsBzQ06Z6DwYqKcvDQ_36_2"/>
      <w:bookmarkStart w:id="259" w:name="Tc_XoUuIBxRz0SDHQx5nLx_Cw_36_0"/>
      <w:bookmarkStart w:id="260" w:name="Tc_fymYcLTlC0WZpzvZd3UtBQ_35_17"/>
      <w:bookmarkStart w:id="261" w:name="Tc_c3XOCuGMN0KWMEFEnDwJFA_35_14"/>
      <w:bookmarkStart w:id="262" w:name="Tc_D5qew0WHjEKN4aWE03FTmg_35_11"/>
      <w:bookmarkStart w:id="263" w:name="Tc_c-F__dMO_kymSjgB8gkVhg_35_8"/>
      <w:bookmarkStart w:id="264" w:name="Tc_eEj2IRUsO0S2kAz35ns5Sw_35_5"/>
      <w:bookmarkStart w:id="265" w:name="Tc_n6PDTOyPxkGfU1l_uXlCuA_35_0"/>
      <w:bookmarkStart w:id="266" w:name="Tc_t_9_Teqya0OhrHYJij_NbQ_34_14"/>
      <w:bookmarkStart w:id="267" w:name="Tc_JuBG1ZFzeUurxAqPz9GV4Q_34_11"/>
      <w:bookmarkStart w:id="268" w:name="Tc_H11eoVIIdE-iDtijGbOArw_34_5"/>
      <w:bookmarkStart w:id="269" w:name="Tc_nAqeB-VB-EG5h0K2F77JGw_34_2"/>
      <w:bookmarkStart w:id="270" w:name="Tc_GMGjh91KQ0O5_ZI6a7QwrQ_34_0"/>
      <w:bookmarkStart w:id="271" w:name="Tc_fJ59aTKrskm3IVgTMo0aMg_33_14"/>
      <w:bookmarkStart w:id="272" w:name="Tc_R0W9XhiRlUe_4N2Gvmb0rw_33_11"/>
      <w:bookmarkStart w:id="273" w:name="Tc_abcSnaeeLE-Hfjp17tbdgw_33_5"/>
      <w:bookmarkStart w:id="274" w:name="Tc_Amxl6QhI_0e3QQJ9Dq-W3A_33_2"/>
      <w:bookmarkStart w:id="275" w:name="Tc_P-wxb2-TvEmLSC1_6xUgFQ_33_0"/>
      <w:bookmarkStart w:id="276" w:name="Tc_XMEIOBUKgEOnE4K2mQlbMw_32_14"/>
      <w:bookmarkStart w:id="277" w:name="Tc_HALqBYNQaUy8V_gLbBb5GA_32_8"/>
      <w:bookmarkStart w:id="278" w:name="Tc_7T5hhtAJO0ifeSquFmPMlA_32_5"/>
      <w:bookmarkStart w:id="279" w:name="Tc_gH3qhBmwwkC_Z13PXD1DBg_32_2"/>
      <w:bookmarkStart w:id="280" w:name="Tc_Quy1ipsAwk27BrlIzRN3JA_32_0"/>
      <w:bookmarkStart w:id="281" w:name="Tc_AmsUx93lkEyfkQiy8YcZ6Q_31_11"/>
      <w:bookmarkStart w:id="282" w:name="Tc_lnn0JsvkeUaU4Xr0B1DWTw_31_8"/>
      <w:bookmarkStart w:id="283" w:name="Tc_xAE_eat5ak-WnFfPIFESPw_31_5"/>
      <w:bookmarkStart w:id="284" w:name="Tc_-jHRM6WxwEGrTX5ug5bMOA_31_2"/>
      <w:bookmarkStart w:id="285" w:name="Tc_6ZsMMMDwb0ib0EX_IYb34A_31_0"/>
      <w:bookmarkStart w:id="286" w:name="Tc__g_zEANVykG7yQ5ibbFBtQ_30_16"/>
      <w:bookmarkStart w:id="287" w:name="Tc_kswp2478_ECDT-O0M3rV9A_30_13"/>
      <w:bookmarkStart w:id="288" w:name="Tc_rxLYsg62R0SSXLyDI-ziRA_30_10"/>
      <w:bookmarkStart w:id="289" w:name="Tc_05yaVFQw60SewN6A0OEgLw_30_7"/>
      <w:bookmarkStart w:id="290" w:name="Tc_5XqNJ6q010a2im-1mdz0Kg_30_4"/>
      <w:bookmarkStart w:id="291" w:name="Tc_rA56T-YwC0GyQSbYGunNxA_30_0"/>
      <w:bookmarkStart w:id="292" w:name="Tc_wvUgJ2-My0yavMPhEvXs_w_28_16"/>
      <w:bookmarkStart w:id="293" w:name="Tc_ZQkC84WuJ0iJnHfBzAeDhA_28_13"/>
      <w:bookmarkStart w:id="294" w:name="Tc_ibxtJu6B5U24duWcgfpwhg_28_11"/>
      <w:bookmarkStart w:id="295" w:name="Tc_WMOAkmGmw0uqtq7jtFfXOw_28_10"/>
      <w:bookmarkStart w:id="296" w:name="Tc_AjnFIz0Nkk-4_ILXx8U5zg_28_7"/>
      <w:bookmarkStart w:id="297" w:name="Tc_rrD6cn9yJUmr3aBzwlIG-Q_28_4"/>
      <w:bookmarkStart w:id="298" w:name="Tc_ToKg0xkTf0K2DWhbnJXVEA_28_0"/>
      <w:bookmarkStart w:id="299" w:name="Tc_JO4qAfwekkuQK3qAuc1-Bw_27_17"/>
      <w:bookmarkStart w:id="300" w:name="Tc_nQTpzM3cZUiUtBCKVeVAtQ_27_14"/>
      <w:bookmarkStart w:id="301" w:name="Tc_z8tCFZed4US2CA7YNpuBWQ_27_11"/>
      <w:bookmarkStart w:id="302" w:name="Tc_Erd4KzG_n0G1fW5r4H6h-g_27_8"/>
      <w:bookmarkStart w:id="303" w:name="Tc_QLD_2Kgc5km6qJDV1VkuPA_27_5"/>
      <w:bookmarkStart w:id="304" w:name="Tc_VI0D_4AF4ESj_ZY0ttouaQ_27_0"/>
      <w:bookmarkStart w:id="305" w:name="Tc_d641Vvs5DEaumren3G7vxA_26_14"/>
      <w:bookmarkStart w:id="306" w:name="Tc_6oDm_0USs0iBi_1U-TxG4w_26_11"/>
      <w:bookmarkStart w:id="307" w:name="Tc_TpAMAdl3jky8crKfh08YvQ_26_5"/>
      <w:bookmarkStart w:id="308" w:name="Tc_hxfapKBrEUuRZ0vyFfuXEg_26_2"/>
      <w:bookmarkStart w:id="309" w:name="Tc_gslf9oM7mkat0qyReYf8eg_26_0"/>
      <w:bookmarkStart w:id="310" w:name="Tc_g0DuQOCDhUq2Da7udqLEJQ_25_14"/>
      <w:bookmarkStart w:id="311" w:name="Tc_HDZCjRRcqUGwwZJ1kfQpaQ_25_11"/>
      <w:bookmarkStart w:id="312" w:name="Tc_5w1RwCF8sECJk1V6jOa1Jg_25_5"/>
      <w:bookmarkStart w:id="313" w:name="Tc_KOYQqae8UUqz9FccOeZgCQ_25_2"/>
      <w:bookmarkStart w:id="314" w:name="Tc_ALpgZeOQ7kqhYMmQXu3fDw_25_0"/>
      <w:bookmarkStart w:id="315" w:name="Tc_1-VGBqv10kmQzl9jvG6xdQ_24_11"/>
      <w:bookmarkStart w:id="316" w:name="Tc_GSmQGScdAEaV19o-PLYYtg_24_8"/>
      <w:bookmarkStart w:id="317" w:name="Tc_-rYtif3oN0OONIUoQWxqHA_24_5"/>
      <w:bookmarkStart w:id="318" w:name="Tc_WRlBd6N1skusR9_4MvGBug_24_2"/>
      <w:bookmarkStart w:id="319" w:name="Tc_PNxgDIvsqUypuq2PtN81-Q_24_0"/>
      <w:bookmarkStart w:id="320" w:name="Tc_XsGb-DD5a0mTb8DPTitPfA_23_16"/>
      <w:bookmarkStart w:id="321" w:name="Tc_yERLiaB_fUSZLfPPQQhpiw_23_13"/>
      <w:bookmarkStart w:id="322" w:name="Tc_ryUKlYWqbUSpbXzGymF0EQ_23_11"/>
      <w:bookmarkStart w:id="323" w:name="Tc_1rkBO62Z5kCgLM2vZYT1zA_23_10"/>
      <w:bookmarkStart w:id="324" w:name="Tc_Hr4lPPTMNked6-H8xFqw6A_23_7"/>
      <w:bookmarkStart w:id="325" w:name="Tc_3rxv0pi2pUCUrEeczZt16w_23_4"/>
      <w:bookmarkStart w:id="326" w:name="Tc_wdxgvybzpk6-iuIg-tED3A_23_0"/>
      <w:bookmarkStart w:id="327" w:name="Tc_eXXMhIPYYkSokxDIost2GA_22_0"/>
      <w:bookmarkStart w:id="328" w:name="Tc_QI4L2oWlnkqSHJ9MVhNF3A_20_16"/>
      <w:bookmarkStart w:id="329" w:name="Tc_iuUFWlZ5r0mJ12WGKBJHVw_20_13"/>
      <w:bookmarkStart w:id="330" w:name="Tc_elEm-DA220ufJ4Q6vhqCVw_20_11"/>
      <w:bookmarkStart w:id="331" w:name="Tc_u9or23fjSkGCJ1DeCLRpmg_20_10"/>
      <w:bookmarkStart w:id="332" w:name="Tc_CyF26AwrckqhBPbhezwyAg_20_7"/>
      <w:bookmarkStart w:id="333" w:name="Tc_1wli6MBPVESNbuMGsjgBnQ_20_4"/>
      <w:bookmarkStart w:id="334" w:name="Tc_ILUFIS6JB028SlZ-OkuuDA_20_0"/>
      <w:bookmarkStart w:id="335" w:name="Tc_v7OS1fpyPUGdzUtqteU3ew_19_17"/>
      <w:bookmarkStart w:id="336" w:name="Tc_DXV0qsmUiUqCY0t-GbpH0w_19_14"/>
      <w:bookmarkStart w:id="337" w:name="Tc_ohWj3inQ1U6xfWBk8qydqA_19_11"/>
      <w:bookmarkStart w:id="338" w:name="Tc_7quTRXIRRk67A_rTjHt2gA_19_8"/>
      <w:bookmarkStart w:id="339" w:name="Tc_MQvrvPLD8ka87-zu1Hnp5Q_19_5"/>
      <w:bookmarkStart w:id="340" w:name="Tc_sMrMau2rzEqFtqHkpt2Vlw_19_2"/>
      <w:bookmarkStart w:id="341" w:name="Tc_pEBy73ShJUm1LDN6en4ngQ_19_0"/>
      <w:bookmarkStart w:id="342" w:name="Tc_ofIUWLN8q0Wq-LQhn5Et-w_18_17"/>
      <w:bookmarkStart w:id="343" w:name="Tc_jKiQ-z1Cr02miw7inEzVrQ_18_14"/>
      <w:bookmarkStart w:id="344" w:name="Tc_0yihHXOLLES3a80fjvCfEg_18_11"/>
      <w:bookmarkStart w:id="345" w:name="Tc_xYQPC69qsEKdZimfRstsqQ_18_8"/>
      <w:bookmarkStart w:id="346" w:name="Tc_3PgmXg8GvkCDDVYJPhcLoA_18_5"/>
      <w:bookmarkStart w:id="347" w:name="Tc_TrSOG0Kn1E2-2Ihrd7cguQ_18_0"/>
      <w:bookmarkStart w:id="348" w:name="Tc_Aes5GP5tGU6DaZJjME_taA_17_14"/>
      <w:bookmarkStart w:id="349" w:name="Tc_BL2lHZkOoEyVcBKhnCj5DA_17_11"/>
      <w:bookmarkStart w:id="350" w:name="Tc_g-5MSCFOdUqeTPrC_0u1nw_17_5"/>
      <w:bookmarkStart w:id="351" w:name="Tc_Bxcl1gmnC0qh4qe25c4YWg_17_2"/>
      <w:bookmarkStart w:id="352" w:name="Tc_9VnDP7RUPEmqgaPv0Kh-ww_17_0"/>
      <w:bookmarkStart w:id="353" w:name="Tc_OcuFNB9DikeUVCWrZOG4EA_16_14"/>
      <w:bookmarkStart w:id="354" w:name="Tc_Le_JVxcEHE6GWLPrW0qVSA_16_11"/>
      <w:bookmarkStart w:id="355" w:name="Tc_Ls6ekhpXokqEhzqdTGHbVQ_16_5"/>
      <w:bookmarkStart w:id="356" w:name="Tc_KU0u1Tr-LEacDkuf3DjMew_16_2"/>
      <w:bookmarkStart w:id="357" w:name="Tc_qVJriNxIyka8-dDjgD3n3Q_16_0"/>
      <w:bookmarkStart w:id="358" w:name="Tc_Dgc1G0fRjEKRmz-lgTHzVA_15_14"/>
      <w:bookmarkStart w:id="359" w:name="Tc_R3Ll4qU2TEyllHaK1vgQTA_15_11"/>
      <w:bookmarkStart w:id="360" w:name="Tc_mmZz2xWmpUWyWWvFsF9fQQ_15_5"/>
      <w:bookmarkStart w:id="361" w:name="Tc_jyHN-zzXjU6fvuCiCRcO_Q_15_2"/>
      <w:bookmarkStart w:id="362" w:name="Tc_9Pi0JlJt0kOF-JbN311KhQ_15_0"/>
      <w:bookmarkStart w:id="363" w:name="Tc_qXhRTE02hUyChhSaijTnUQ_14_11"/>
      <w:bookmarkStart w:id="364" w:name="Tc_odUpKXrAukOESp6vpnxdyg_14_8"/>
      <w:bookmarkStart w:id="365" w:name="Tc_pHFJGkba50ySSPvw2ycs-Q_14_5"/>
      <w:bookmarkStart w:id="366" w:name="Tc_dK6StwMcy02g92VSEOnioA_14_2"/>
      <w:bookmarkStart w:id="367" w:name="Tc_YC76pjyrRkuU9XXqjFuAZg_14_0"/>
      <w:bookmarkStart w:id="368" w:name="Tc_k6syoeR0HEKh5o_TqGVRAQ_13_16"/>
      <w:bookmarkStart w:id="369" w:name="Tc_M69NZ9OxgEarTn-JlG7aHQ_13_13"/>
      <w:bookmarkStart w:id="370" w:name="Tc_KW_9doK_gUGOc6CUKY1zeQ_13_11"/>
      <w:bookmarkStart w:id="371" w:name="Tc_HZbEmCp78EWPaiWjq0fuyw_13_10"/>
      <w:bookmarkStart w:id="372" w:name="Tc_T61VZCzao0CAyqnF8j7XvQ_13_7"/>
      <w:bookmarkStart w:id="373" w:name="Tc_wVVmh6odc06nxNk1XnR1xQ_13_4"/>
      <w:bookmarkStart w:id="374" w:name="Tc_TmrSx_RbSkO00-s0RX5nKw_13_0"/>
      <w:bookmarkStart w:id="375" w:name="Tc_qL0CCqDtpUSQ79n2_ceCaw_11_16"/>
      <w:bookmarkStart w:id="376" w:name="Tc_oGyouldhUUuPSQeYTfgudg_11_13"/>
      <w:bookmarkStart w:id="377" w:name="Tc_69SI0_ACtUmx23ClZ2EfPQ_11_11"/>
      <w:bookmarkStart w:id="378" w:name="Tc_zE0EJIB5q0ufPq0U6h9vPw_11_10"/>
      <w:bookmarkStart w:id="379" w:name="Tc_xs3Pk1KSkUCTrsuEQM1tTQ_11_7"/>
      <w:bookmarkStart w:id="380" w:name="Tc_2V8597jVRk2oenVOgSyiXQ_11_4"/>
      <w:bookmarkStart w:id="381" w:name="Tc_FL06IwbLWE-dpMhw6D6qcg_11_0"/>
      <w:bookmarkStart w:id="382" w:name="Tc_m0ev7U8HiUS_fZWTRffHdA_10_17"/>
      <w:bookmarkStart w:id="383" w:name="Tc_GCsuKXFGjEeEAfrEA0sBTw_10_14"/>
      <w:bookmarkStart w:id="384" w:name="Tc_HVUS25fXVUWEx74_pIQP8A_10_11"/>
      <w:bookmarkStart w:id="385" w:name="Tc_LfyWYzjUakKtC3v8PiNo2Q_10_8"/>
      <w:bookmarkStart w:id="386" w:name="Tc_PbVpM84TrkiSkb0sK3STuA_10_5"/>
      <w:bookmarkStart w:id="387" w:name="Tc_NNPszbCnb0OvC4IKf983_Q_10_0"/>
      <w:bookmarkStart w:id="388" w:name="Tc_52LLE4_o60icfFVZektEsQ_9_14"/>
      <w:bookmarkStart w:id="389" w:name="Tc_DFKNwtfcXUa20WNrt2rd2A_9_11"/>
      <w:bookmarkStart w:id="390" w:name="Tc_l4cwtkP5bE2tFo66AMj_7Q_9_5"/>
      <w:bookmarkStart w:id="391" w:name="Tc_EFnRp_qpokaDKjfrjLnnIA_9_2"/>
      <w:bookmarkStart w:id="392" w:name="Tc__xSc_2CIt0OYY7TfG6xyeg_9_0"/>
      <w:bookmarkStart w:id="393" w:name="Tc_mY_jPBdbmE6rRPvMMBJwRg_8_14"/>
      <w:bookmarkStart w:id="394" w:name="Tc_lsXHfdU4e0yohLmi9ldB6g_8_11"/>
      <w:bookmarkStart w:id="395" w:name="Tc_P5Cv7z8csEmu9sZfLb3GyA_8_5"/>
      <w:bookmarkStart w:id="396" w:name="Tc_IkNVR_CqPkyx2ScdeFbWxw_8_2"/>
      <w:bookmarkStart w:id="397" w:name="Tc_o85YImrdokm8FW0bk7Aedw_8_0"/>
      <w:bookmarkStart w:id="398" w:name="Tc_OUsizUKIO0-NQgqr4MlbHA_7_11"/>
      <w:bookmarkStart w:id="399" w:name="Tc_6BfDxPxS2E6Lhnkipoa6-Q_7_8"/>
      <w:bookmarkStart w:id="400" w:name="Tc_D8G9Ji7a4EGpFwHF6n3Yww_7_5"/>
      <w:bookmarkStart w:id="401" w:name="Tc_WEl8_k8ZJES1CkS6p_Cqlw_7_2"/>
      <w:bookmarkStart w:id="402" w:name="Tc_cmpPsj0eS0O72OoJVOuP_Q_7_0"/>
      <w:bookmarkStart w:id="403" w:name="Tc_-HeiQJQFgkmQExog-cTXVA_6_16"/>
      <w:bookmarkStart w:id="404" w:name="Tc_-2xp1FcIYkO4e6NwoZLhfw_6_13"/>
      <w:bookmarkStart w:id="405" w:name="Tc_o16q_dEOmEmn4VmrZM2DqQ_6_11"/>
      <w:bookmarkStart w:id="406" w:name="Tc_JaGaA6O8K0eCE9HSLmS54w_6_10"/>
      <w:bookmarkStart w:id="407" w:name="Tc_4EFDWjZj0UapFM3okKr32A_6_7"/>
      <w:bookmarkStart w:id="408" w:name="Tc_fAbVEkoQwkOXet4Y9Uj44Q_6_4"/>
      <w:bookmarkStart w:id="409" w:name="Tc_vR_zryoav0a3Lizza7k1pw_6_0"/>
      <w:bookmarkStart w:id="410" w:name="Tc_n597CjGEhEKKSmh22hj_-g_5_0"/>
      <w:bookmarkStart w:id="411" w:name="Tc_p-OQE4s0j0OunwryOT12dQ_4_16"/>
      <w:bookmarkStart w:id="412" w:name="Tc_Tl2MBJjRdked-nh4wJiUxQ_4_13"/>
      <w:bookmarkStart w:id="413" w:name="Tc_-NrfCfSkpEaYSfnqFmMx2w_4_10"/>
      <w:bookmarkStart w:id="414" w:name="Tc_eBS5WduCrEyin2wDYfXmxw_4_7"/>
      <w:bookmarkStart w:id="415" w:name="Tc_bnLtbKiKdEOUYBKIOwt3EQ_4_4"/>
      <w:bookmarkStart w:id="416" w:name="Tc_4Ydvrv9rW06SP0B52OmZQQ_4_2"/>
      <w:bookmarkStart w:id="417" w:name="Tc_GQO8keriv0GZF1irZG4AJw_4_0"/>
      <w:bookmarkStart w:id="418" w:name="Tc_v2S8xQV3XkO9j0W9vVfDxA_3_16"/>
      <w:bookmarkStart w:id="419" w:name="Tc_E-jVxd7k3UWGH6rnpwIoIA_3_13"/>
      <w:bookmarkStart w:id="420" w:name="Tc_tVsu_6Z1oEe1SxhMOfMC4w_3_10"/>
      <w:bookmarkStart w:id="421" w:name="Tc_NR4PU6DLvEOqkPXY1siHww_3_7"/>
      <w:bookmarkStart w:id="422" w:name="Tc_9AEoJ5-uW069U-TgG_VvLA_3_2"/>
      <w:bookmarkStart w:id="423" w:name="Tc_nMsnXNllfEuBhLNLt5gNzw_2_16"/>
      <w:bookmarkStart w:id="424" w:name="Tc_nC21NWI9AEeECNtC1Idrzg_2_13"/>
      <w:bookmarkStart w:id="425" w:name="Tc_IrWx8Xqx302wl3MRgmgDkQ_2_10"/>
      <w:bookmarkStart w:id="426" w:name="Tc_Mr1zStXSk0yRk-cg3LKrjg_2_7"/>
      <w:bookmarkStart w:id="427" w:name="Tc_TWdINSZSzkWAOTOlJN3xoA_1_13"/>
      <w:bookmarkStart w:id="428" w:name="Tc_kCTjJfW2k0eEppVYLLiZRA_1_10"/>
      <w:bookmarkStart w:id="429" w:name="Tc_TDHEbrZQqEGMMBX-DgQynQ_1_2"/>
      <w:bookmarkStart w:id="430" w:name="_5f39f89c_bc8f_4be9_b977_cb391ed1fdf5"/>
      <w:bookmarkStart w:id="431" w:name="Tc_--yGWd3yJUWjCxaY8ok0Uw_37_16"/>
      <w:bookmarkStart w:id="432" w:name="Tc_sVVHK7y4Z0-dUBK4rptNXA_37_13"/>
      <w:bookmarkStart w:id="433" w:name="Tc_7k2smPT0-kOfG-ToWeXVpQ_37_11"/>
      <w:bookmarkStart w:id="434" w:name="Tc_wpDeN9nNUEG1LA2CK_nncg_37_10"/>
      <w:bookmarkStart w:id="435" w:name="Tc_0i_gdKQm6Ei4ANfbDQVA5g_37_7"/>
      <w:bookmarkStart w:id="436" w:name="Tc_cKn1uFTSbE6gOcXN-n4SQw_37_4"/>
      <w:bookmarkStart w:id="437" w:name="Tc_3auIDKRQIk-yLwNhAixvSw_37_0"/>
      <w:bookmarkStart w:id="438" w:name="Tc_us3aqW6PzUeSvWELZf-AoQ_36_17"/>
      <w:bookmarkStart w:id="439" w:name="Tc__4EdxIEluE-3sbd1NSVlpQ_36_14"/>
      <w:bookmarkStart w:id="440" w:name="Tc_2O5j8Fh7t06czNuWhVvbjw_36_11"/>
      <w:bookmarkStart w:id="441" w:name="Tc_U6Khm15crUC1F9SB2xJOUQ_36_8"/>
      <w:bookmarkStart w:id="442" w:name="Tc_vaMHZ-TPn0ux9Xx6v1nJDQ_36_5"/>
      <w:bookmarkStart w:id="443" w:name="Tc_oYwrlsBzQ06Z6DwYqKcvDQ_36_2"/>
      <w:bookmarkStart w:id="444" w:name="Tc_XoUuIBxRz0SDHQx5nLx_Cw_36_0"/>
      <w:bookmarkStart w:id="445" w:name="Tc_fymYcLTlC0WZpzvZd3UtBQ_35_17"/>
      <w:bookmarkStart w:id="446" w:name="Tc_c3XOCuGMN0KWMEFEnDwJFA_35_14"/>
      <w:bookmarkStart w:id="447" w:name="Tc_D5qew0WHjEKN4aWE03FTmg_35_11"/>
      <w:bookmarkStart w:id="448" w:name="Tc_c-F__dMO_kymSjgB8gkVhg_35_8"/>
      <w:bookmarkStart w:id="449" w:name="Tc_eEj2IRUsO0S2kAz35ns5Sw_35_5"/>
      <w:bookmarkStart w:id="450" w:name="Tc_n6PDTOyPxkGfU1l_uXlCuA_35_0"/>
      <w:bookmarkStart w:id="451" w:name="Tc_t_9_Teqya0OhrHYJij_NbQ_34_14"/>
      <w:bookmarkStart w:id="452" w:name="Tc_JuBG1ZFzeUurxAqPz9GV4Q_34_11"/>
      <w:bookmarkStart w:id="453" w:name="Tc_H11eoVIIdE-iDtijGbOArw_34_5"/>
      <w:bookmarkStart w:id="454" w:name="Tc_nAqeB-VB-EG5h0K2F77JGw_34_2"/>
      <w:bookmarkStart w:id="455" w:name="Tc_GMGjh91KQ0O5_ZI6a7QwrQ_34_0"/>
      <w:bookmarkStart w:id="456" w:name="Tc_fJ59aTKrskm3IVgTMo0aMg_33_14"/>
      <w:bookmarkStart w:id="457" w:name="Tc_R0W9XhiRlUe_4N2Gvmb0rw_33_11"/>
      <w:bookmarkStart w:id="458" w:name="Tc_abcSnaeeLE-Hfjp17tbdgw_33_5"/>
      <w:bookmarkStart w:id="459" w:name="Tc_Amxl6QhI_0e3QQJ9Dq-W3A_33_2"/>
      <w:bookmarkStart w:id="460" w:name="Tc_P-wxb2-TvEmLSC1_6xUgFQ_33_0"/>
      <w:bookmarkStart w:id="461" w:name="Tc_XMEIOBUKgEOnE4K2mQlbMw_32_14"/>
      <w:bookmarkStart w:id="462" w:name="Tc_HALqBYNQaUy8V_gLbBb5GA_32_8"/>
      <w:bookmarkStart w:id="463" w:name="Tc_7T5hhtAJO0ifeSquFmPMlA_32_5"/>
      <w:bookmarkStart w:id="464" w:name="Tc_gH3qhBmwwkC_Z13PXD1DBg_32_2"/>
      <w:bookmarkStart w:id="465" w:name="Tc_Quy1ipsAwk27BrlIzRN3JA_32_0"/>
      <w:bookmarkStart w:id="466" w:name="Tc_AmsUx93lkEyfkQiy8YcZ6Q_31_11"/>
      <w:bookmarkStart w:id="467" w:name="Tc_lnn0JsvkeUaU4Xr0B1DWTw_31_8"/>
      <w:bookmarkStart w:id="468" w:name="Tc_xAE_eat5ak-WnFfPIFESPw_31_5"/>
      <w:bookmarkStart w:id="469" w:name="Tc_-jHRM6WxwEGrTX5ug5bMOA_31_2"/>
      <w:bookmarkStart w:id="470" w:name="Tc_6ZsMMMDwb0ib0EX_IYb34A_31_0"/>
      <w:bookmarkStart w:id="471" w:name="Tc__g_zEANVykG7yQ5ibbFBtQ_30_16"/>
      <w:bookmarkStart w:id="472" w:name="Tc_kswp2478_ECDT-O0M3rV9A_30_13"/>
      <w:bookmarkStart w:id="473" w:name="Tc_rxLYsg62R0SSXLyDI-ziRA_30_10"/>
      <w:bookmarkStart w:id="474" w:name="Tc_05yaVFQw60SewN6A0OEgLw_30_7"/>
      <w:bookmarkStart w:id="475" w:name="Tc_5XqNJ6q010a2im-1mdz0Kg_30_4"/>
      <w:bookmarkStart w:id="476" w:name="Tc_rA56T-YwC0GyQSbYGunNxA_30_0"/>
      <w:bookmarkStart w:id="477" w:name="Tc_wvUgJ2-My0yavMPhEvXs_w_28_16"/>
      <w:bookmarkStart w:id="478" w:name="Tc_ZQkC84WuJ0iJnHfBzAeDhA_28_13"/>
      <w:bookmarkStart w:id="479" w:name="Tc_ibxtJu6B5U24duWcgfpwhg_28_11"/>
      <w:bookmarkStart w:id="480" w:name="Tc_WMOAkmGmw0uqtq7jtFfXOw_28_10"/>
      <w:bookmarkStart w:id="481" w:name="Tc_AjnFIz0Nkk-4_ILXx8U5zg_28_7"/>
      <w:bookmarkStart w:id="482" w:name="Tc_rrD6cn9yJUmr3aBzwlIG-Q_28_4"/>
      <w:bookmarkStart w:id="483" w:name="Tc_ToKg0xkTf0K2DWhbnJXVEA_28_0"/>
      <w:bookmarkStart w:id="484" w:name="Tc_JO4qAfwekkuQK3qAuc1-Bw_27_17"/>
      <w:bookmarkStart w:id="485" w:name="Tc_nQTpzM3cZUiUtBCKVeVAtQ_27_14"/>
      <w:bookmarkStart w:id="486" w:name="Tc_z8tCFZed4US2CA7YNpuBWQ_27_11"/>
      <w:bookmarkStart w:id="487" w:name="Tc_Erd4KzG_n0G1fW5r4H6h-g_27_8"/>
      <w:bookmarkStart w:id="488" w:name="Tc_QLD_2Kgc5km6qJDV1VkuPA_27_5"/>
      <w:bookmarkStart w:id="489" w:name="Tc_VI0D_4AF4ESj_ZY0ttouaQ_27_0"/>
      <w:bookmarkStart w:id="490" w:name="Tc_d641Vvs5DEaumren3G7vxA_26_14"/>
      <w:bookmarkStart w:id="491" w:name="Tc_6oDm_0USs0iBi_1U-TxG4w_26_11"/>
      <w:bookmarkStart w:id="492" w:name="Tc_TpAMAdl3jky8crKfh08YvQ_26_5"/>
      <w:bookmarkStart w:id="493" w:name="Tc_hxfapKBrEUuRZ0vyFfuXEg_26_2"/>
      <w:bookmarkStart w:id="494" w:name="Tc_gslf9oM7mkat0qyReYf8eg_26_0"/>
      <w:bookmarkStart w:id="495" w:name="Tc_g0DuQOCDhUq2Da7udqLEJQ_25_14"/>
      <w:bookmarkStart w:id="496" w:name="Tc_HDZCjRRcqUGwwZJ1kfQpaQ_25_11"/>
      <w:bookmarkStart w:id="497" w:name="Tc_5w1RwCF8sECJk1V6jOa1Jg_25_5"/>
      <w:bookmarkStart w:id="498" w:name="Tc_KOYQqae8UUqz9FccOeZgCQ_25_2"/>
      <w:bookmarkStart w:id="499" w:name="Tc_ALpgZeOQ7kqhYMmQXu3fDw_25_0"/>
      <w:bookmarkStart w:id="500" w:name="Tc_1-VGBqv10kmQzl9jvG6xdQ_24_11"/>
      <w:bookmarkStart w:id="501" w:name="Tc_GSmQGScdAEaV19o-PLYYtg_24_8"/>
      <w:bookmarkStart w:id="502" w:name="Tc_-rYtif3oN0OONIUoQWxqHA_24_5"/>
      <w:bookmarkStart w:id="503" w:name="Tc_WRlBd6N1skusR9_4MvGBug_24_2"/>
      <w:bookmarkStart w:id="504" w:name="Tc_PNxgDIvsqUypuq2PtN81-Q_24_0"/>
      <w:bookmarkStart w:id="505" w:name="Tc_XsGb-DD5a0mTb8DPTitPfA_23_16"/>
      <w:bookmarkStart w:id="506" w:name="Tc_yERLiaB_fUSZLfPPQQhpiw_23_13"/>
      <w:bookmarkStart w:id="507" w:name="Tc_ryUKlYWqbUSpbXzGymF0EQ_23_11"/>
      <w:bookmarkStart w:id="508" w:name="Tc_1rkBO62Z5kCgLM2vZYT1zA_23_10"/>
      <w:bookmarkStart w:id="509" w:name="Tc_Hr4lPPTMNked6-H8xFqw6A_23_7"/>
      <w:bookmarkStart w:id="510" w:name="Tc_3rxv0pi2pUCUrEeczZt16w_23_4"/>
      <w:bookmarkStart w:id="511" w:name="Tc_wdxgvybzpk6-iuIg-tED3A_23_0"/>
      <w:bookmarkStart w:id="512" w:name="Tc_eXXMhIPYYkSokxDIost2GA_22_0"/>
      <w:bookmarkStart w:id="513" w:name="Tc_QI4L2oWlnkqSHJ9MVhNF3A_20_16"/>
      <w:bookmarkStart w:id="514" w:name="Tc_iuUFWlZ5r0mJ12WGKBJHVw_20_13"/>
      <w:bookmarkStart w:id="515" w:name="Tc_elEm-DA220ufJ4Q6vhqCVw_20_11"/>
      <w:bookmarkStart w:id="516" w:name="Tc_u9or23fjSkGCJ1DeCLRpmg_20_10"/>
      <w:bookmarkStart w:id="517" w:name="Tc_CyF26AwrckqhBPbhezwyAg_20_7"/>
      <w:bookmarkStart w:id="518" w:name="Tc_1wli6MBPVESNbuMGsjgBnQ_20_4"/>
      <w:bookmarkStart w:id="519" w:name="Tc_ILUFIS6JB028SlZ-OkuuDA_20_0"/>
      <w:bookmarkStart w:id="520" w:name="Tc_v7OS1fpyPUGdzUtqteU3ew_19_17"/>
      <w:bookmarkStart w:id="521" w:name="Tc_DXV0qsmUiUqCY0t-GbpH0w_19_14"/>
      <w:bookmarkStart w:id="522" w:name="Tc_ohWj3inQ1U6xfWBk8qydqA_19_11"/>
      <w:bookmarkStart w:id="523" w:name="Tc_7quTRXIRRk67A_rTjHt2gA_19_8"/>
      <w:bookmarkStart w:id="524" w:name="Tc_MQvrvPLD8ka87-zu1Hnp5Q_19_5"/>
      <w:bookmarkStart w:id="525" w:name="Tc_sMrMau2rzEqFtqHkpt2Vlw_19_2"/>
      <w:bookmarkStart w:id="526" w:name="Tc_pEBy73ShJUm1LDN6en4ngQ_19_0"/>
      <w:bookmarkStart w:id="527" w:name="Tc_ofIUWLN8q0Wq-LQhn5Et-w_18_17"/>
      <w:bookmarkStart w:id="528" w:name="Tc_jKiQ-z1Cr02miw7inEzVrQ_18_14"/>
      <w:bookmarkStart w:id="529" w:name="Tc_0yihHXOLLES3a80fjvCfEg_18_11"/>
      <w:bookmarkStart w:id="530" w:name="Tc_xYQPC69qsEKdZimfRstsqQ_18_8"/>
      <w:bookmarkStart w:id="531" w:name="Tc_3PgmXg8GvkCDDVYJPhcLoA_18_5"/>
      <w:bookmarkStart w:id="532" w:name="Tc_TrSOG0Kn1E2-2Ihrd7cguQ_18_0"/>
      <w:bookmarkStart w:id="533" w:name="Tc_Aes5GP5tGU6DaZJjME_taA_17_14"/>
      <w:bookmarkStart w:id="534" w:name="Tc_BL2lHZkOoEyVcBKhnCj5DA_17_11"/>
      <w:bookmarkStart w:id="535" w:name="Tc_g-5MSCFOdUqeTPrC_0u1nw_17_5"/>
      <w:bookmarkStart w:id="536" w:name="Tc_Bxcl1gmnC0qh4qe25c4YWg_17_2"/>
      <w:bookmarkStart w:id="537" w:name="Tc_9VnDP7RUPEmqgaPv0Kh-ww_17_0"/>
      <w:bookmarkStart w:id="538" w:name="Tc_OcuFNB9DikeUVCWrZOG4EA_16_14"/>
      <w:bookmarkStart w:id="539" w:name="Tc_Le_JVxcEHE6GWLPrW0qVSA_16_11"/>
      <w:bookmarkStart w:id="540" w:name="Tc_Ls6ekhpXokqEhzqdTGHbVQ_16_5"/>
      <w:bookmarkStart w:id="541" w:name="Tc_KU0u1Tr-LEacDkuf3DjMew_16_2"/>
      <w:bookmarkStart w:id="542" w:name="Tc_qVJriNxIyka8-dDjgD3n3Q_16_0"/>
      <w:bookmarkStart w:id="543" w:name="Tc_Dgc1G0fRjEKRmz-lgTHzVA_15_14"/>
      <w:bookmarkStart w:id="544" w:name="Tc_R3Ll4qU2TEyllHaK1vgQTA_15_11"/>
      <w:bookmarkStart w:id="545" w:name="Tc_mmZz2xWmpUWyWWvFsF9fQQ_15_5"/>
      <w:bookmarkStart w:id="546" w:name="Tc_jyHN-zzXjU6fvuCiCRcO_Q_15_2"/>
      <w:bookmarkStart w:id="547" w:name="Tc_9Pi0JlJt0kOF-JbN311KhQ_15_0"/>
      <w:bookmarkStart w:id="548" w:name="Tc_qXhRTE02hUyChhSaijTnUQ_14_11"/>
      <w:bookmarkStart w:id="549" w:name="Tc_odUpKXrAukOESp6vpnxdyg_14_8"/>
      <w:bookmarkStart w:id="550" w:name="Tc_pHFJGkba50ySSPvw2ycs-Q_14_5"/>
      <w:bookmarkStart w:id="551" w:name="Tc_dK6StwMcy02g92VSEOnioA_14_2"/>
      <w:bookmarkStart w:id="552" w:name="Tc_YC76pjyrRkuU9XXqjFuAZg_14_0"/>
      <w:bookmarkStart w:id="553" w:name="Tc_k6syoeR0HEKh5o_TqGVRAQ_13_16"/>
      <w:bookmarkStart w:id="554" w:name="Tc_M69NZ9OxgEarTn-JlG7aHQ_13_13"/>
      <w:bookmarkStart w:id="555" w:name="Tc_KW_9doK_gUGOc6CUKY1zeQ_13_11"/>
      <w:bookmarkStart w:id="556" w:name="Tc_HZbEmCp78EWPaiWjq0fuyw_13_10"/>
      <w:bookmarkStart w:id="557" w:name="Tc_T61VZCzao0CAyqnF8j7XvQ_13_7"/>
      <w:bookmarkStart w:id="558" w:name="Tc_wVVmh6odc06nxNk1XnR1xQ_13_4"/>
      <w:bookmarkStart w:id="559" w:name="Tc_TmrSx_RbSkO00-s0RX5nKw_13_0"/>
      <w:bookmarkStart w:id="560" w:name="Tc_qL0CCqDtpUSQ79n2_ceCaw_11_16"/>
      <w:bookmarkStart w:id="561" w:name="Tc_oGyouldhUUuPSQeYTfgudg_11_13"/>
      <w:bookmarkStart w:id="562" w:name="Tc_69SI0_ACtUmx23ClZ2EfPQ_11_11"/>
      <w:bookmarkStart w:id="563" w:name="Tc_zE0EJIB5q0ufPq0U6h9vPw_11_10"/>
      <w:bookmarkStart w:id="564" w:name="Tc_xs3Pk1KSkUCTrsuEQM1tTQ_11_7"/>
      <w:bookmarkStart w:id="565" w:name="Tc_2V8597jVRk2oenVOgSyiXQ_11_4"/>
      <w:bookmarkStart w:id="566" w:name="Tc_FL06IwbLWE-dpMhw6D6qcg_11_0"/>
      <w:bookmarkStart w:id="567" w:name="Tc_m0ev7U8HiUS_fZWTRffHdA_10_17"/>
      <w:bookmarkStart w:id="568" w:name="Tc_GCsuKXFGjEeEAfrEA0sBTw_10_14"/>
      <w:bookmarkStart w:id="569" w:name="Tc_HVUS25fXVUWEx74_pIQP8A_10_11"/>
      <w:bookmarkStart w:id="570" w:name="Tc_LfyWYzjUakKtC3v8PiNo2Q_10_8"/>
      <w:bookmarkStart w:id="571" w:name="Tc_PbVpM84TrkiSkb0sK3STuA_10_5"/>
      <w:bookmarkStart w:id="572" w:name="Tc_NNPszbCnb0OvC4IKf983_Q_10_0"/>
      <w:bookmarkStart w:id="573" w:name="Tc_52LLE4_o60icfFVZektEsQ_9_14"/>
      <w:bookmarkStart w:id="574" w:name="Tc_DFKNwtfcXUa20WNrt2rd2A_9_11"/>
      <w:bookmarkStart w:id="575" w:name="Tc_l4cwtkP5bE2tFo66AMj_7Q_9_5"/>
      <w:bookmarkStart w:id="576" w:name="Tc_EFnRp_qpokaDKjfrjLnnIA_9_2"/>
      <w:bookmarkStart w:id="577" w:name="Tc__xSc_2CIt0OYY7TfG6xyeg_9_0"/>
      <w:bookmarkStart w:id="578" w:name="Tc_mY_jPBdbmE6rRPvMMBJwRg_8_14"/>
      <w:bookmarkStart w:id="579" w:name="Tc_lsXHfdU4e0yohLmi9ldB6g_8_11"/>
      <w:bookmarkStart w:id="580" w:name="Tc_P5Cv7z8csEmu9sZfLb3GyA_8_5"/>
      <w:bookmarkStart w:id="581" w:name="Tc_IkNVR_CqPkyx2ScdeFbWxw_8_2"/>
      <w:bookmarkStart w:id="582" w:name="Tc_o85YImrdokm8FW0bk7Aedw_8_0"/>
      <w:bookmarkStart w:id="583" w:name="Tc_OUsizUKIO0-NQgqr4MlbHA_7_11"/>
      <w:bookmarkStart w:id="584" w:name="Tc_6BfDxPxS2E6Lhnkipoa6-Q_7_8"/>
      <w:bookmarkStart w:id="585" w:name="Tc_D8G9Ji7a4EGpFwHF6n3Yww_7_5"/>
      <w:bookmarkStart w:id="586" w:name="Tc_WEl8_k8ZJES1CkS6p_Cqlw_7_2"/>
      <w:bookmarkStart w:id="587" w:name="Tc_cmpPsj0eS0O72OoJVOuP_Q_7_0"/>
      <w:bookmarkStart w:id="588" w:name="Tc_-HeiQJQFgkmQExog-cTXVA_6_16"/>
      <w:bookmarkStart w:id="589" w:name="Tc_-2xp1FcIYkO4e6NwoZLhfw_6_13"/>
      <w:bookmarkStart w:id="590" w:name="Tc_o16q_dEOmEmn4VmrZM2DqQ_6_11"/>
      <w:bookmarkStart w:id="591" w:name="Tc_JaGaA6O8K0eCE9HSLmS54w_6_10"/>
      <w:bookmarkStart w:id="592" w:name="Tc_4EFDWjZj0UapFM3okKr32A_6_7"/>
      <w:bookmarkStart w:id="593" w:name="Tc_fAbVEkoQwkOXet4Y9Uj44Q_6_4"/>
      <w:bookmarkStart w:id="594" w:name="Tc_vR_zryoav0a3Lizza7k1pw_6_0"/>
      <w:bookmarkStart w:id="595" w:name="Tc_n597CjGEhEKKSmh22hj_-g_5_0"/>
      <w:bookmarkStart w:id="596" w:name="Tc_p-OQE4s0j0OunwryOT12dQ_4_16"/>
      <w:bookmarkStart w:id="597" w:name="Tc_Tl2MBJjRdked-nh4wJiUxQ_4_13"/>
      <w:bookmarkStart w:id="598" w:name="Tc_-NrfCfSkpEaYSfnqFmMx2w_4_10"/>
      <w:bookmarkStart w:id="599" w:name="Tc_eBS5WduCrEyin2wDYfXmxw_4_7"/>
      <w:bookmarkStart w:id="600" w:name="Tc_bnLtbKiKdEOUYBKIOwt3EQ_4_4"/>
      <w:bookmarkStart w:id="601" w:name="Tc_4Ydvrv9rW06SP0B52OmZQQ_4_2"/>
      <w:bookmarkStart w:id="602" w:name="Tc_GQO8keriv0GZF1irZG4AJw_4_0"/>
      <w:bookmarkStart w:id="603" w:name="Tc_v2S8xQV3XkO9j0W9vVfDxA_3_16"/>
      <w:bookmarkStart w:id="604" w:name="Tc_E-jVxd7k3UWGH6rnpwIoIA_3_13"/>
      <w:bookmarkStart w:id="605" w:name="Tc_tVsu_6Z1oEe1SxhMOfMC4w_3_10"/>
      <w:bookmarkStart w:id="606" w:name="Tc_NR4PU6DLvEOqkPXY1siHww_3_7"/>
      <w:bookmarkStart w:id="607" w:name="Tc_9AEoJ5-uW069U-TgG_VvLA_3_2"/>
      <w:bookmarkStart w:id="608" w:name="Tc_nMsnXNllfEuBhLNLt5gNzw_2_16"/>
      <w:bookmarkStart w:id="609" w:name="Tc_nC21NWI9AEeECNtC1Idrzg_2_13"/>
      <w:bookmarkStart w:id="610" w:name="Tc_IrWx8Xqx302wl3MRgmgDkQ_2_10"/>
      <w:bookmarkStart w:id="611" w:name="Tc_Mr1zStXSk0yRk-cg3LKrjg_2_7"/>
      <w:bookmarkStart w:id="612" w:name="Tc_TWdINSZSzkWAOTOlJN3xoA_1_13"/>
      <w:bookmarkStart w:id="613" w:name="Tc_kCTjJfW2k0eEppVYLLiZRA_1_10"/>
      <w:bookmarkStart w:id="614" w:name="Tc_TDHEbrZQqEGMMBX-DgQynQ_1_2"/>
      <w:bookmarkStart w:id="615" w:name="_5f39f89c_bc8f_4be9_b977_cb391ed1fdf5"/>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tbl>
      <w:tblPr>
        <w:tblW w:w="10205" w:type="dxa"/>
        <w:jc w:val="left"/>
        <w:tblInd w:w="0" w:type="dxa"/>
        <w:tblLayout w:type="fixed"/>
        <w:tblCellMar>
          <w:top w:w="0" w:type="dxa"/>
          <w:left w:w="0" w:type="dxa"/>
          <w:bottom w:w="0" w:type="dxa"/>
          <w:right w:w="0" w:type="dxa"/>
        </w:tblCellMar>
      </w:tblPr>
      <w:tblGrid>
        <w:gridCol w:w="3286"/>
        <w:gridCol w:w="326"/>
        <w:gridCol w:w="689"/>
        <w:gridCol w:w="326"/>
        <w:gridCol w:w="196"/>
        <w:gridCol w:w="375"/>
        <w:gridCol w:w="326"/>
        <w:gridCol w:w="200"/>
        <w:gridCol w:w="569"/>
        <w:gridCol w:w="326"/>
        <w:gridCol w:w="350"/>
        <w:gridCol w:w="671"/>
        <w:gridCol w:w="326"/>
        <w:gridCol w:w="301"/>
        <w:gridCol w:w="633"/>
        <w:gridCol w:w="326"/>
        <w:gridCol w:w="224"/>
        <w:gridCol w:w="755"/>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86610" cy="175260"/>
                      <wp:effectExtent l="0" t="0" r="0" b="0"/>
                      <wp:wrapNone/>
                      <wp:docPr id="21" name="Frame21"/>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37515" cy="175260"/>
                      <wp:effectExtent l="0" t="0" r="0" b="0"/>
                      <wp:wrapNone/>
                      <wp:docPr id="23" name="Frame23"/>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4460" cy="175260"/>
                      <wp:effectExtent l="0" t="0" r="0" b="0"/>
                      <wp:wrapNone/>
                      <wp:docPr id="25"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38125" cy="175260"/>
                      <wp:effectExtent l="0" t="0" r="0" b="0"/>
                      <wp:wrapNone/>
                      <wp:docPr id="26" name="Frame26"/>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7000" cy="175260"/>
                      <wp:effectExtent l="0" t="0" r="0" b="0"/>
                      <wp:wrapNone/>
                      <wp:docPr id="28" name="Frame28"/>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61315" cy="175260"/>
                      <wp:effectExtent l="0" t="0" r="0" b="0"/>
                      <wp:wrapNone/>
                      <wp:docPr id="29" name="Frame29"/>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22250" cy="175260"/>
                      <wp:effectExtent l="0" t="0" r="0" b="0"/>
                      <wp:wrapNone/>
                      <wp:docPr id="31" name="Frame3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26085" cy="175260"/>
                      <wp:effectExtent l="0" t="0" r="0" b="0"/>
                      <wp:wrapNone/>
                      <wp:docPr id="32" name="Frame32"/>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91135" cy="175260"/>
                      <wp:effectExtent l="0" t="0" r="0" b="0"/>
                      <wp:wrapNone/>
                      <wp:docPr id="34" name="Frame3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01955" cy="175260"/>
                      <wp:effectExtent l="0" t="0" r="0" b="0"/>
                      <wp:wrapNone/>
                      <wp:docPr id="35" name="Frame35"/>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2240" cy="175260"/>
                      <wp:effectExtent l="0" t="0" r="0" b="0"/>
                      <wp:wrapNone/>
                      <wp:docPr id="37" name="Frame37"/>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79425" cy="175260"/>
                      <wp:effectExtent l="0" t="0" r="0" b="0"/>
                      <wp:wrapNone/>
                      <wp:docPr id="38" name="Frame38"/>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8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left"/>
              <w:rPr/>
            </w:pPr>
            <w:r>
              <w:rPr/>
              <w:t>​</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left"/>
              <w:rPr/>
            </w:pPr>
            <w:r>
              <w:rPr/>
              <w:t>​</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Number of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left"/>
              <w:rPr/>
            </w:pPr>
            <w:r>
              <w:rPr/>
              <w:t>​</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Shareholders’</w:t>
            </w:r>
          </w:p>
        </w:tc>
      </w:tr>
      <w:tr>
        <w:trPr/>
        <w:tc>
          <w:tcPr>
            <w:tcW w:w="328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U.S. dollars in millions, except per share amounts</w:t>
            </w:r>
          </w:p>
        </w:tc>
        <w:tc>
          <w:tcPr>
            <w:tcW w:w="326" w:type="dxa"/>
            <w:tcBorders/>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0"/>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deficit) </w:t>
            </w:r>
          </w:p>
        </w:tc>
        <w:tc>
          <w:tcPr>
            <w:tcW w:w="326" w:type="dxa"/>
            <w:tcBorders/>
            <w:vAlign w:val="center"/>
          </w:tcPr>
          <w:p>
            <w:pPr>
              <w:pStyle w:val="TableContents"/>
              <w:bidi w:val="0"/>
              <w:spacing w:before="0" w:after="0"/>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3286" w:type="dxa"/>
            <w:tcBorders>
              <w:bottom w:val="single" w:sz="2" w:space="0" w:color="000000"/>
            </w:tcBorders>
            <w:shd w:fill="CCEEFF" w:val="clear"/>
            <w:tcMar>
              <w:bottom w:w="28" w:type="dxa"/>
            </w:tcM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Three Months Ended</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March 30, 2024</w:t>
            </w:r>
          </w:p>
        </w:tc>
        <w:tc>
          <w:tcPr>
            <w:tcW w:w="32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w:t>
            </w:r>
          </w:p>
        </w:tc>
        <w:tc>
          <w:tcPr>
            <w:tcW w:w="32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14,943</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33"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(188)</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14,763</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 </w:t>
            </w:r>
          </w:p>
        </w:tc>
        <w:tc>
          <w:tcPr>
            <w:tcW w:w="6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expense</w:t>
            </w:r>
          </w:p>
        </w:tc>
        <w:tc>
          <w:tcPr>
            <w:tcW w:w="32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Recharge to Parent for 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 </w:t>
            </w:r>
          </w:p>
        </w:tc>
        <w:tc>
          <w:tcPr>
            <w:tcW w:w="6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employee share-based compensation plans</w:t>
            </w:r>
          </w:p>
        </w:tc>
        <w:tc>
          <w:tcPr>
            <w:tcW w:w="326" w:type="dxa"/>
            <w:tcBorders/>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June 29, 2024</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809</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w:t>
            </w:r>
          </w:p>
        </w:tc>
        <w:tc>
          <w:tcPr>
            <w:tcW w:w="326" w:type="dxa"/>
            <w:tcBorders/>
            <w:shd w:fill="CCEEFF" w:val="clear"/>
            <w:vAlign w:val="center"/>
          </w:tcPr>
          <w:p>
            <w:pPr>
              <w:pStyle w:val="TableContents"/>
              <w:bidi w:val="0"/>
              <w:spacing w:before="0" w:after="0"/>
              <w:ind w:left="0" w:right="0" w:hanging="0"/>
              <w:jc w:val="righ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14,985</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(274)</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14,719</w: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April 1, 2023</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802</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w:t>
            </w:r>
          </w:p>
        </w:tc>
        <w:tc>
          <w:tcPr>
            <w:tcW w:w="32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14,800</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14,787</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sharing agreement with Parent</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expense</w:t>
            </w:r>
          </w:p>
        </w:tc>
        <w:tc>
          <w:tcPr>
            <w:tcW w:w="32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Recharge to Parent for 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employee share-based compensation plans</w:t>
            </w:r>
          </w:p>
        </w:tc>
        <w:tc>
          <w:tcPr>
            <w:tcW w:w="32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Secondary offering</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July 1, 2023</w:t>
            </w:r>
          </w:p>
        </w:tc>
        <w:tc>
          <w:tcPr>
            <w:tcW w:w="326" w:type="dxa"/>
            <w:tcBorders/>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806</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w:t>
            </w:r>
          </w:p>
        </w:tc>
        <w:tc>
          <w:tcPr>
            <w:tcW w:w="326" w:type="dxa"/>
            <w:tcBorders/>
            <w:vAlign w:val="center"/>
          </w:tcPr>
          <w:p>
            <w:pPr>
              <w:pStyle w:val="TableContents"/>
              <w:bidi w:val="0"/>
              <w:spacing w:before="0" w:after="0"/>
              <w:ind w:left="0" w:right="0" w:hanging="0"/>
              <w:jc w:val="righ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14,842</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(50)</w:t>
            </w:r>
          </w:p>
        </w:tc>
        <w:tc>
          <w:tcPr>
            <w:tcW w:w="326" w:type="dxa"/>
            <w:tcBorders/>
            <w:vAlign w:val="center"/>
          </w:tcPr>
          <w:p>
            <w:pPr>
              <w:pStyle w:val="TableContents"/>
              <w:bidi w:val="0"/>
              <w:spacing w:before="0" w:after="0"/>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14,800</w:t>
            </w:r>
          </w:p>
        </w:tc>
      </w:tr>
      <w:tr>
        <w:trPr/>
        <w:tc>
          <w:tcPr>
            <w:tcW w:w="3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8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Six Months Ended</w:t>
            </w:r>
          </w:p>
        </w:tc>
        <w:tc>
          <w:tcPr>
            <w:tcW w:w="326" w:type="dxa"/>
            <w:tcBorders/>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14,886</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14,924</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(304)</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(304)</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 </w:t>
            </w:r>
          </w:p>
        </w:tc>
        <w:tc>
          <w:tcPr>
            <w:tcW w:w="6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Recharge to Parent for Share-based compensation</w:t>
            </w:r>
          </w:p>
        </w:tc>
        <w:tc>
          <w:tcPr>
            <w:tcW w:w="32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employee share-based compensation plans</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June 29, 2024</w:t>
            </w:r>
          </w:p>
        </w:tc>
        <w:tc>
          <w:tcPr>
            <w:tcW w:w="326" w:type="dxa"/>
            <w:tcBorders/>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809</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w:t>
            </w:r>
          </w:p>
        </w:tc>
        <w:tc>
          <w:tcPr>
            <w:tcW w:w="326" w:type="dxa"/>
            <w:tcBorders/>
            <w:vAlign w:val="center"/>
          </w:tcPr>
          <w:p>
            <w:pPr>
              <w:pStyle w:val="TableContents"/>
              <w:bidi w:val="0"/>
              <w:spacing w:before="0" w:after="0"/>
              <w:ind w:left="0" w:right="0" w:hanging="0"/>
              <w:jc w:val="righ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14,985</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(274)</w:t>
            </w:r>
          </w:p>
        </w:tc>
        <w:tc>
          <w:tcPr>
            <w:tcW w:w="326" w:type="dxa"/>
            <w:tcBorders/>
            <w:vAlign w:val="center"/>
          </w:tcPr>
          <w:p>
            <w:pPr>
              <w:pStyle w:val="TableContents"/>
              <w:bidi w:val="0"/>
              <w:spacing w:before="0" w:after="0"/>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14,719</w:t>
            </w:r>
          </w:p>
        </w:tc>
      </w:tr>
      <w:tr>
        <w:trPr/>
        <w:tc>
          <w:tcPr>
            <w:tcW w:w="32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31, 2022</w:t>
            </w:r>
          </w:p>
        </w:tc>
        <w:tc>
          <w:tcPr>
            <w:tcW w:w="32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802</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w:t>
            </w:r>
          </w:p>
        </w:tc>
        <w:tc>
          <w:tcPr>
            <w:tcW w:w="32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14,737</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33"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14,794</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 net</w:t>
            </w:r>
          </w:p>
        </w:tc>
        <w:tc>
          <w:tcPr>
            <w:tcW w:w="32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Recharge to Parent for Share-based compensation</w:t>
            </w:r>
          </w:p>
        </w:tc>
        <w:tc>
          <w:tcPr>
            <w:tcW w:w="32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employee share-based compensation plans</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Secondary offering</w:t>
            </w:r>
          </w:p>
        </w:tc>
        <w:tc>
          <w:tcPr>
            <w:tcW w:w="326" w:type="dxa"/>
            <w:tcBorders/>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righ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r>
      <w:tr>
        <w:trPr/>
        <w:tc>
          <w:tcPr>
            <w:tcW w:w="32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xml:space="preserve">Balance as of July 1, 2023 </w:t>
            </w:r>
          </w:p>
        </w:tc>
        <w:tc>
          <w:tcPr>
            <w:tcW w:w="326" w:type="dxa"/>
            <w:tcBorders/>
            <w:shd w:fill="CCEEFF" w:val="cle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w:t>
            </w:r>
          </w:p>
        </w:tc>
        <w:tc>
          <w:tcPr>
            <w:tcW w:w="326" w:type="dxa"/>
            <w:tcBorders/>
            <w:shd w:fill="CCEEFF" w:val="clear"/>
            <w:vAlign w:val="center"/>
          </w:tcPr>
          <w:p>
            <w:pPr>
              <w:pStyle w:val="TableContents"/>
              <w:bidi w:val="0"/>
              <w:spacing w:before="0" w:after="0"/>
              <w:ind w:left="0" w:right="0" w:hanging="0"/>
              <w:jc w:val="righ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14,842</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(50)</w:t>
            </w:r>
          </w:p>
        </w:tc>
        <w:tc>
          <w:tcPr>
            <w:tcW w:w="326"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14,800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*Rounding of Class A and Class B share amounts due to Secondary offering.</w:t>
        <w:b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center"/>
        <w:rPr>
          <w:rFonts w:ascii="Times New Roman;Times;serif" w:hAnsi="Times New Roman;Times;serif"/>
          <w:b/>
          <w:sz w:val="20"/>
        </w:rPr>
      </w:pPr>
      <w:bookmarkStart w:id="616" w:name="_2829f359_5d66_4b25_bd3f_e22274f09939"/>
      <w:bookmarkEnd w:id="616"/>
      <w:r>
        <w:rPr>
          <w:rFonts w:ascii="Times New Roman;Times;serif" w:hAnsi="Times New Roman;Times;serif"/>
          <w:b/>
          <w:sz w:val="20"/>
        </w:rPr>
        <w:t>MOBILEYE GLOBAL INC.</w:t>
      </w:r>
    </w:p>
    <w:p>
      <w:pPr>
        <w:pStyle w:val="TextBody"/>
        <w:bidi w:val="0"/>
        <w:spacing w:before="0" w:after="100"/>
        <w:ind w:left="0" w:right="0" w:hanging="0"/>
        <w:jc w:val="center"/>
        <w:rPr>
          <w:rFonts w:ascii="Times New Roman;Times;serif" w:hAnsi="Times New Roman;Times;serif"/>
          <w:b/>
          <w:sz w:val="20"/>
        </w:rPr>
      </w:pPr>
      <w:bookmarkStart w:id="617" w:name="CASHFLOWS_425786"/>
      <w:bookmarkEnd w:id="617"/>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18" w:name="Tc_p0BWn9iv-kKGovD1tKCn7A_41_3"/>
      <w:bookmarkStart w:id="619" w:name="Tc_jqXwUyrD3k--j0npncugHg_41_0"/>
      <w:bookmarkStart w:id="620" w:name="Tc_LSxGDRGHL0-8wnAUfVEysQ_40_5"/>
      <w:bookmarkStart w:id="621" w:name="Tc_0qHcvJWcGku_hiBGstJnEA_40_2"/>
      <w:bookmarkStart w:id="622" w:name="Tc_-zzrbeeUeE63ZFjvgx9qvA_40_0"/>
      <w:bookmarkStart w:id="623" w:name="Tc_3JC_xwntW0WtmGjgCy9Wig_39_0"/>
      <w:bookmarkStart w:id="624" w:name="Tc_TzQmHWL4zkOmSF_IuASBxQ_38_0"/>
      <w:bookmarkStart w:id="625" w:name="Tc_G_pyis7EsEG00fPHnhFI5g_37_5"/>
      <w:bookmarkStart w:id="626" w:name="Tc_0S7w3bp4T0O8noaJQ0HIWQ_37_2"/>
      <w:bookmarkStart w:id="627" w:name="Tc_GFt1dSVN3UujverMZTRmqw_37_0"/>
      <w:bookmarkStart w:id="628" w:name="Tc_cTQDaSkf1UCKrtB2jREJuQ_36_0"/>
      <w:bookmarkStart w:id="629" w:name="Tc_4AALwzGDtEy9KaNXNhN3Kw_35_5"/>
      <w:bookmarkStart w:id="630" w:name="Tc__ffA3MqyLUCehxxZ1ZZZ1w_35_2"/>
      <w:bookmarkStart w:id="631" w:name="Tc_RleYBA8nUkqhtkibbe5nOA_35_0"/>
      <w:bookmarkStart w:id="632" w:name="Tc_9IFcZOJdfU6iR17PEywfdQ_34_0"/>
      <w:bookmarkStart w:id="633" w:name="Tc_QSclV8FEDUGyKuLIvGpKQg_33_0"/>
      <w:bookmarkStart w:id="634" w:name="Tc_RwxNuRX3WUqhUsWz6urbwA_32_0"/>
      <w:bookmarkStart w:id="635" w:name="Tc_8_EvDYRYQUGn7zsoiA05sA_31_0"/>
      <w:bookmarkStart w:id="636" w:name="Tc_WofH7Rg-n0CyAlnckxFXUg_30_0"/>
      <w:bookmarkStart w:id="637" w:name="Tc_QMI8GRihNkCKvV3vXWdPGg_29_0"/>
      <w:bookmarkStart w:id="638" w:name="Tc_f3ANPsFxC0-T-fORwLuLFw_28_0"/>
      <w:bookmarkStart w:id="639" w:name="Tc_hvJbpmNXgE2vgNfxFQim0w_27_6"/>
      <w:bookmarkStart w:id="640" w:name="Tc_WsrbiEUqEEOD2a_23op6JQ_27_0"/>
      <w:bookmarkStart w:id="641" w:name="Tc_6negNp994E2AWCRE63JPuA_26_0"/>
      <w:bookmarkStart w:id="642" w:name="Tc_dsWji96caUOEXlJ7fkslfg_25_0"/>
      <w:bookmarkStart w:id="643" w:name="Tc_s9MR0t0wsECUoBg5oD89Cg_24_0"/>
      <w:bookmarkStart w:id="644" w:name="Tc_Gr83O5cFr0mUHSM4YxW3JA_23_6"/>
      <w:bookmarkStart w:id="645" w:name="Tc_XHskCoDPZku5hbMhRaMYig_23_0"/>
      <w:bookmarkStart w:id="646" w:name="Tc_NbYuMoUg_EaP0WXb22CSPg_22_0"/>
      <w:bookmarkStart w:id="647" w:name="Tc_ldEW16vP902KwwAY3HWNrw_21_0"/>
      <w:bookmarkStart w:id="648" w:name="Tc_5TXJ8GS-EUCv0ObQbjHshg_20_0"/>
      <w:bookmarkStart w:id="649" w:name="Tc_oHBm1a7SMkSfFy4V013sLQ_19_0"/>
      <w:bookmarkStart w:id="650" w:name="Tc_ZzOwbBetFEyjPiDheFF2LQ_18_0"/>
      <w:bookmarkStart w:id="651" w:name="Tc_kff0oYs6dEOEfXzGv_mN5w_17_0"/>
      <w:bookmarkStart w:id="652" w:name="Tc_Qo8aF_9paUSoMaZiMSKkpA_16_0"/>
      <w:bookmarkStart w:id="653" w:name="Tc_lP1t2o63Skm9bmms1HauMQ_15_0"/>
      <w:bookmarkStart w:id="654" w:name="Tc_d-aVinI_mUuabKK8feAcRA_14_6"/>
      <w:bookmarkStart w:id="655" w:name="Tc_XeGSIsWz8kySAh7mKuM-8g_14_0"/>
      <w:bookmarkStart w:id="656" w:name="Tc_789l0DCJk0KSGGmYMGxWow_13_6"/>
      <w:bookmarkStart w:id="657" w:name="Tc_KXkM0i4MhE2TZCoINDyvvw_13_0"/>
      <w:bookmarkStart w:id="658" w:name="Tc_8DYpk1wlF0akbIGAI-RcCQ_12_3"/>
      <w:bookmarkStart w:id="659" w:name="Tc_lQgEbIq2QUa1StKFKH7bug_12_0"/>
      <w:bookmarkStart w:id="660" w:name="Tc_D3FjboYEP0aXDJZMUKcbsA_11_0"/>
      <w:bookmarkStart w:id="661" w:name="Tc_uMXH4NobaECnB0yT6dHDxQ_10_0"/>
      <w:bookmarkStart w:id="662" w:name="Tc_hOWWqZph1EC85HPQy9b1Mw_9_0"/>
      <w:bookmarkStart w:id="663" w:name="Tc_r4sjx5g3ik6v2tqLDve1Vw_8_0"/>
      <w:bookmarkStart w:id="664" w:name="Tc_XwIpuIArw0aK0tVCUjQB_Q_7_0"/>
      <w:bookmarkStart w:id="665" w:name="Tc_Fxd4lzmv7ku0Huc3PA9nBA_6_0"/>
      <w:bookmarkStart w:id="666" w:name="Tc_oTDb0VOILUGun9yKzA4ung_5_5"/>
      <w:bookmarkStart w:id="667" w:name="Tc_sz1QrH380U62NsuRaBsxxg_5_2"/>
      <w:bookmarkStart w:id="668" w:name="Tc_sUJArXW51E6g-WICaAkJ2Q_5_0"/>
      <w:bookmarkStart w:id="669" w:name="Tc_IrPX-u8i6E2tCfiiw-KxEw_4_0"/>
      <w:bookmarkStart w:id="670" w:name="Tc_qKU1hidogUqaUTSkxGzkcA_3_5"/>
      <w:bookmarkStart w:id="671" w:name="Tc_SIsEV7e1IEWPK5sfAbvH4g_3_2"/>
      <w:bookmarkStart w:id="672" w:name="Tc_SGI-EMkHdEWuwaBvtFj79g_3_0"/>
      <w:bookmarkStart w:id="673" w:name="Tc_jepa_FC7y0WgXYiqEO2O2Q_2_5"/>
      <w:bookmarkStart w:id="674" w:name="Tc_j5MWhF_bWkKxNSNZiHS3uA_2_2"/>
      <w:bookmarkStart w:id="675" w:name="Tc_bKEE3_qNPUCyr8TY40Me3g_1_2"/>
      <w:bookmarkStart w:id="676" w:name="_b16203a8_7b97_40a7_a893_ec4e17838d84"/>
      <w:bookmarkStart w:id="677" w:name="Tc_p0BWn9iv-kKGovD1tKCn7A_41_3"/>
      <w:bookmarkStart w:id="678" w:name="Tc_jqXwUyrD3k--j0npncugHg_41_0"/>
      <w:bookmarkStart w:id="679" w:name="Tc_LSxGDRGHL0-8wnAUfVEysQ_40_5"/>
      <w:bookmarkStart w:id="680" w:name="Tc_0qHcvJWcGku_hiBGstJnEA_40_2"/>
      <w:bookmarkStart w:id="681" w:name="Tc_-zzrbeeUeE63ZFjvgx9qvA_40_0"/>
      <w:bookmarkStart w:id="682" w:name="Tc_3JC_xwntW0WtmGjgCy9Wig_39_0"/>
      <w:bookmarkStart w:id="683" w:name="Tc_TzQmHWL4zkOmSF_IuASBxQ_38_0"/>
      <w:bookmarkStart w:id="684" w:name="Tc_G_pyis7EsEG00fPHnhFI5g_37_5"/>
      <w:bookmarkStart w:id="685" w:name="Tc_0S7w3bp4T0O8noaJQ0HIWQ_37_2"/>
      <w:bookmarkStart w:id="686" w:name="Tc_GFt1dSVN3UujverMZTRmqw_37_0"/>
      <w:bookmarkStart w:id="687" w:name="Tc_cTQDaSkf1UCKrtB2jREJuQ_36_0"/>
      <w:bookmarkStart w:id="688" w:name="Tc_4AALwzGDtEy9KaNXNhN3Kw_35_5"/>
      <w:bookmarkStart w:id="689" w:name="Tc__ffA3MqyLUCehxxZ1ZZZ1w_35_2"/>
      <w:bookmarkStart w:id="690" w:name="Tc_RleYBA8nUkqhtkibbe5nOA_35_0"/>
      <w:bookmarkStart w:id="691" w:name="Tc_9IFcZOJdfU6iR17PEywfdQ_34_0"/>
      <w:bookmarkStart w:id="692" w:name="Tc_QSclV8FEDUGyKuLIvGpKQg_33_0"/>
      <w:bookmarkStart w:id="693" w:name="Tc_RwxNuRX3WUqhUsWz6urbwA_32_0"/>
      <w:bookmarkStart w:id="694" w:name="Tc_8_EvDYRYQUGn7zsoiA05sA_31_0"/>
      <w:bookmarkStart w:id="695" w:name="Tc_WofH7Rg-n0CyAlnckxFXUg_30_0"/>
      <w:bookmarkStart w:id="696" w:name="Tc_QMI8GRihNkCKvV3vXWdPGg_29_0"/>
      <w:bookmarkStart w:id="697" w:name="Tc_f3ANPsFxC0-T-fORwLuLFw_28_0"/>
      <w:bookmarkStart w:id="698" w:name="Tc_hvJbpmNXgE2vgNfxFQim0w_27_6"/>
      <w:bookmarkStart w:id="699" w:name="Tc_WsrbiEUqEEOD2a_23op6JQ_27_0"/>
      <w:bookmarkStart w:id="700" w:name="Tc_6negNp994E2AWCRE63JPuA_26_0"/>
      <w:bookmarkStart w:id="701" w:name="Tc_dsWji96caUOEXlJ7fkslfg_25_0"/>
      <w:bookmarkStart w:id="702" w:name="Tc_s9MR0t0wsECUoBg5oD89Cg_24_0"/>
      <w:bookmarkStart w:id="703" w:name="Tc_Gr83O5cFr0mUHSM4YxW3JA_23_6"/>
      <w:bookmarkStart w:id="704" w:name="Tc_XHskCoDPZku5hbMhRaMYig_23_0"/>
      <w:bookmarkStart w:id="705" w:name="Tc_NbYuMoUg_EaP0WXb22CSPg_22_0"/>
      <w:bookmarkStart w:id="706" w:name="Tc_ldEW16vP902KwwAY3HWNrw_21_0"/>
      <w:bookmarkStart w:id="707" w:name="Tc_5TXJ8GS-EUCv0ObQbjHshg_20_0"/>
      <w:bookmarkStart w:id="708" w:name="Tc_oHBm1a7SMkSfFy4V013sLQ_19_0"/>
      <w:bookmarkStart w:id="709" w:name="Tc_ZzOwbBetFEyjPiDheFF2LQ_18_0"/>
      <w:bookmarkStart w:id="710" w:name="Tc_kff0oYs6dEOEfXzGv_mN5w_17_0"/>
      <w:bookmarkStart w:id="711" w:name="Tc_Qo8aF_9paUSoMaZiMSKkpA_16_0"/>
      <w:bookmarkStart w:id="712" w:name="Tc_lP1t2o63Skm9bmms1HauMQ_15_0"/>
      <w:bookmarkStart w:id="713" w:name="Tc_d-aVinI_mUuabKK8feAcRA_14_6"/>
      <w:bookmarkStart w:id="714" w:name="Tc_XeGSIsWz8kySAh7mKuM-8g_14_0"/>
      <w:bookmarkStart w:id="715" w:name="Tc_789l0DCJk0KSGGmYMGxWow_13_6"/>
      <w:bookmarkStart w:id="716" w:name="Tc_KXkM0i4MhE2TZCoINDyvvw_13_0"/>
      <w:bookmarkStart w:id="717" w:name="Tc_8DYpk1wlF0akbIGAI-RcCQ_12_3"/>
      <w:bookmarkStart w:id="718" w:name="Tc_lQgEbIq2QUa1StKFKH7bug_12_0"/>
      <w:bookmarkStart w:id="719" w:name="Tc_D3FjboYEP0aXDJZMUKcbsA_11_0"/>
      <w:bookmarkStart w:id="720" w:name="Tc_uMXH4NobaECnB0yT6dHDxQ_10_0"/>
      <w:bookmarkStart w:id="721" w:name="Tc_hOWWqZph1EC85HPQy9b1Mw_9_0"/>
      <w:bookmarkStart w:id="722" w:name="Tc_r4sjx5g3ik6v2tqLDve1Vw_8_0"/>
      <w:bookmarkStart w:id="723" w:name="Tc_XwIpuIArw0aK0tVCUjQB_Q_7_0"/>
      <w:bookmarkStart w:id="724" w:name="Tc_Fxd4lzmv7ku0Huc3PA9nBA_6_0"/>
      <w:bookmarkStart w:id="725" w:name="Tc_oTDb0VOILUGun9yKzA4ung_5_5"/>
      <w:bookmarkStart w:id="726" w:name="Tc_sz1QrH380U62NsuRaBsxxg_5_2"/>
      <w:bookmarkStart w:id="727" w:name="Tc_sUJArXW51E6g-WICaAkJ2Q_5_0"/>
      <w:bookmarkStart w:id="728" w:name="Tc_IrPX-u8i6E2tCfiiw-KxEw_4_0"/>
      <w:bookmarkStart w:id="729" w:name="Tc_qKU1hidogUqaUTSkxGzkcA_3_5"/>
      <w:bookmarkStart w:id="730" w:name="Tc_SIsEV7e1IEWPK5sfAbvH4g_3_2"/>
      <w:bookmarkStart w:id="731" w:name="Tc_SGI-EMkHdEWuwaBvtFj79g_3_0"/>
      <w:bookmarkStart w:id="732" w:name="Tc_jepa_FC7y0WgXYiqEO2O2Q_2_5"/>
      <w:bookmarkStart w:id="733" w:name="Tc_j5MWhF_bWkKxNSNZiHS3uA_2_2"/>
      <w:bookmarkStart w:id="734" w:name="Tc_bKEE3_qNPUCyr8TY40Me3g_1_2"/>
      <w:bookmarkStart w:id="735" w:name="_b16203a8_7b97_40a7_a893_ec4e17838d84"/>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tbl>
      <w:tblPr>
        <w:tblW w:w="9627" w:type="dxa"/>
        <w:jc w:val="left"/>
        <w:tblInd w:w="0" w:type="dxa"/>
        <w:tblLayout w:type="fixed"/>
        <w:tblCellMar>
          <w:top w:w="0" w:type="dxa"/>
          <w:left w:w="0" w:type="dxa"/>
          <w:bottom w:w="0" w:type="dxa"/>
          <w:right w:w="0" w:type="dxa"/>
        </w:tblCellMar>
      </w:tblPr>
      <w:tblGrid>
        <w:gridCol w:w="7366"/>
        <w:gridCol w:w="326"/>
        <w:gridCol w:w="211"/>
        <w:gridCol w:w="571"/>
        <w:gridCol w:w="326"/>
        <w:gridCol w:w="211"/>
        <w:gridCol w:w="616"/>
      </w:tblGrid>
      <w:tr>
        <w:trPr/>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677410" cy="175260"/>
                      <wp:effectExtent l="0" t="0" r="0" b="0"/>
                      <wp:wrapNone/>
                      <wp:docPr id="39" name="Frame39"/>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62585" cy="175260"/>
                      <wp:effectExtent l="0" t="0" r="0" b="0"/>
                      <wp:wrapNone/>
                      <wp:docPr id="42" name="Frame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91160" cy="175260"/>
                      <wp:effectExtent l="0" t="0" r="0" b="0"/>
                      <wp:wrapNone/>
                      <wp:docPr id="45" name="Frame4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7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  </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Adjustments to reconcile net income (loss)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of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Amortization of 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251</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Exchange rate differences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with related party,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(Gains) losses on equity and debt investments,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(increase) in trade 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(increase) in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(increase) in 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(decrease) in accounts payable, accrued expenses and related party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(decrease) in employee-related accrued expenses and long term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(decrease) in other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(increase) in other long 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(decrease) in other long 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197</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Purchase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Purchases of debt and equity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cash provided by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(58)</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 recharge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cash provided by (used in)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(12)</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Effect of foreign exchange rate changes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(decrease)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122</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of cash, cash equivalents and restricted cash, at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1,035</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of cash, cash equivalents and restricted cash,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1,216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1,157</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Supplementary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purchase of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share based compensation recharge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Supplemental cash flow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received (paid) for income taxes, net of refunds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received from related party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16</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736" w:name="NOTE1GENERAL_726633"/>
      <w:bookmarkEnd w:id="736"/>
      <w:r>
        <w:rPr>
          <w:rFonts w:ascii="Times New Roman;Times;serif" w:hAnsi="Times New Roman;Times;serif"/>
          <w:b/>
          <w:sz w:val="20"/>
        </w:rPr>
        <w:t>NOTE 1 - GENERAL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Background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Intel Corporation (“Intel” or the “Parent”) directly or indirectly hold all of the Class B common stock of Mobileye, which as of June 29, 2024, represents approximately 87.9% of our outstanding common stock and 98.6% of the voting power of our common stock. </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Operations in Israel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7, 2023, Hamas launched a series of attacks on civilian and military targets in Southern and Central Israel, to which the Israel Defense Forces have responded. In addition, Hezbollah has attacked military and civilian targets in Northern Israel, to which Israel has responded. Further, on April 13, 2024, Iran launched a series of drone and missile strikes against Israel, to which Israel has responded. How long and how severe the current conflict in Gaza, Northern Israel or the broader region becomes is unknown at this time and any continued clash among Israel, Hamas, Hezbollah, Iran or other countries or militant groups in the region may escalate in the future into a greater regional conflict. To date our operations and financial results have not been materially affected, although as of July 31, 2024 approximately 3.6% of our employees have been called to reserve duty in the Israel Defense Forces. We expect that the current conflict in the Gaza Strip and the security escalation in Israel will not have a material impact on our business results in the short term. However, since this is an event beyond our control, its continuation or cessation may affect our expectations. We continue to monitor political and military developments closely and examine the consequences for our business, results of operations and financial condition.</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Other events during the reporting period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March 18, 2024, the Company announced the winding down of the Aftermarket Solutions Unit that provides retrofitted advanced driver assistance technology. This decision was made following a thorough review of this unit’s business prospects and investment needs showing that since automakers and other vehicle manufacturers have steadily increased the rate at which integrated ADAS solutions are installed on new vehicles, the demand and future addressable market for retrofitted ADAS solutions has declined. As a result, this division has seen its revenues decline meaningfully, and in recent years has not positively contributed to Mobileye’s profitability. The plan for winding down of the Aftermarket Solutions Unit includes a reduction in workforce of over 100 employees worldwide. The affected employees are entitled to additional termination costs in the amount of approximately $4 million, which was recognized as an expense in the six months ended June 29, 2024.</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condensed consolidated financial statements have been prepared in accordance with United States generally accepted accounting principles (“U.S. GAAP”) and applicable rules and regulations of the Securities and Exchange Commission (“SEC”) for interim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information and footnote disclosures normally included in the financial statements prepared in accordance with U.S. GAAP have been condensed or omitted pursuant to such rules and regulations. These condensed consolidated financial statements have been prepared on the same basis as the Company’s annual audited consolidated financial statements and, in the opinion of management, reflect all adjustments, consisting only of normal recurring adjustments, which are necessary for the fair statement of the Company’s financial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a 52- or 53-week fiscal year that ends on the last Saturday in December. Fiscal year 2023 was a 52 week fiscal year; fiscal year 2024 is also a 52 week fiscal year.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results of operations for the three and six months ended June 29, 2024 shown in this report are not necessarily indicative of the results to be expected for the full year ending 2024. The condensed consolidated financial statements should be read in conjunction with the audited consolidated financial statements for the fiscal year ended December 30, 2023.</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There have been no material changes in our significant accounting policies as described in our consolidated financial statements for the fiscal year ended December 30, 2023, except as detailed below regarding accounting for investments. For further detail, see Note 2 in the audited consolidated financial statements for the fiscal year ended December 30,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U.S. GAAP requires management to make estimates, judgments and assumptions that affect the amounts and events reported and disclosed in the condensed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an on-going basis, management evaluates its estimates, judgments, and assumptions. The most significant estimates and assumptions relate to useful lives of intangible assets, impairment assessment of intangible assets and goodwill and income taxes.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Debt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Marketable debt securities consist of highly liquid U.S. government bonds with maturities of up to six months when purchased. These debt investments are classified as Available For Sale investments and measured at fair value with unrealized gains and losses, net of tax, recorded in accumulated other comprehensive income (loss). We consider all highly liquid debt investments that are readily convertible into cash and have an original maturity of three months or less at the time of purchase to be cash equivalents. Debt investments with original maturities of greater than three months and less than one year, are classified within other current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Available for sale debt investments are subject to a periodic impairment review. For investments in an unrealized loss position, we determine whether a credit loss exists. We recognize an allowance for credit losses, up to the amount of the unrealized loss when appropriate, and write down the amortized cost basis of the investment if it is more likely than not we will be required or we intend to sell the investment before recovery of its amortized cost basis.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Equity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Equity investments consist of investments in marketable equity securities. Equity investments are measured and recorded at fair value with changes in fair value, whether realized or unrealized, recorded in the statement of operations. Equity investments are classified within other current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737" w:name="Tc_ouzWoO10VUK8_bHxc84LfQ_8_5"/>
      <w:bookmarkStart w:id="738" w:name="Tc_6yQ6k8zXCkaOf20vLZhSUA_8_2"/>
      <w:bookmarkStart w:id="739" w:name="Tc_iCHiABDAh0mYbOSwAzjiyQ_8_0"/>
      <w:bookmarkStart w:id="740" w:name="Tc_yhGzzj0k0kqA7ytIcI_Sfw_6_6"/>
      <w:bookmarkStart w:id="741" w:name="Tc_9ngrau258EalqViETXQJCg_6_0"/>
      <w:bookmarkStart w:id="742" w:name="Tc_aTfxjU4qiE-XJOox2er3NQ_5_0"/>
      <w:bookmarkStart w:id="743" w:name="Tc_wA_eE5wGVEmY_aMW6GHxaQ_4_0"/>
      <w:bookmarkStart w:id="744" w:name="Tc_ZjO3nZAmmUCG6bNKpNKitg_3_5"/>
      <w:bookmarkStart w:id="745" w:name="Tc_99SMjKW4y0aO575GIV1Sxg_3_2"/>
      <w:bookmarkStart w:id="746" w:name="Tc_cT-JIcScjkeLe8fGsJf9vQ_3_0"/>
      <w:bookmarkStart w:id="747" w:name="Tc_7KxWgb6F9k2ive1xXBwMag_2_5"/>
      <w:bookmarkStart w:id="748" w:name="Tc_79v7GvJXPUCnbrvkxzl5LQ_2_2"/>
      <w:bookmarkStart w:id="749" w:name="Tc__AycKSRAc0mY9WzSRAHGcw_2_0"/>
      <w:bookmarkStart w:id="750" w:name="Tc_6GqWmFAiBUGUIybx5P7jzQ_1_2"/>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Fonts w:ascii="Times New Roman;Times;serif" w:hAnsi="Times New Roman;Times;serif"/>
          <w:b/>
          <w:sz w:val="20"/>
        </w:rPr>
        <w:t>Cash, cash equivalents and restricted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reconciliation of cash, cash equivalents and restricted cash as of each period end: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43"/>
        <w:gridCol w:w="326"/>
        <w:gridCol w:w="288"/>
        <w:gridCol w:w="781"/>
        <w:gridCol w:w="326"/>
        <w:gridCol w:w="342"/>
        <w:gridCol w:w="1099"/>
      </w:tblGrid>
      <w:tr>
        <w:trPr/>
        <w:tc>
          <w:tcPr>
            <w:tcW w:w="7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472305" cy="175260"/>
                      <wp:effectExtent l="0" t="0" r="0" b="0"/>
                      <wp:wrapNone/>
                      <wp:docPr id="46" name="Frame46"/>
                      <a:graphic xmlns:a="http://schemas.openxmlformats.org/drawingml/2006/main">
                        <a:graphicData uri="http://schemas.microsoft.com/office/word/2010/wordprocessingShape">
                          <wps:wsp>
                            <wps:cNvSpPr txBox="1"/>
                            <wps:spPr>
                              <a:xfrm>
                                <a:off x="0" y="0"/>
                                <a:ext cx="4472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82880" cy="175260"/>
                      <wp:effectExtent l="0" t="0" r="0" b="0"/>
                      <wp:wrapNone/>
                      <wp:docPr id="48" name="Frame48"/>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95935" cy="175260"/>
                      <wp:effectExtent l="0" t="0" r="0" b="0"/>
                      <wp:wrapNone/>
                      <wp:docPr id="49" name="Frame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7170" cy="175260"/>
                      <wp:effectExtent l="0" t="0" r="0" b="0"/>
                      <wp:wrapNone/>
                      <wp:docPr id="51" name="Frame51"/>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7865" cy="175260"/>
                      <wp:effectExtent l="0" t="0" r="0" b="0"/>
                      <wp:wrapNone/>
                      <wp:docPr id="52" name="Frame52"/>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4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7043"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vAlign w:val="center"/>
          </w:tcPr>
          <w:p>
            <w:pPr>
              <w:pStyle w:val="TableContents"/>
              <w:bidi w:val="0"/>
              <w:spacing w:before="0" w:after="0"/>
              <w:ind w:left="0" w:right="0" w:hanging="0"/>
              <w:jc w:val="left"/>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 2023</w:t>
            </w:r>
          </w:p>
        </w:tc>
      </w:tr>
      <w:tr>
        <w:trPr/>
        <w:tc>
          <w:tcPr>
            <w:tcW w:w="70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w:t>
            </w:r>
          </w:p>
        </w:tc>
        <w:tc>
          <w:tcPr>
            <w:tcW w:w="326" w:type="dxa"/>
            <w:tcBorders/>
            <w:shd w:fill="CCEEFF" w:val="clear"/>
            <w:vAlign w:val="center"/>
          </w:tcPr>
          <w:p>
            <w:pPr>
              <w:pStyle w:val="TableContents"/>
              <w:bidi w:val="0"/>
              <w:spacing w:before="0" w:after="0"/>
              <w:ind w:left="0" w:right="0" w:hanging="0"/>
              <w:jc w:val="left"/>
              <w:rPr/>
            </w:pPr>
            <w:r>
              <w:rPr/>
              <w:t> </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704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deposits</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704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r>
      <w:tr>
        <w:trPr/>
        <w:tc>
          <w:tcPr>
            <w:tcW w:w="704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bonds</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pPr>
            <w:r>
              <w:rPr/>
              <w:t>—</w:t>
            </w:r>
          </w:p>
        </w:tc>
      </w:tr>
      <w:tr>
        <w:trPr/>
        <w:tc>
          <w:tcPr>
            <w:tcW w:w="7043" w:type="dxa"/>
            <w:tcBorders/>
            <w:shd w:fill="CCEEFF" w:val="clear"/>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cash (within other current and other long-term assets) </w:t>
            </w:r>
          </w:p>
        </w:tc>
        <w:tc>
          <w:tcPr>
            <w:tcW w:w="326" w:type="dxa"/>
            <w:tcBorders/>
            <w:shd w:fill="CCEEFF" w:val="clear"/>
            <w:vAlign w:val="center"/>
          </w:tcPr>
          <w:p>
            <w:pPr>
              <w:pStyle w:val="TableContents"/>
              <w:bidi w:val="0"/>
              <w:spacing w:before="0" w:after="0"/>
              <w:ind w:left="0" w:right="0" w:hanging="0"/>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 </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704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presented in the consolidated statements of cash flows</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1,216</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1,226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measurement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value of short term deposits classified as cash equivalents approximates their fair value due to the short maturity of these items.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investment in money market funds is measured at fair value within Level 1 of the fair value hierarchy because they consist of financial assets for which quoted prices are available in an active market. Interest income related to money market funds for the three months ended June 29, 2024 and July 1, 2023 amounted to $12 million and $12 million, respectively; and $24 million and $20 million for the six months ended June 29, 2024 and July 1, 2023,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investment in U.S. government bonds is measured at fair value within Level 1 of the fair value hierarchy because they consist of U.S. government bonds for which quoted prices are available in an active market.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marketable equity investments are measured at fair value within Level 1 of the fair value hierarchy because they consist of investments in marketable equity securities for which quoted prices are available in an active market.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amounts of trade accounts receivable and accounts payable approximate fair value because of their generally short maturities.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are expensed as incurred, and consist primarily of personnel, facilities, equipment, and supplies for research and development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occasionally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Participation in expenses for research and development projects are recognized on the basis of the costs incurred and are netted against research and development expenses in the condensed consolidated statements of operations and comprehensive income (loss). Research and development reimbursements of $12 million and $16 million were offset against research and development costs in the three months ended June 29, 2024 and July 1, 2023, respectively; and $48 million and $33 million were offset in the six months ended June 29, 2024 and July 1,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751" w:name="Tc_2WNHdcfZoUC0KCR6zsVW6w_5_11"/>
      <w:bookmarkStart w:id="752" w:name="Tc_L0hnNSH_iUOchPAU5iJdXg_5_9"/>
      <w:bookmarkStart w:id="753" w:name="Tc_CshvXhUxcEyz4scT2osq8Q_5_8"/>
      <w:bookmarkStart w:id="754" w:name="Tc_tdwIbUizN0OKDuDGCQG3YQ_5_6"/>
      <w:bookmarkStart w:id="755" w:name="Tc_BUMZvsFXPUKD3t33pr8_fw_5_5"/>
      <w:bookmarkStart w:id="756" w:name="Tc_iSymIm273UiUv9B0wPudbw_5_3"/>
      <w:bookmarkStart w:id="757" w:name="Tc_idmVswGINEuP9VhaiQrDNA_5_2"/>
      <w:bookmarkStart w:id="758" w:name="Tc__hgW7OXKjES6nKeYWR1r1w_5_0"/>
      <w:bookmarkStart w:id="759" w:name="Tc_ywU1Bg-z-kWQ6NJl8stguA_4_9"/>
      <w:bookmarkStart w:id="760" w:name="Tc_yrMB2jOHNU6hJ4AjXA05IA_4_6"/>
      <w:bookmarkStart w:id="761" w:name="Tc_rDc_tD6TDU6FOE6LPVT4bw_4_3"/>
      <w:bookmarkStart w:id="762" w:name="Tc_e1cwVxuA706iDXMc4ZbffA_4_0"/>
      <w:bookmarkStart w:id="763" w:name="Tc_0N7z7P0840SlBivPia0XXg_3_9"/>
      <w:bookmarkStart w:id="764" w:name="Tc_XD4BDKX_bU2se44qc5e1Ig_3_6"/>
      <w:bookmarkStart w:id="765" w:name="Tc_mwj_zp2OC0uJ4NsprY1qfw_3_3"/>
      <w:bookmarkStart w:id="766" w:name="Tc_ReG5M_nvOkSTP_-ISsc8UQ_3_0"/>
      <w:bookmarkStart w:id="767" w:name="Tc_Xq-a65KNaUeEwEQtFREcmA_2_11"/>
      <w:bookmarkStart w:id="768" w:name="Tc_u1Aa61WHAU-3TlwJFPg5hQ_2_8"/>
      <w:bookmarkStart w:id="769" w:name="Tc_VoGb8yFp0keqPiUUm6unCg_2_5"/>
      <w:bookmarkStart w:id="770" w:name="Tc_ZWD7K0J0MEOhuQZn6h4akw_2_2"/>
      <w:bookmarkStart w:id="771" w:name="Tc_kr4hdo9DFE6VeCxazWTKqg_2_0"/>
      <w:bookmarkStart w:id="772" w:name="Tc_Zn6hWlK6w0q-oBeZwzdEuA_1_8"/>
      <w:bookmarkStart w:id="773" w:name="Tc_Whxp_AJWsE697wCaSl3cDA_1_2"/>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r>
        <w:rPr>
          <w:rFonts w:ascii="Times New Roman;Times;serif" w:hAnsi="Times New Roman;Times;serif"/>
          <w:b/>
          <w:sz w:val="20"/>
        </w:rPr>
        <w:t>Derivatives and hedging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Beginning in 2021, as part of Intel’s corporate hedging program, Intel hedges forecasted cash flows denominated in Israeli Shekels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condensed consolidated financial statements are recorded under accumulated other comprehensive income (loss) and reclassified into earnings in the same period or periods during which the hedged transaction affects the statement of operations.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fourth quarter of 2022, the Company de-designated its remaining cash flow hedges for forecasted operating expenses denominated in ILS and no longer participates in the hedging services agreement with Intel. As the hedged transactions and cash flows related to the outstanding instruments were expected to occur as originally forecasted, the associated gains and losses deferred in accumulated other comprehensive income (loss) on the Company’s consolidated balance sheet were reclassified into earnings in the same period or periods during which the originally hedged transactions affect earnings. Any subsequent changes in the fair value of the outstanding derivative instruments after the de-designation and termination of hedge accounting were immediately reflected in operating expenses.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accumulated other comprehensive income (loss) relating to gains (losses) on derivatives used for hedging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76"/>
        <w:gridCol w:w="146"/>
        <w:gridCol w:w="404"/>
        <w:gridCol w:w="663"/>
        <w:gridCol w:w="191"/>
        <w:gridCol w:w="364"/>
        <w:gridCol w:w="601"/>
        <w:gridCol w:w="109"/>
        <w:gridCol w:w="394"/>
        <w:gridCol w:w="647"/>
        <w:gridCol w:w="126"/>
        <w:gridCol w:w="352"/>
        <w:gridCol w:w="632"/>
      </w:tblGrid>
      <w:tr>
        <w:trPr/>
        <w:tc>
          <w:tcPr>
            <w:tcW w:w="5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540760" cy="175260"/>
                      <wp:effectExtent l="0" t="0" r="0" b="0"/>
                      <wp:wrapNone/>
                      <wp:docPr id="53" name="Frame53"/>
                      <a:graphic xmlns:a="http://schemas.openxmlformats.org/drawingml/2006/main">
                        <a:graphicData uri="http://schemas.microsoft.com/office/word/2010/wordprocessingShape">
                          <wps:wsp>
                            <wps:cNvSpPr txBox="1"/>
                            <wps:spPr>
                              <a:xfrm>
                                <a:off x="0" y="0"/>
                                <a:ext cx="354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92710" cy="175260"/>
                      <wp:effectExtent l="0" t="0" r="0" b="0"/>
                      <wp:wrapNone/>
                      <wp:docPr id="54" name="Frame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56540" cy="175260"/>
                      <wp:effectExtent l="0" t="0" r="0" b="0"/>
                      <wp:wrapNone/>
                      <wp:docPr id="55" name="Frame55"/>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21005" cy="175260"/>
                      <wp:effectExtent l="0" t="0" r="0" b="0"/>
                      <wp:wrapNone/>
                      <wp:docPr id="56" name="Frame56"/>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1285" cy="175260"/>
                      <wp:effectExtent l="0" t="0" r="0" b="0"/>
                      <wp:wrapNone/>
                      <wp:docPr id="57" name="Frame5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31140" cy="175260"/>
                      <wp:effectExtent l="0" t="0" r="0" b="0"/>
                      <wp:wrapNone/>
                      <wp:docPr id="58" name="Frame58"/>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81635" cy="175260"/>
                      <wp:effectExtent l="0" t="0" r="0" b="0"/>
                      <wp:wrapNone/>
                      <wp:docPr id="59" name="Frame5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50190" cy="175260"/>
                      <wp:effectExtent l="0" t="0" r="0" b="0"/>
                      <wp:wrapNone/>
                      <wp:docPr id="61" name="Frame61"/>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10845" cy="175260"/>
                      <wp:effectExtent l="0" t="0" r="0" b="0"/>
                      <wp:wrapNone/>
                      <wp:docPr id="62" name="Frame62"/>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80010" cy="175260"/>
                      <wp:effectExtent l="0" t="0" r="0" b="0"/>
                      <wp:wrapNone/>
                      <wp:docPr id="63" name="Frame63"/>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23520" cy="175260"/>
                      <wp:effectExtent l="0" t="0" r="0" b="0"/>
                      <wp:wrapNone/>
                      <wp:docPr id="64" name="Frame64"/>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01320" cy="175260"/>
                      <wp:effectExtent l="0" t="0" r="0" b="0"/>
                      <wp:wrapNone/>
                      <wp:docPr id="65" name="Frame65"/>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7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2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c>
          <w:tcPr>
            <w:tcW w:w="109" w:type="dxa"/>
            <w:tcBorders/>
            <w:vAlign w:val="center"/>
          </w:tcPr>
          <w:p>
            <w:pPr>
              <w:pStyle w:val="TableContents"/>
              <w:bidi w:val="0"/>
              <w:spacing w:before="0" w:after="1"/>
              <w:ind w:left="0" w:right="0" w:hanging="0"/>
              <w:jc w:val="left"/>
              <w:rPr/>
            </w:pPr>
            <w:r>
              <w:rPr/>
              <w:t>​</w:t>
            </w:r>
          </w:p>
        </w:tc>
        <w:tc>
          <w:tcPr>
            <w:tcW w:w="215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w:t>
            </w:r>
          </w:p>
        </w:tc>
      </w:tr>
      <w:tr>
        <w:trPr/>
        <w:tc>
          <w:tcPr>
            <w:tcW w:w="557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146" w:type="dxa"/>
            <w:tcBorders/>
            <w:vAlign w:val="center"/>
          </w:tcPr>
          <w:p>
            <w:pPr>
              <w:pStyle w:val="TableContents"/>
              <w:bidi w:val="0"/>
              <w:spacing w:before="0" w:after="1"/>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191" w:type="dxa"/>
            <w:tcBorders/>
            <w:vAlign w:val="center"/>
          </w:tcPr>
          <w:p>
            <w:pPr>
              <w:pStyle w:val="TableContents"/>
              <w:bidi w:val="0"/>
              <w:spacing w:before="0" w:after="1"/>
              <w:ind w:left="0" w:right="0" w:hanging="0"/>
              <w:jc w:val="left"/>
              <w:rPr/>
            </w:pPr>
            <w:r>
              <w:rPr/>
              <w:t>​</w:t>
            </w:r>
          </w:p>
        </w:tc>
        <w:tc>
          <w:tcPr>
            <w:tcW w:w="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2023</w:t>
            </w:r>
          </w:p>
        </w:tc>
        <w:tc>
          <w:tcPr>
            <w:tcW w:w="109" w:type="dxa"/>
            <w:tcBorders/>
            <w:vAlign w:val="center"/>
          </w:tcPr>
          <w:p>
            <w:pPr>
              <w:pStyle w:val="TableContents"/>
              <w:bidi w:val="0"/>
              <w:spacing w:before="0" w:after="1"/>
              <w:ind w:left="0" w:right="0" w:hanging="0"/>
              <w:jc w:val="left"/>
              <w:rPr/>
            </w:pPr>
            <w:r>
              <w:rPr/>
              <w:t>​</w:t>
            </w:r>
          </w:p>
        </w:tc>
        <w:tc>
          <w:tcPr>
            <w:tcW w:w="10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126" w:type="dxa"/>
            <w:tcBorders/>
            <w:vAlign w:val="center"/>
          </w:tcPr>
          <w:p>
            <w:pPr>
              <w:pStyle w:val="TableContents"/>
              <w:bidi w:val="0"/>
              <w:spacing w:before="0" w:after="1"/>
              <w:ind w:left="0" w:right="0" w:hanging="0"/>
              <w:jc w:val="left"/>
              <w:rPr/>
            </w:pPr>
            <w:r>
              <w:rPr/>
              <w:t>​</w:t>
            </w:r>
          </w:p>
        </w:tc>
        <w:tc>
          <w:tcPr>
            <w:tcW w:w="9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2023</w:t>
            </w:r>
          </w:p>
        </w:tc>
      </w:tr>
      <w:tr>
        <w:trPr/>
        <w:tc>
          <w:tcPr>
            <w:tcW w:w="55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reclassified out of accumulated other comprehensive income (loss)</w:t>
            </w:r>
          </w:p>
        </w:tc>
        <w:tc>
          <w:tcPr>
            <w:tcW w:w="146" w:type="dxa"/>
            <w:tcBorders/>
            <w:shd w:fill="CCEEFF" w:val="clear"/>
            <w:vAlign w:val="center"/>
          </w:tcPr>
          <w:p>
            <w:pPr>
              <w:pStyle w:val="TableContents"/>
              <w:bidi w:val="0"/>
              <w:spacing w:before="0" w:after="1"/>
              <w:ind w:left="0" w:right="0" w:hanging="0"/>
              <w:jc w:val="left"/>
              <w:rPr/>
            </w:pPr>
            <w:r>
              <w:rPr/>
              <w:t> </w:t>
            </w:r>
          </w:p>
        </w:tc>
        <w:tc>
          <w:tcPr>
            <w:tcW w:w="404"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 </w:t>
            </w:r>
          </w:p>
        </w:tc>
        <w:tc>
          <w:tcPr>
            <w:tcW w:w="364"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pPr>
            <w:r>
              <w:rPr/>
              <w:t>—</w:t>
            </w:r>
          </w:p>
        </w:tc>
        <w:tc>
          <w:tcPr>
            <w:tcW w:w="126"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right"/>
              <w:rPr/>
            </w:pPr>
            <w:r>
              <w:rPr/>
              <w:t>​</w:t>
            </w:r>
          </w:p>
        </w:tc>
        <w:tc>
          <w:tcPr>
            <w:tcW w:w="6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57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effects</w:t>
            </w:r>
          </w:p>
        </w:tc>
        <w:tc>
          <w:tcPr>
            <w:tcW w:w="146" w:type="dxa"/>
            <w:tcBorders/>
            <w:vAlign w:val="center"/>
          </w:tcPr>
          <w:p>
            <w:pPr>
              <w:pStyle w:val="TableContents"/>
              <w:bidi w:val="0"/>
              <w:spacing w:before="0" w:after="1"/>
              <w:ind w:left="0" w:right="0" w:hanging="0"/>
              <w:jc w:val="left"/>
              <w:rPr/>
            </w:pPr>
            <w:r>
              <w:rPr/>
              <w:t> </w:t>
            </w:r>
          </w:p>
        </w:tc>
        <w:tc>
          <w:tcPr>
            <w:tcW w:w="4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 </w:t>
            </w:r>
          </w:p>
        </w:tc>
        <w:tc>
          <w:tcPr>
            <w:tcW w:w="3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6" w:type="dxa"/>
            <w:tcBorders/>
            <w:vAlign w:val="center"/>
          </w:tcPr>
          <w:p>
            <w:pPr>
              <w:pStyle w:val="TableContents"/>
              <w:bidi w:val="0"/>
              <w:spacing w:before="0" w:after="1"/>
              <w:ind w:left="0" w:right="0" w:hanging="0"/>
              <w:jc w:val="righ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57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 net</w:t>
            </w:r>
          </w:p>
        </w:tc>
        <w:tc>
          <w:tcPr>
            <w:tcW w:w="146" w:type="dxa"/>
            <w:tcBorders/>
            <w:shd w:fill="CCEEFF" w:val="clear"/>
            <w:vAlign w:val="center"/>
          </w:tcPr>
          <w:p>
            <w:pPr>
              <w:pStyle w:val="TableContents"/>
              <w:bidi w:val="0"/>
              <w:spacing w:before="0" w:after="1"/>
              <w:ind w:left="0" w:right="0" w:hanging="0"/>
              <w:jc w:val="left"/>
              <w:rPr/>
            </w:pPr>
            <w:r>
              <w:rPr/>
              <w:t> </w:t>
            </w:r>
          </w:p>
        </w:tc>
        <w:tc>
          <w:tcPr>
            <w:tcW w:w="40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 </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47" w:type="dxa"/>
            <w:tcBorders/>
            <w:shd w:fill="CCEEFF" w:val="clear"/>
            <w:vAlign w:val="center"/>
          </w:tcPr>
          <w:p>
            <w:pPr>
              <w:pStyle w:val="TableContents"/>
              <w:bidi w:val="0"/>
              <w:spacing w:before="0" w:after="1"/>
              <w:ind w:left="0" w:right="0" w:hanging="0"/>
              <w:jc w:val="right"/>
              <w:rPr/>
            </w:pPr>
            <w:r>
              <w:rPr/>
              <w:t>—</w:t>
            </w:r>
          </w:p>
        </w:tc>
        <w:tc>
          <w:tcPr>
            <w:tcW w:w="126"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32"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9</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provision for income tax consists of income taxes in the various jurisdictions where the Company is subject to taxation, primarily the United States and Israel. For interim periods, the Company recognizes an income tax benefit (provision) based on the estimated annual effective tax rate, calculated on a worldwide consolidated basis, expected for the entire year. The Company applies this rate to the year-to-date pre-tax income. The overall effective tax rate is influenced by valuation allowances on tax assets for which no benefit can be recognized due to the Company’s recent history of pretax losses sustained. Tax jurisdictions with forecasted pretax losses for the year for which no benefit can be recognized are excluded from the calculation of the worldwide estimated annual effective tax rate, and any associated tax provision or benefit for those jurisdictions is recorded separately.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periods presented in the condensed consolidated financial statements, certain components of the Company’s business operations were included in the consolidated U.S. domestic income tax return filed by the Company’s Parent. The Company also files various foreign income tax returns on a separate basis, distinct from its Parent. The income tax provision included in the Company’s condensed consolidated financial statements has been calculated using the separate return method, as if the Company had filed its own tax returns.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entered into a Tax Sharing Agreement with its Parent that establishes the amount of cash payable for the Company’s share of the tax liability owed on consolidated tax return filings with its Parent. Any differences between taxes payable to the Company’s Parent under the Tax Sharing Agreement and the current tax provision computed on a separate return basis, is reflected as adjustments to additional paid-in capital in the condensed consolidated statement of changes in equity and financing activities within the condensed consolidated statement of cash flows (see also Note 7).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reflects tax loss and tax credit carry-forward attributes under the separate return method approach. Such tax attributes may not be benefited in the same period as the Company’s Parent on a consolidated tax return. As a result, there are inherent differences between the Company’s separate tax return method approach and certain actual tax returns filed on a consolidated basis with Intel.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Concentration of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that potentially subject the Company to a concentration of credit risk consist primarily of cash and cash equivalents, which include: short-term deposits, money market funds and U.S. government bonds; and also trade accounts receivable.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majority of the Company’s cash and cash equivalents are invested in banks domiciled in the U.S. and Europe, as well as in Israel. Generally, these cash equivalents may be redeemed upon demand. Short term bank deposits are held in the aforementioned banks. The money market funds consist of institutional investor money market funds and are readily redeemable to cash, and the U.S. government bonds are also highly liquid. Accordingly, management believes that these bank deposits, money market funds and U.S. government bonds, have minimal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accounts receivables are derived primarily from sales to Tier 1 suppliers to the automotive manufacturing industry located mainly in the U.S., Europe, and China. Concentration of credit risk with respect to accounts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performs ongoing credit evaluations of its customers and has not experienced any material losses in the periods presented. The Company recognizes an allowance for credit losses for any potential uncollectible amounts. The allowance is based on various factors, including historical experience, the age of the accounts receivable balances, credit quality of the customers, and other reasonable and supportable information. This allowance consists of an amount based on overall estimated exposure for the receivable portfolio and amounts identified for specific customers. Expected credit losses are recorded as general and administrative expenses in the Company’s condensed consolidated statement of operations and comprehensive income. As of June 29, 2024 and December 30, 2023, the credit loss allowance of trade accounts receivable was not material. For the three and six months ended June 29, 2024 and July 1, 2023, the charge-offs and recoveries in relation to the credit losses were not material.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Customer concentration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9 related to customers that accounted for more than 10% of the Company’s total revenue and more than 10% of the total accounts receivable balance for each of the periods presented in these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Dependence on a single supplier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purchases all its System on Chip (“EyeQ™ SoC”) from a single supplier. Any issues that occur and persist in connection with the manufacture, delivery, quality, or cost of the assembly and testing of inventory could have a material adverse effect on the Company’s business, results of operations and financial condition. See below regarding a shortage in EyeQ™ SoCs that the Company experienced during 2021 and 2022 and may experience in the future, including in ECUs for SuperVision™ and other components for our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Supply chain risk</w:t>
      </w:r>
    </w:p>
    <w:p>
      <w:pPr>
        <w:pStyle w:val="TextBody"/>
        <w:bidi w:val="0"/>
        <w:spacing w:lineRule="auto" w:line="240" w:before="0" w:after="240"/>
        <w:ind w:left="0" w:right="0" w:firstLine="360"/>
        <w:jc w:val="both"/>
        <w:rPr>
          <w:rFonts w:ascii="Times New Roman;Times;serif" w:hAnsi="Times New Roman;Times;serif"/>
          <w:i/>
          <w:sz w:val="20"/>
        </w:rPr>
      </w:pPr>
      <w:r>
        <w:rPr>
          <w:rFonts w:ascii="Times New Roman;Times;serif" w:hAnsi="Times New Roman;Times;serif"/>
          <w:i w:val="false"/>
          <w:caps w:val="false"/>
          <w:smallCaps w:val="false"/>
          <w:sz w:val="20"/>
        </w:rPr>
        <w:t>During the fiscal years 2022 and 2021, the semiconductor industry experienced widespread shortages of substrates and other components and available foundry manufacturing capacity. Furthermore, STMicroelectronics, the Company’s sole supplier, was not able to meet our demand for EyeQ™ SoCs during 2022, causing a significant reduction in the Company’s inventory levels. Starting in late 2022 and early 2023, such supply chain disruptions, raw material shortages and manufacturing limitations abated and during 2023, we successfully increased levels of EyeQ™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 SoCs or SuperVision™ ECUs on hand. As a result, we are substantially reliant on timely shipments of EyeQ</w:t>
      </w:r>
      <w:r>
        <w:rPr>
          <w:rFonts w:ascii="Times New Roman;Times;serif" w:hAnsi="Times New Roman;Times;serif"/>
          <w:i w:val="false"/>
          <w:caps w:val="false"/>
          <w:smallCaps w:val="false"/>
          <w:sz w:val="15"/>
        </w:rPr>
        <w:t>TM</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SoCs from STMicroelectronics and ECUs from Quanta Computer (or other suppliers) to fulfill customer orders and if such a shortfall of chips of ECUs were to occur, we may be unable to offset future supply constraints through the use of inventory on hand. Our results of operations in the three and six months ended June 29, 2024 have not been impacted by any shortfall of chips. Although we cannot fully predict the length and the severity of the impact these pressures would have on a long-term basis, we do not anticipate that our current supply chain constraints would materially adversely affect our results of operations, capital resources, sales, profits, and liquidity on a long-term basis.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New Accounting pronouncements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Accounting Pronouncements effective in future periods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December 2023, the FASB issued ASU 2023-09 Improvements to Income Tax Disclosures.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For public business entities, the ASU is effective for annual periods beginning after December 15, 2024. The Company is evaluating the potential impact of this guidance on its consolidated financial statements.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November 2023, the FASB issued ASU No. 2023-07 Segment Reporting (Topic 280): Improvements to Reportable Segment Disclosures. The ASU improves reportable segments disclosure requirements, primarily through enhanced disclosures about significant segment expenses. The ASU is effective for fiscal years beginning after December 15, 2023, and interim periods within fiscal years beginning after December 15, 2024. Early adoption is permitted. The Company is evaluating the potential impact of this guidance on its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74" w:name="Tc_Y6VvTwIlvE6EnR8itW1BxA_6_5"/>
      <w:bookmarkStart w:id="775" w:name="Tc_yEXSYL4SbUWBGMSyptgfAg_6_2"/>
      <w:bookmarkStart w:id="776" w:name="Tc_G9xDlgLP4U-ZJtK1GTt3QA_6_0"/>
      <w:bookmarkStart w:id="777" w:name="Tc_i0IXgI8IJkyODKJGD92CWg_5_0"/>
      <w:bookmarkStart w:id="778" w:name="Tc_aHTeNFeWkUKqfU5r9fqnUw_4_3"/>
      <w:bookmarkStart w:id="779" w:name="Tc_fHP7qig4Rkqd--LsQVddFg_4_0"/>
      <w:bookmarkStart w:id="780" w:name="Tc_dHR9Kt1YjkaHp33P6TrzVg_3_5"/>
      <w:bookmarkStart w:id="781" w:name="Tc_u6czTP-TbEyvgHjDZxAMSw_3_2"/>
      <w:bookmarkStart w:id="782" w:name="Tc_u27IbEdLzE-zfPNY3R7nqw_3_0"/>
      <w:bookmarkStart w:id="783" w:name="Tc_5PvVNgONyECKTuiHjxukbA_2_5"/>
      <w:bookmarkStart w:id="784" w:name="Tc_n0xXHJ5T7UaK-PdvaSGrxQ_2_2"/>
      <w:bookmarkStart w:id="785" w:name="Tc_iroBjyjQ_kWRk4cLJi7Psw_2_0"/>
      <w:bookmarkStart w:id="786" w:name="Tc_5tlIBRF5YEOFZOXM1L5TTQ_1_2"/>
      <w:bookmarkEnd w:id="774"/>
      <w:bookmarkEnd w:id="775"/>
      <w:bookmarkEnd w:id="776"/>
      <w:bookmarkEnd w:id="777"/>
      <w:bookmarkEnd w:id="778"/>
      <w:bookmarkEnd w:id="779"/>
      <w:bookmarkEnd w:id="780"/>
      <w:bookmarkEnd w:id="781"/>
      <w:bookmarkEnd w:id="782"/>
      <w:bookmarkEnd w:id="783"/>
      <w:bookmarkEnd w:id="784"/>
      <w:bookmarkEnd w:id="785"/>
      <w:bookmarkEnd w:id="786"/>
      <w:r>
        <w:rPr>
          <w:rFonts w:ascii="Times New Roman;Times;serif" w:hAnsi="Times New Roman;Times;serif"/>
          <w:b/>
          <w:sz w:val="20"/>
        </w:rPr>
        <w:t>NOTE 3 - OTHER FINANCIAL STATEMENT DETAILS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Inventories</w:t>
      </w:r>
    </w:p>
    <w:p>
      <w:pPr>
        <w:pStyle w:val="TextBody"/>
        <w:bidi w:val="0"/>
        <w:spacing w:before="0" w:after="0"/>
        <w:ind w:left="0" w:right="0" w:hanging="0"/>
        <w:jc w:val="left"/>
        <w:rPr/>
      </w:pPr>
      <w:r>
        <w:rPr/>
        <w:t>​</w:t>
      </w:r>
    </w:p>
    <w:tbl>
      <w:tblPr>
        <w:tblW w:w="5063" w:type="dxa"/>
        <w:jc w:val="left"/>
        <w:tblInd w:w="0" w:type="dxa"/>
        <w:tblLayout w:type="fixed"/>
        <w:tblCellMar>
          <w:top w:w="0" w:type="dxa"/>
          <w:left w:w="0" w:type="dxa"/>
          <w:bottom w:w="0" w:type="dxa"/>
          <w:right w:w="0" w:type="dxa"/>
        </w:tblCellMar>
      </w:tblPr>
      <w:tblGrid>
        <w:gridCol w:w="1741"/>
        <w:gridCol w:w="326"/>
        <w:gridCol w:w="375"/>
        <w:gridCol w:w="750"/>
        <w:gridCol w:w="326"/>
        <w:gridCol w:w="441"/>
        <w:gridCol w:w="1104"/>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105535" cy="175260"/>
                      <wp:effectExtent l="0" t="0" r="0" b="0"/>
                      <wp:wrapNone/>
                      <wp:docPr id="66" name="Frame6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38125" cy="175260"/>
                      <wp:effectExtent l="0" t="0" r="0" b="0"/>
                      <wp:wrapNone/>
                      <wp:docPr id="68" name="Frame6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76250" cy="175260"/>
                      <wp:effectExtent l="0" t="0" r="0" b="0"/>
                      <wp:wrapNone/>
                      <wp:docPr id="69" name="Frame69"/>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80035" cy="175260"/>
                      <wp:effectExtent l="0" t="0" r="0" b="0"/>
                      <wp:wrapNone/>
                      <wp:docPr id="71" name="Frame71"/>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701040" cy="175260"/>
                      <wp:effectExtent l="0" t="0" r="0" b="0"/>
                      <wp:wrapNone/>
                      <wp:docPr id="72" name="Frame72"/>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 2023</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26" w:type="dxa"/>
            <w:tcBorders/>
            <w:shd w:fill="CCEEFF" w:val="clear"/>
            <w:vAlign w:val="center"/>
          </w:tcPr>
          <w:p>
            <w:pPr>
              <w:pStyle w:val="TableContents"/>
              <w:bidi w:val="0"/>
              <w:spacing w:before="0" w:after="0"/>
              <w:ind w:left="0" w:right="0" w:hanging="0"/>
              <w:jc w:val="left"/>
              <w:rPr/>
            </w:pPr>
            <w:r>
              <w:rPr/>
              <w:t> </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inventories</w:t>
            </w:r>
          </w:p>
        </w:tc>
        <w:tc>
          <w:tcPr>
            <w:tcW w:w="32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485</w:t>
            </w:r>
          </w:p>
        </w:tc>
        <w:tc>
          <w:tcPr>
            <w:tcW w:w="32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4"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391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Inventory write-downs and write-offs totaled $1 million for the three and six months ended June 29, 2024 and were not material for the three and six months ended July 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787" w:name="Tc_JDPAmNOvNEatC3OFZXAg3A_10_5"/>
      <w:bookmarkStart w:id="788" w:name="Tc_wAAQrWgXp0e6FnQsezVT2w_10_2"/>
      <w:bookmarkStart w:id="789" w:name="Tc_sxdBIK9y106EZFTpBc2Mew_10_0"/>
      <w:bookmarkStart w:id="790" w:name="Tc_q1f1j9Mvr0WQ0GabvT1HUA_9_0"/>
      <w:bookmarkStart w:id="791" w:name="Tc_Ll8SpBbKIEW6zyKQlsiFBA_8_5"/>
      <w:bookmarkStart w:id="792" w:name="Tc_A44oOWomeEOLTXfh3-4wTQ_8_2"/>
      <w:bookmarkStart w:id="793" w:name="Tc_n2ev1vTTykOEkY_cxFuagA_8_0"/>
      <w:bookmarkStart w:id="794" w:name="Tc_CmbW1CXbZUWW-kGk9MUaOg_7_0"/>
      <w:bookmarkStart w:id="795" w:name="Tc_HcVyB4E9R0WS90VS9NzWeg_6_0"/>
      <w:bookmarkStart w:id="796" w:name="Tc_ItmFiK9rpkemJqQq3H5BUA_5_0"/>
      <w:bookmarkStart w:id="797" w:name="Tc_EkgoMrsIlk2bG1dY3VT3UQ_4_0"/>
      <w:bookmarkStart w:id="798" w:name="Tc_wKdrUtOrQEu0JcFHnRa4rA_3_5"/>
      <w:bookmarkStart w:id="799" w:name="Tc_eeAEamZsf0iUkkd1vIyQNQ_3_2"/>
      <w:bookmarkStart w:id="800" w:name="Tc_11qL-_-8XECtg_gUiugv3Q_3_0"/>
      <w:bookmarkStart w:id="801" w:name="Tc_bf89T9dDvEadXV1zSOIkZg_2_5"/>
      <w:bookmarkStart w:id="802" w:name="Tc_D8GJGxa-N0SJvt6Bno_e2g_2_2"/>
      <w:bookmarkStart w:id="803" w:name="Tc_uGlK2E8lpEmuW-WgYdutcA_2_0"/>
      <w:bookmarkStart w:id="804" w:name="Tc_lact7TrsikGrziEitSJEpg_1_2"/>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r>
        <w:rPr>
          <w:rFonts w:ascii="Times New Roman;Times;serif" w:hAnsi="Times New Roman;Times;serif"/>
          <w:b/>
          <w:sz w:val="20"/>
        </w:rPr>
        <w:t>Property and equipment</w:t>
      </w:r>
    </w:p>
    <w:p>
      <w:pPr>
        <w:pStyle w:val="TextBody"/>
        <w:bidi w:val="0"/>
        <w:spacing w:before="0" w:after="0"/>
        <w:ind w:left="0" w:right="0" w:hanging="0"/>
        <w:jc w:val="left"/>
        <w:rPr/>
      </w:pPr>
      <w:r>
        <w:rPr/>
        <w:t>​</w:t>
      </w:r>
    </w:p>
    <w:tbl>
      <w:tblPr>
        <w:tblW w:w="7208" w:type="dxa"/>
        <w:jc w:val="left"/>
        <w:tblInd w:w="0" w:type="dxa"/>
        <w:tblLayout w:type="fixed"/>
        <w:tblCellMar>
          <w:top w:w="0" w:type="dxa"/>
          <w:left w:w="0" w:type="dxa"/>
          <w:bottom w:w="0" w:type="dxa"/>
          <w:right w:w="0" w:type="dxa"/>
        </w:tblCellMar>
      </w:tblPr>
      <w:tblGrid>
        <w:gridCol w:w="3886"/>
        <w:gridCol w:w="326"/>
        <w:gridCol w:w="315"/>
        <w:gridCol w:w="810"/>
        <w:gridCol w:w="326"/>
        <w:gridCol w:w="441"/>
        <w:gridCol w:w="1104"/>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467610" cy="175260"/>
                      <wp:effectExtent l="0" t="0" r="0" b="0"/>
                      <wp:wrapNone/>
                      <wp:docPr id="73" name="Frame73"/>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0025" cy="175260"/>
                      <wp:effectExtent l="0" t="0" r="0" b="0"/>
                      <wp:wrapNone/>
                      <wp:docPr id="75" name="Frame7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14350" cy="175260"/>
                      <wp:effectExtent l="0" t="0" r="0" b="0"/>
                      <wp:wrapNone/>
                      <wp:docPr id="76" name="Frame76"/>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80035" cy="175260"/>
                      <wp:effectExtent l="0" t="0" r="0" b="0"/>
                      <wp:wrapNone/>
                      <wp:docPr id="78" name="Frame78"/>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01040" cy="175260"/>
                      <wp:effectExtent l="0" t="0" r="0" b="0"/>
                      <wp:wrapNone/>
                      <wp:docPr id="79" name="Frame79"/>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 2023</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Computers, electronic equipment and software</w:t>
            </w:r>
          </w:p>
        </w:tc>
        <w:tc>
          <w:tcPr>
            <w:tcW w:w="326"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shd w:fill="CCEEFF" w:val="clear"/>
            <w:vAlign w:val="center"/>
          </w:tcPr>
          <w:p>
            <w:pPr>
              <w:pStyle w:val="TableContents"/>
              <w:bidi w:val="0"/>
              <w:spacing w:before="0" w:after="0"/>
              <w:ind w:left="0" w:right="0" w:hanging="0"/>
              <w:jc w:val="left"/>
              <w:rPr/>
            </w:pPr>
            <w:r>
              <w:rPr/>
              <w:t>    </w:t>
            </w:r>
          </w:p>
        </w:tc>
        <w:tc>
          <w:tcPr>
            <w:tcW w:w="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furniture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 </w:t>
            </w:r>
          </w:p>
        </w:tc>
        <w:tc>
          <w:tcPr>
            <w:tcW w:w="441"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26"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 </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0"/>
              <w:ind w:left="0" w:right="0" w:hanging="0"/>
              <w:jc w:val="left"/>
              <w:rPr/>
            </w:pPr>
            <w:r>
              <w:rPr/>
              <w:t> </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property and equipment, gross</w:t>
            </w:r>
          </w:p>
        </w:tc>
        <w:tc>
          <w:tcPr>
            <w:tcW w:w="32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576</w:t>
            </w:r>
          </w:p>
        </w:tc>
        <w:tc>
          <w:tcPr>
            <w:tcW w:w="32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544</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bidi w:val="0"/>
              <w:spacing w:before="0" w:after="0"/>
              <w:ind w:left="0" w:right="0" w:hanging="0"/>
              <w:jc w:val="left"/>
              <w:rPr/>
            </w:pPr>
            <w:r>
              <w:rPr/>
              <w:t> </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0"/>
              <w:ind w:left="0" w:right="0" w:hanging="0"/>
              <w:jc w:val="left"/>
              <w:rPr/>
            </w:pPr>
            <w:r>
              <w:rPr/>
              <w:t> </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property and equipment, net</w:t>
            </w:r>
          </w:p>
        </w:tc>
        <w:tc>
          <w:tcPr>
            <w:tcW w:w="326" w:type="dxa"/>
            <w:tcBorders/>
            <w:vAlign w:val="center"/>
          </w:tcPr>
          <w:p>
            <w:pPr>
              <w:pStyle w:val="TableContents"/>
              <w:bidi w:val="0"/>
              <w:spacing w:before="0" w:after="0"/>
              <w:ind w:left="0" w:right="0" w:hanging="0"/>
              <w:jc w:val="left"/>
              <w:rPr/>
            </w:pPr>
            <w:r>
              <w:rPr/>
              <w:t> </w:t>
            </w:r>
          </w:p>
        </w:tc>
        <w:tc>
          <w:tcPr>
            <w:tcW w:w="3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456</w:t>
            </w:r>
          </w:p>
        </w:tc>
        <w:tc>
          <w:tcPr>
            <w:tcW w:w="326" w:type="dxa"/>
            <w:tcBorders/>
            <w:vAlign w:val="center"/>
          </w:tcPr>
          <w:p>
            <w:pPr>
              <w:pStyle w:val="TableContents"/>
              <w:bidi w:val="0"/>
              <w:spacing w:before="0" w:after="0"/>
              <w:ind w:left="0" w:right="0" w:hanging="0"/>
              <w:jc w:val="left"/>
              <w:rPr/>
            </w:pPr>
            <w:r>
              <w:rPr/>
              <w:t> </w:t>
            </w:r>
          </w:p>
        </w:tc>
        <w:tc>
          <w:tcPr>
            <w:tcW w:w="4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447</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expenses totaled $16 million and $8 million for the three months ended June 29, 2024 and July 1, 2023, respectively; and $30 million and $15 million for the six months ended June 29, 2024 and July 1, 2023, respectively. During the six months ended June 29, 2024, the Company derecognized the cost and accumulated depreciation of fully depreciated assets in the amount of $7 million.</w:t>
      </w:r>
    </w:p>
    <w:p>
      <w:pPr>
        <w:pStyle w:val="TextBody"/>
        <w:bidi w:val="0"/>
        <w:spacing w:before="0" w:after="240"/>
        <w:ind w:left="0" w:right="0" w:hanging="0"/>
        <w:jc w:val="left"/>
        <w:rPr>
          <w:rFonts w:ascii="Times New Roman;Times;serif" w:hAnsi="Times New Roman;Times;serif"/>
          <w:b/>
          <w:sz w:val="20"/>
        </w:rPr>
      </w:pPr>
      <w:bookmarkStart w:id="805" w:name="Tc_uC2wnAIUYkqbX9P-YHuCTw_8_4"/>
      <w:bookmarkStart w:id="806" w:name="Tc_YN1yHWj2Lk6DVkHr30a0fw_8_0"/>
      <w:bookmarkStart w:id="807" w:name="Tc_zdUGbOCeekC06sqh2hrD5g_7_0"/>
      <w:bookmarkStart w:id="808" w:name="Tc_MoevBTiFgUOx-_NOyAfTnQ_6_0"/>
      <w:bookmarkStart w:id="809" w:name="Tc_y1UXdQFWRku8AQQE3FXFCg_5_0"/>
      <w:bookmarkStart w:id="810" w:name="Tc_rHl2qGT89k69t5gt0fQOmQ_4_4"/>
      <w:bookmarkStart w:id="811" w:name="Tc_MNVdcUQj4Ee8HdB1guPGmQ_4_0"/>
      <w:bookmarkStart w:id="812" w:name="Tc_dseCB0v2u0esZ05C0DVetg_3_4"/>
      <w:bookmarkStart w:id="813" w:name="Tc_VlvYdYBiHU2A48yY_O-AVg_3_2"/>
      <w:bookmarkStart w:id="814" w:name="Tc_-ptUB2RmxEeRFJZhyHZwgQ_2_4"/>
      <w:bookmarkStart w:id="815" w:name="Tc_XlojagG4e028MJm1dGiRnA_2_2"/>
      <w:bookmarkStart w:id="816" w:name="Tc_P10zbsOAa0mt-ROCwU16BQ_1_4"/>
      <w:bookmarkStart w:id="817" w:name="Tc_pa85OOu6dEG1pEYz-diYNA_8_4"/>
      <w:bookmarkStart w:id="818" w:name="Tc_MBt-FAn5pEeV1Is2yy_FHw_8_0"/>
      <w:bookmarkStart w:id="819" w:name="Tc_nz_BQRUTc0G8ULmrX8rl8A_7_0"/>
      <w:bookmarkStart w:id="820" w:name="Tc_Tsz2wN-AR06Y2WwhG0DT5Q_6_0"/>
      <w:bookmarkStart w:id="821" w:name="Tc_4oA6gGgaR02qm6uGVydWeA_5_0"/>
      <w:bookmarkStart w:id="822" w:name="Tc_PdAP1Pmhdk6qbeer6LMD9A_4_4"/>
      <w:bookmarkStart w:id="823" w:name="Tc_B9aW1jeccECeZXa2wu5vig_4_0"/>
      <w:bookmarkStart w:id="824" w:name="Tc_7TVoUag8d0uDfmd-WoHjeA_3_4"/>
      <w:bookmarkStart w:id="825" w:name="Tc_7S2f_EySCkqadGCVSkNPjg_3_2"/>
      <w:bookmarkStart w:id="826" w:name="Tc_h-YNYtFJ2EG1zgm6y9pKmw_2_4"/>
      <w:bookmarkStart w:id="827" w:name="Tc_mJ8ge35CP069t_mfCV5x6g_2_2"/>
      <w:bookmarkStart w:id="828" w:name="Tc_jzapej3Aa0issyNfUxTzGQ_1_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r>
        <w:rPr>
          <w:rFonts w:ascii="Times New Roman;Times;serif" w:hAnsi="Times New Roman;Times;serif"/>
          <w:b/>
          <w:sz w:val="20"/>
        </w:rPr>
        <w:t>NOTE 4 - EQUITY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Share-based compensation plans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Mobileye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Following the Mobileye IPO in October 2022, the Company’s employees are incentivized and rewarded through the grant of the Company’s equity awards under the Mobileye Global Inc. 2022 Equity Incentive Plan (“the 2022 Plan”), which are granted for Class A shares and vest upon the satisfaction of a service-based vesting condition, mostly over service periods of three years. </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Stock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RSUs activity for the six months ended June 29, 2024 for RSUs granted to Company’s employees under the 2022 Plan was as follows:</w:t>
      </w:r>
    </w:p>
    <w:p>
      <w:pPr>
        <w:pStyle w:val="TextBody"/>
        <w:bidi w:val="0"/>
        <w:spacing w:before="0" w:after="0"/>
        <w:ind w:left="0" w:right="0" w:hanging="0"/>
        <w:jc w:val="left"/>
        <w:rPr/>
      </w:pPr>
      <w:r>
        <w:rPr/>
        <w:t>​</w:t>
      </w:r>
    </w:p>
    <w:tbl>
      <w:tblPr>
        <w:tblW w:w="7150" w:type="dxa"/>
        <w:jc w:val="left"/>
        <w:tblInd w:w="0" w:type="dxa"/>
        <w:tblLayout w:type="fixed"/>
        <w:tblCellMar>
          <w:top w:w="0" w:type="dxa"/>
          <w:left w:w="0" w:type="dxa"/>
          <w:bottom w:w="0" w:type="dxa"/>
          <w:right w:w="0" w:type="dxa"/>
        </w:tblCellMar>
      </w:tblPr>
      <w:tblGrid>
        <w:gridCol w:w="3256"/>
        <w:gridCol w:w="326"/>
        <w:gridCol w:w="1321"/>
        <w:gridCol w:w="326"/>
        <w:gridCol w:w="518"/>
        <w:gridCol w:w="1403"/>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67560" cy="175260"/>
                      <wp:effectExtent l="0" t="0" r="0" b="0"/>
                      <wp:wrapNone/>
                      <wp:docPr id="80" name="Frame80"/>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838835" cy="175260"/>
                      <wp:effectExtent l="0" t="0" r="0" b="0"/>
                      <wp:wrapNone/>
                      <wp:docPr id="82" name="Frame82"/>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28930" cy="175260"/>
                      <wp:effectExtent l="0" t="0" r="0" b="0"/>
                      <wp:wrapNone/>
                      <wp:docPr id="84" name="Frame84"/>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890905" cy="175260"/>
                      <wp:effectExtent l="0" t="0" r="0" b="0"/>
                      <wp:wrapNone/>
                      <wp:docPr id="85" name="Frame85"/>
                      <a:graphic xmlns:a="http://schemas.openxmlformats.org/drawingml/2006/main">
                        <a:graphicData uri="http://schemas.microsoft.com/office/word/2010/wordprocessingShape">
                          <wps:wsp>
                            <wps:cNvSpPr txBox="1"/>
                            <wps:spPr>
                              <a:xfrm>
                                <a:off x="0" y="0"/>
                                <a:ext cx="890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9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 grant</w: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26" w:type="dxa"/>
            <w:tcBorders/>
            <w:vAlign w:val="center"/>
          </w:tcPr>
          <w:p>
            <w:pPr>
              <w:pStyle w:val="TableContents"/>
              <w:bidi w:val="0"/>
              <w:spacing w:before="0" w:after="1"/>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 dollars</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14,778</w:t>
            </w:r>
          </w:p>
        </w:tc>
        <w:tc>
          <w:tcPr>
            <w:tcW w:w="326"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40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29.5</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1,571</w:t>
            </w:r>
          </w:p>
        </w:tc>
        <w:tc>
          <w:tcPr>
            <w:tcW w:w="326"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left"/>
              <w:rPr/>
            </w:pPr>
            <w:r>
              <w:rPr/>
              <w:t>​</w:t>
            </w:r>
          </w:p>
        </w:tc>
        <w:tc>
          <w:tcPr>
            <w:tcW w:w="14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(3,084)</w:t>
            </w:r>
          </w:p>
        </w:tc>
        <w:tc>
          <w:tcPr>
            <w:tcW w:w="326"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June 29, 2024</w:t>
            </w:r>
          </w:p>
        </w:tc>
        <w:tc>
          <w:tcPr>
            <w:tcW w:w="326" w:type="dxa"/>
            <w:tcBorders/>
            <w:shd w:fill="CCEEFF" w:val="clear"/>
            <w:vAlign w:val="center"/>
          </w:tcPr>
          <w:p>
            <w:pPr>
              <w:pStyle w:val="TableContents"/>
              <w:bidi w:val="0"/>
              <w:spacing w:before="0" w:after="1"/>
              <w:ind w:left="0" w:right="0" w:hanging="0"/>
              <w:jc w:val="left"/>
              <w:rPr/>
            </w:pPr>
            <w:r>
              <w:rPr/>
              <w:t> </w:t>
            </w:r>
          </w:p>
        </w:tc>
        <w:tc>
          <w:tcPr>
            <w:tcW w:w="13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12,881</w:t>
            </w:r>
          </w:p>
        </w:tc>
        <w:tc>
          <w:tcPr>
            <w:tcW w:w="326" w:type="dxa"/>
            <w:tcBorders/>
            <w:shd w:fill="CCEEFF" w:val="clear"/>
            <w:vAlign w:val="center"/>
          </w:tcPr>
          <w:p>
            <w:pPr>
              <w:pStyle w:val="TableContents"/>
              <w:bidi w:val="0"/>
              <w:spacing w:before="0" w:after="1"/>
              <w:ind w:left="0" w:right="0" w:hanging="0"/>
              <w:jc w:val="left"/>
              <w:rPr/>
            </w:pPr>
            <w:r>
              <w:rPr/>
              <w:t>​</w:t>
            </w:r>
          </w:p>
        </w:tc>
        <w:tc>
          <w:tcPr>
            <w:tcW w:w="5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30.9</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RSUs activity for the three months ended June 29, 2024 for RSUs granted to Company’s employees under the 2022 Plan was as follows:</w:t>
      </w:r>
    </w:p>
    <w:p>
      <w:pPr>
        <w:pStyle w:val="TextBody"/>
        <w:bidi w:val="0"/>
        <w:spacing w:before="0" w:after="0"/>
        <w:ind w:left="0" w:right="0" w:hanging="0"/>
        <w:jc w:val="left"/>
        <w:rPr/>
      </w:pPr>
      <w:r>
        <w:rPr/>
        <w:t>​</w:t>
      </w:r>
    </w:p>
    <w:tbl>
      <w:tblPr>
        <w:tblW w:w="6865" w:type="dxa"/>
        <w:jc w:val="left"/>
        <w:tblInd w:w="0" w:type="dxa"/>
        <w:tblLayout w:type="fixed"/>
        <w:tblCellMar>
          <w:top w:w="0" w:type="dxa"/>
          <w:left w:w="0" w:type="dxa"/>
          <w:bottom w:w="0" w:type="dxa"/>
          <w:right w:w="0" w:type="dxa"/>
        </w:tblCellMar>
      </w:tblPr>
      <w:tblGrid>
        <w:gridCol w:w="2971"/>
        <w:gridCol w:w="326"/>
        <w:gridCol w:w="1321"/>
        <w:gridCol w:w="326"/>
        <w:gridCol w:w="518"/>
        <w:gridCol w:w="1403"/>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886585" cy="175260"/>
                      <wp:effectExtent l="0" t="0" r="0" b="0"/>
                      <wp:wrapNone/>
                      <wp:docPr id="86" name="Frame86"/>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838835" cy="175260"/>
                      <wp:effectExtent l="0" t="0" r="0" b="0"/>
                      <wp:wrapNone/>
                      <wp:docPr id="88" name="Frame88"/>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28930" cy="175260"/>
                      <wp:effectExtent l="0" t="0" r="0" b="0"/>
                      <wp:wrapNone/>
                      <wp:docPr id="90" name="Frame90"/>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890905" cy="175260"/>
                      <wp:effectExtent l="0" t="0" r="0" b="0"/>
                      <wp:wrapNone/>
                      <wp:docPr id="91" name="Frame91"/>
                      <a:graphic xmlns:a="http://schemas.openxmlformats.org/drawingml/2006/main">
                        <a:graphicData uri="http://schemas.microsoft.com/office/word/2010/wordprocessingShape">
                          <wps:wsp>
                            <wps:cNvSpPr txBox="1"/>
                            <wps:spPr>
                              <a:xfrm>
                                <a:off x="0" y="0"/>
                                <a:ext cx="890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grant</w: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    </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dollars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March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15,170</w:t>
            </w:r>
          </w:p>
        </w:tc>
        <w:tc>
          <w:tcPr>
            <w:tcW w:w="326"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40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29.3</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26"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left"/>
              <w:rPr/>
            </w:pPr>
            <w:r>
              <w:rPr/>
              <w:t>​</w:t>
            </w:r>
          </w:p>
        </w:tc>
        <w:tc>
          <w:tcPr>
            <w:tcW w:w="14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w:t>
            </w:r>
          </w:p>
        </w:tc>
        <w:tc>
          <w:tcPr>
            <w:tcW w:w="326"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left"/>
              <w:rPr/>
            </w:pPr>
            <w:r>
              <w:rPr/>
              <w:t>​</w:t>
            </w:r>
          </w:p>
        </w:tc>
        <w:tc>
          <w:tcPr>
            <w:tcW w:w="14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26" w:type="dxa"/>
            <w:tcBorders/>
            <w:vAlign w:val="center"/>
          </w:tcPr>
          <w:p>
            <w:pPr>
              <w:pStyle w:val="TableContents"/>
              <w:bidi w:val="0"/>
              <w:spacing w:before="0" w:after="0"/>
              <w:ind w:left="0" w:right="0" w:hanging="0"/>
              <w:jc w:val="righ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June 29, 2024</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12,881</w:t>
            </w:r>
          </w:p>
        </w:tc>
        <w:tc>
          <w:tcPr>
            <w:tcW w:w="326" w:type="dxa"/>
            <w:tcBorders/>
            <w:shd w:fill="CCEEFF" w:val="clear"/>
            <w:vAlign w:val="center"/>
          </w:tcPr>
          <w:p>
            <w:pPr>
              <w:pStyle w:val="TableContents"/>
              <w:bidi w:val="0"/>
              <w:spacing w:before="0" w:after="0"/>
              <w:ind w:left="0" w:right="0" w:hanging="0"/>
              <w:jc w:val="right"/>
              <w:rPr/>
            </w:pPr>
            <w:r>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30.9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bookmarkStart w:id="829" w:name="Tc_6rzln9tjZky8Gxxv_lA7BQ_9_10"/>
      <w:bookmarkStart w:id="830" w:name="Tc_q9mmwkdsTkqjO11tqdN5OA_9_7"/>
      <w:bookmarkStart w:id="831" w:name="Tc_GAD9pWXEFUiJzvY5E4009Q_9_0"/>
      <w:bookmarkStart w:id="832" w:name="Tc_UipodJ_EJ0mTRYL8U_GF5Q_8_10"/>
      <w:bookmarkStart w:id="833" w:name="Tc_Fbi4dzO2-kGa8E9MypL0uQ_8_7"/>
      <w:bookmarkStart w:id="834" w:name="Tc_BKrBjuCTg0ekzxbjuUw3vg_8_0"/>
      <w:bookmarkStart w:id="835" w:name="Tc_43IImO5S-0m6P3i1V71r6Q_7_11"/>
      <w:bookmarkStart w:id="836" w:name="Tc__ihrem4Dd0uLcnbsCajQog_7_8"/>
      <w:bookmarkStart w:id="837" w:name="Tc_Uqzz8aPPoEqv_VR42n3gMQ_7_5"/>
      <w:bookmarkStart w:id="838" w:name="Tc_xtViliO730elh0hjwK3r3Q_7_2"/>
      <w:bookmarkStart w:id="839" w:name="Tc_rY28esk3RUmTataH9qUKSg_7_0"/>
      <w:bookmarkStart w:id="840" w:name="Tc_XjOtIFu16kSURAwLTMCmAA_6_11"/>
      <w:bookmarkStart w:id="841" w:name="Tc_5euRm0CVkE-AkHqNcxazcA_6_8"/>
      <w:bookmarkStart w:id="842" w:name="Tc_dlTzD9vWU0SCBn2XNdkiYQ_6_5"/>
      <w:bookmarkStart w:id="843" w:name="Tc_YTC8g4UZJ0-DrD_eyoifKw_6_2"/>
      <w:bookmarkStart w:id="844" w:name="Tc_bZZUCOWn6EC9b4wP7Oywog_6_0"/>
      <w:bookmarkStart w:id="845" w:name="Tc_z90io_cWfEujvs4piQGofw_5_10"/>
      <w:bookmarkStart w:id="846" w:name="Tc_0kpCptTScU2S2i1bf5TECQ_5_7"/>
      <w:bookmarkStart w:id="847" w:name="Tc_ou9OqcIRNUKYea7GnCkCRw_5_4"/>
      <w:bookmarkStart w:id="848" w:name="Tc_b5bPJtNwPkusjnrdPjAQ1Q_5_0"/>
      <w:bookmarkStart w:id="849" w:name="Tc_Sq1PY-pl5kuMohoFwy_gWw_4_10"/>
      <w:bookmarkStart w:id="850" w:name="Tc_-5Vl3-MKPkGBS8np3067ww_4_7"/>
      <w:bookmarkStart w:id="851" w:name="Tc_IrR3Zu_XKUqixpDYkA33mw_4_4"/>
      <w:bookmarkStart w:id="852" w:name="Tc_hsrC2lkUr0q-KbGvqhaWlQ_4_2"/>
      <w:bookmarkStart w:id="853" w:name="Tc_qbFv0bzQKUiLUarhNCPWaA_3_10"/>
      <w:bookmarkStart w:id="854" w:name="Tc_qJ0pu0uKDkaHuTJhiKPxiQ_3_7"/>
      <w:bookmarkStart w:id="855" w:name="Tc_qoHVXRhL2UWUqN4t0HLc7A_3_4"/>
      <w:bookmarkStart w:id="856" w:name="Tc_nemtSeGn606MR89DnMk21w_3_2"/>
      <w:bookmarkStart w:id="857" w:name="Tc_x8EtRpOisUCg8JusDyHkAg_2_10"/>
      <w:bookmarkStart w:id="858" w:name="Tc_XKGXl0zrvEGiwnPa0A0gjQ_2_7"/>
      <w:bookmarkStart w:id="859" w:name="Tc_7h6_Ook4fEa0O1C2hT5TLQ_2_4"/>
      <w:bookmarkStart w:id="860" w:name="Tc_Sn1vTYg01EiLUmp9ap80Sg_2_2"/>
      <w:bookmarkStart w:id="861" w:name="Tc_66uum_NXwEKNSaSAxTlyOw_1_10"/>
      <w:bookmarkStart w:id="862" w:name="Tc_5ST524IO7kiqk0M6jkzEjw_1_7"/>
      <w:bookmarkStart w:id="863" w:name="Tc_4d7nTukQoUKu-EjobpGWWw_1_4"/>
      <w:bookmarkStart w:id="864" w:name="_faa6dcad_5554_4f2a_b244_b58868ff4d41"/>
      <w:bookmarkStart w:id="865" w:name="Tc_-4PuCVJbRUq1l4lVqYgkkw_9_10"/>
      <w:bookmarkStart w:id="866" w:name="Tc_Bq36VmOmD0m-fWlfnPweig_9_7"/>
      <w:bookmarkStart w:id="867" w:name="Tc_2-z0zNssCU6NX2Ktt1yg2w_9_0"/>
      <w:bookmarkStart w:id="868" w:name="Tc__KGaFsteMUquKqsLVC4pDg_8_10"/>
      <w:bookmarkStart w:id="869" w:name="Tc_L5xqb6y5mEWqub2b1y7TVA_8_7"/>
      <w:bookmarkStart w:id="870" w:name="Tc_aoxIP8kLG0aewSeSTiwYaQ_8_0"/>
      <w:bookmarkStart w:id="871" w:name="Tc_sPcPYoh370isS25SXlOTzg_7_11"/>
      <w:bookmarkStart w:id="872" w:name="Tc_ZWavFMAj2kmCI-4djNRjJw_7_5"/>
      <w:bookmarkStart w:id="873" w:name="Tc_7hnq_lmF6UC5OpHay7j87A_7_0"/>
      <w:bookmarkStart w:id="874" w:name="Tc_3mwXVVJjuEq7HVaX1ggWnA_6_11"/>
      <w:bookmarkStart w:id="875" w:name="Tc_D-3HGz4otkSz4JeAS-C0iA_6_5"/>
      <w:bookmarkStart w:id="876" w:name="Tc_XGdpj4E0cEy_Z4Y6Dt9NTw_6_0"/>
      <w:bookmarkStart w:id="877" w:name="Tc_jJ6JvNY2p0-udfxKIv39_A_5_10"/>
      <w:bookmarkStart w:id="878" w:name="Tc_qq0wmo1GDEmEgRngOMVxGw_5_7"/>
      <w:bookmarkStart w:id="879" w:name="Tc_18nAMMn7C062kgY1X150XQ_5_0"/>
      <w:bookmarkStart w:id="880" w:name="Tc_EA_e2NIzY0C4M7TWyTHbLg_4_10"/>
      <w:bookmarkStart w:id="881" w:name="Tc_mmWSlKh4tEaPevLhYSGvZQ_4_7"/>
      <w:bookmarkStart w:id="882" w:name="Tc_rwn6boMCWkmwBgu84c19HA_4_4"/>
      <w:bookmarkStart w:id="883" w:name="Tc_nx9b_iiw8Ua1YdnkjZpkSA_4_2"/>
      <w:bookmarkStart w:id="884" w:name="Tc_9OVf1CEnYkWu8OKmRxm66w_3_10"/>
      <w:bookmarkStart w:id="885" w:name="Tc_xElvd6gSxEare0igqCb0hw_3_7"/>
      <w:bookmarkStart w:id="886" w:name="Tc_xXDQz2ZteESHBzP5d2iSsg_3_4"/>
      <w:bookmarkStart w:id="887" w:name="Tc_XapaN-E-b0SO6bgrZRQNig_3_2"/>
      <w:bookmarkStart w:id="888" w:name="Tc_9nrJT4gApEWXEziKPkWKZA_2_10"/>
      <w:bookmarkStart w:id="889" w:name="Tc_A3vmZSrAa0OSyK3OKGLfbA_2_7"/>
      <w:bookmarkStart w:id="890" w:name="Tc_9iHv0nqnO0mKGq2P-GINhg_2_4"/>
      <w:bookmarkStart w:id="891" w:name="Tc_59_tW0Nrk0-XPhG_Q3nJ6Q_2_2"/>
      <w:bookmarkStart w:id="892" w:name="Tc_df6x_fU6oE-T_ZcfGFoLXQ_1_10"/>
      <w:bookmarkStart w:id="893" w:name="Tc__tGAHrN5V0a2X6JaxJUi6A_1_7"/>
      <w:bookmarkStart w:id="894" w:name="Tc_i6rohc6H9UWko40H5lFP_g_1_4"/>
      <w:bookmarkStart w:id="895" w:name="Tc_VZmio8x5uUSLPrwq5wrmKw_7_11"/>
      <w:bookmarkStart w:id="896" w:name="Tc_LSmhq7EwYUmf3Dpwue3OBA_7_6"/>
      <w:bookmarkStart w:id="897" w:name="Tc_MrQx2t7MoEadzyZrsB_Phw_7_0"/>
      <w:bookmarkStart w:id="898" w:name="Tc_w_t_dUhtckCiMWAJ7GJKXw_6_11"/>
      <w:bookmarkStart w:id="899" w:name="Tc_-1hBecGMmUySx-df1apUhA_6_6"/>
      <w:bookmarkStart w:id="900" w:name="Tc_13Ro2jsy2025hm8xiCFjZw_6_0"/>
      <w:bookmarkStart w:id="901" w:name="Tc_iWV5UpT4-Ua_s3bq8PfbFA_5_11"/>
      <w:bookmarkStart w:id="902" w:name="Tc_PyaKhjDCjkC5UuG049-6pA_5_9"/>
      <w:bookmarkStart w:id="903" w:name="Tc_d4iMvzSmykO3tYrmYHK5eg_5_6"/>
      <w:bookmarkStart w:id="904" w:name="Tc_RRXBdgRewk2Nl_5T53FPAw_5_4"/>
      <w:bookmarkStart w:id="905" w:name="Tc_PrwO-v7m00KFwDdt0RdRbA_5_2"/>
      <w:bookmarkStart w:id="906" w:name="Tc_vx_Iy5ZDSUKuvCs606Wm7w_5_0"/>
      <w:bookmarkStart w:id="907" w:name="Tc_4yxYwWMcSE6AmzHnrFx8Iw_4_11"/>
      <w:bookmarkStart w:id="908" w:name="Tc_ZsPVM9FLn0qu-OeyqeavxQ_4_9"/>
      <w:bookmarkStart w:id="909" w:name="Tc_gFB6hLCPFUylu3pgeHs-yg_4_6"/>
      <w:bookmarkStart w:id="910" w:name="Tc_BpV4mUCVIUmPVyzRvWvviQ_4_4"/>
      <w:bookmarkStart w:id="911" w:name="Tc_TBkoS-Oeb06GnMqNic7Cjg_4_2"/>
      <w:bookmarkStart w:id="912" w:name="Tc_5kBEDZ2taUyaXU44JIWXtQ_4_0"/>
      <w:bookmarkStart w:id="913" w:name="Tc_AvYCRXlsr0exVo_IzT5z7A_3_11"/>
      <w:bookmarkStart w:id="914" w:name="Tc_rwBE-DLBjEy5F6yd-qDXCA_3_9"/>
      <w:bookmarkStart w:id="915" w:name="Tc_8PKnxt11K0SIiDTK5FXVZQ_3_6"/>
      <w:bookmarkStart w:id="916" w:name="Tc_ero6WvpcsUqcecJWnnbGmQ_3_4"/>
      <w:bookmarkStart w:id="917" w:name="Tc_F-PzmolFrUChSdBgx1yldQ_3_2"/>
      <w:bookmarkStart w:id="918" w:name="Tc_4KHyNJOQxkiwpQkpo-hgRg_2_4"/>
      <w:bookmarkStart w:id="919" w:name="Tc_W5uojpuIOUiI3GxJRxOxTw_1_9"/>
      <w:bookmarkStart w:id="920" w:name="Tc_pI8g5SPWVUKFWOwdm8Ldqg_1_2"/>
      <w:bookmarkStart w:id="921" w:name="_83702fa5_6382_476d_9bf0_855265445299"/>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29, 2024, the unrecognized compensation cost related to all unvested RSUs granted under the 2022 Plan, was $274 million, which is expected to be recognized as expense over a weighted-average period of 1.95 years.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Intel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Mobileye IPO, since 2017, employees of the Company had been incentivized and rewarded through the grant of Intel equity awards under Intel’s equity incentive plan which contains only a service condition. The equity awards granted generally vest over the course of three years from the grant date.</w:t>
      </w:r>
    </w:p>
    <w:p>
      <w:pPr>
        <w:pStyle w:val="TextBody"/>
        <w:bidi w:val="0"/>
        <w:spacing w:before="0" w:after="240"/>
        <w:ind w:left="0" w:right="0" w:firstLine="360"/>
        <w:jc w:val="left"/>
        <w:rPr>
          <w:rFonts w:ascii="Times New Roman;Times;serif" w:hAnsi="Times New Roman;Times;serif"/>
          <w:b w:val="false"/>
          <w:i/>
          <w:sz w:val="20"/>
        </w:rPr>
      </w:pPr>
      <w:r>
        <w:rPr>
          <w:rFonts w:ascii="Times New Roman;Times;serif" w:hAnsi="Times New Roman;Times;serif"/>
          <w:b w:val="false"/>
          <w:i/>
          <w:sz w:val="20"/>
        </w:rPr>
        <w:t>Options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Outstanding and exercisable options for Intel’s common stock under Intel’s plan as of June 29, 2024 were as follows:</w:t>
      </w:r>
    </w:p>
    <w:tbl>
      <w:tblPr>
        <w:tblW w:w="9076" w:type="dxa"/>
        <w:jc w:val="left"/>
        <w:tblInd w:w="0" w:type="dxa"/>
        <w:tblLayout w:type="fixed"/>
        <w:tblCellMar>
          <w:top w:w="0" w:type="dxa"/>
          <w:left w:w="0" w:type="dxa"/>
          <w:bottom w:w="0" w:type="dxa"/>
          <w:right w:w="0" w:type="dxa"/>
        </w:tblCellMar>
      </w:tblPr>
      <w:tblGrid>
        <w:gridCol w:w="1126"/>
        <w:gridCol w:w="326"/>
        <w:gridCol w:w="1021"/>
        <w:gridCol w:w="146"/>
        <w:gridCol w:w="1471"/>
        <w:gridCol w:w="326"/>
        <w:gridCol w:w="542"/>
        <w:gridCol w:w="929"/>
        <w:gridCol w:w="326"/>
        <w:gridCol w:w="1021"/>
        <w:gridCol w:w="326"/>
        <w:gridCol w:w="472"/>
        <w:gridCol w:w="1044"/>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15010" cy="175260"/>
                      <wp:effectExtent l="0" t="0" r="0" b="0"/>
                      <wp:wrapNone/>
                      <wp:docPr id="92" name="Frame9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335" cy="175260"/>
                      <wp:effectExtent l="0" t="0" r="0" b="0"/>
                      <wp:wrapNone/>
                      <wp:docPr id="94" name="Frame9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92710" cy="175260"/>
                      <wp:effectExtent l="0" t="0" r="0" b="0"/>
                      <wp:wrapNone/>
                      <wp:docPr id="95" name="Frame9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934085" cy="175260"/>
                      <wp:effectExtent l="0" t="0" r="0" b="0"/>
                      <wp:wrapNone/>
                      <wp:docPr id="96" name="Frame96"/>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44170" cy="175260"/>
                      <wp:effectExtent l="0" t="0" r="0" b="0"/>
                      <wp:wrapNone/>
                      <wp:docPr id="98" name="Frame98"/>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89915" cy="175260"/>
                      <wp:effectExtent l="0" t="0" r="0" b="0"/>
                      <wp:wrapNone/>
                      <wp:docPr id="99" name="Frame99"/>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335" cy="175260"/>
                      <wp:effectExtent l="0" t="0" r="0" b="0"/>
                      <wp:wrapNone/>
                      <wp:docPr id="101" name="Frame101"/>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99720" cy="175260"/>
                      <wp:effectExtent l="0" t="0" r="0" b="0"/>
                      <wp:wrapNone/>
                      <wp:docPr id="103" name="Frame103"/>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62940" cy="175260"/>
                      <wp:effectExtent l="0" t="0" r="0" b="0"/>
                      <wp:wrapNone/>
                      <wp:docPr id="104" name="Frame104"/>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4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left"/>
              <w:rPr/>
            </w:pPr>
            <w:r>
              <w:rPr/>
              <w:t> </w:t>
            </w:r>
          </w:p>
        </w:tc>
        <w:tc>
          <w:tcPr>
            <w:tcW w:w="28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Exercisable</w:t>
            </w:r>
          </w:p>
        </w:tc>
      </w:tr>
      <w:tr>
        <w:trPr/>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w:t>
            </w:r>
          </w:p>
        </w:tc>
        <w:tc>
          <w:tcPr>
            <w:tcW w:w="32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left"/>
              <w:rPr/>
            </w:pPr>
            <w:r>
              <w:rPr/>
              <w:t>​</w:t>
            </w:r>
          </w:p>
        </w:tc>
      </w:tr>
      <w:tr>
        <w:trPr/>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w:t>
            </w:r>
          </w:p>
        </w:tc>
        <w:tc>
          <w:tcPr>
            <w:tcW w:w="326" w:type="dxa"/>
            <w:tcBorders/>
            <w:vAlign w:val="center"/>
          </w:tcPr>
          <w:p>
            <w:pPr>
              <w:pStyle w:val="TableContents"/>
              <w:bidi w:val="0"/>
              <w:spacing w:before="0" w:after="0"/>
              <w:ind w:left="0" w:right="0" w:hanging="0"/>
              <w:jc w:val="left"/>
              <w:rPr/>
            </w:pPr>
            <w:r>
              <w:rPr/>
              <w:t> </w:t>
            </w:r>
          </w:p>
        </w:tc>
        <w:tc>
          <w:tcPr>
            <w:tcW w:w="14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w:t>
            </w:r>
          </w:p>
        </w:tc>
      </w:tr>
      <w:tr>
        <w:trPr/>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146" w:type="dxa"/>
            <w:tcBorders/>
            <w:vAlign w:val="center"/>
          </w:tcPr>
          <w:p>
            <w:pPr>
              <w:pStyle w:val="TableContents"/>
              <w:bidi w:val="0"/>
              <w:spacing w:before="0" w:after="0"/>
              <w:ind w:left="0" w:right="0" w:hanging="0"/>
              <w:jc w:val="left"/>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26" w:type="dxa"/>
            <w:tcBorders/>
            <w:vAlign w:val="center"/>
          </w:tcPr>
          <w:p>
            <w:pPr>
              <w:pStyle w:val="TableContents"/>
              <w:bidi w:val="0"/>
              <w:spacing w:before="0" w:after="0"/>
              <w:ind w:left="0" w:right="0" w:hanging="0"/>
              <w:jc w:val="left"/>
              <w:rPr/>
            </w:pPr>
            <w:r>
              <w:rPr/>
              <w:t>​</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left"/>
              <w:rPr/>
            </w:pPr>
            <w:r>
              <w:rPr/>
              <w:t>​</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dollars</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 </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U.S. dollars</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U.S. dollars</w:t>
            </w:r>
          </w:p>
        </w:tc>
      </w:tr>
      <w:tr>
        <w:trPr/>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$ 4.0 - 21.6</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46" w:type="dxa"/>
            <w:tcBorders/>
            <w:shd w:fill="CCEEFF" w:val="clear"/>
            <w:vAlign w:val="center"/>
          </w:tcPr>
          <w:p>
            <w:pPr>
              <w:pStyle w:val="TableContents"/>
              <w:bidi w:val="0"/>
              <w:spacing w:before="0" w:after="0"/>
              <w:ind w:left="0" w:right="0" w:hanging="0"/>
              <w:jc w:val="left"/>
              <w:rPr/>
            </w:pPr>
            <w:r>
              <w:rPr/>
              <w:t>​</w:t>
            </w:r>
          </w:p>
        </w:tc>
        <w:tc>
          <w:tcPr>
            <w:tcW w:w="14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    </w:t>
            </w:r>
          </w:p>
        </w:tc>
        <w:tc>
          <w:tcPr>
            <w:tcW w:w="4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1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w:t>
            </w:r>
          </w:p>
        </w:tc>
        <w:tc>
          <w:tcPr>
            <w:tcW w:w="146" w:type="dxa"/>
            <w:tcBorders/>
            <w:vAlign w:val="center"/>
          </w:tcPr>
          <w:p>
            <w:pPr>
              <w:pStyle w:val="TableContents"/>
              <w:bidi w:val="0"/>
              <w:spacing w:before="0" w:after="0"/>
              <w:ind w:left="0" w:right="0" w:hanging="0"/>
              <w:jc w:val="left"/>
              <w:rPr/>
            </w:pPr>
            <w:r>
              <w:rPr/>
              <w:t> </w:t>
            </w:r>
          </w:p>
        </w:tc>
        <w:tc>
          <w:tcPr>
            <w:tcW w:w="14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26" w:type="dxa"/>
            <w:tcBorders/>
            <w:vAlign w:val="center"/>
          </w:tcPr>
          <w:p>
            <w:pPr>
              <w:pStyle w:val="TableContents"/>
              <w:bidi w:val="0"/>
              <w:spacing w:before="0" w:after="0"/>
              <w:ind w:left="0" w:right="0" w:hanging="0"/>
              <w:jc w:val="left"/>
              <w:rPr/>
            </w:pPr>
            <w:r>
              <w:rPr/>
              <w:t> </w:t>
            </w:r>
          </w:p>
        </w:tc>
        <w:tc>
          <w:tcPr>
            <w:tcW w:w="5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w:t>
            </w:r>
          </w:p>
        </w:tc>
        <w:tc>
          <w:tcPr>
            <w:tcW w:w="326" w:type="dxa"/>
            <w:tcBorders/>
            <w:vAlign w:val="center"/>
          </w:tcPr>
          <w:p>
            <w:pPr>
              <w:pStyle w:val="TableContents"/>
              <w:bidi w:val="0"/>
              <w:spacing w:before="0" w:after="0"/>
              <w:ind w:left="0" w:right="0" w:hanging="0"/>
              <w:jc w:val="left"/>
              <w:rPr/>
            </w:pPr>
            <w:r>
              <w:rPr/>
              <w:t> </w:t>
            </w:r>
          </w:p>
        </w:tc>
        <w:tc>
          <w:tcPr>
            <w:tcW w:w="4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4.0</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option activity for the six months ended June 29, 2024 for options granted to the Company’s employees for Intel’s common stock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17"/>
        <w:gridCol w:w="326"/>
        <w:gridCol w:w="1021"/>
        <w:gridCol w:w="326"/>
        <w:gridCol w:w="329"/>
        <w:gridCol w:w="1045"/>
        <w:gridCol w:w="326"/>
        <w:gridCol w:w="336"/>
        <w:gridCol w:w="736"/>
        <w:gridCol w:w="326"/>
        <w:gridCol w:w="635"/>
        <w:gridCol w:w="1182"/>
      </w:tblGrid>
      <w:tr>
        <w:trPr/>
        <w:tc>
          <w:tcPr>
            <w:tcW w:w="3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296795" cy="175260"/>
                      <wp:effectExtent l="0" t="0" r="0" b="0"/>
                      <wp:wrapNone/>
                      <wp:docPr id="105" name="Frame105"/>
                      <a:graphic xmlns:a="http://schemas.openxmlformats.org/drawingml/2006/main">
                        <a:graphicData uri="http://schemas.microsoft.com/office/word/2010/wordprocessingShape">
                          <wps:wsp>
                            <wps:cNvSpPr txBox="1"/>
                            <wps:spPr>
                              <a:xfrm>
                                <a:off x="0" y="0"/>
                                <a:ext cx="2296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335" cy="175260"/>
                      <wp:effectExtent l="0" t="0" r="0" b="0"/>
                      <wp:wrapNone/>
                      <wp:docPr id="107" name="Frame10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8915" cy="175260"/>
                      <wp:effectExtent l="0" t="0" r="0" b="0"/>
                      <wp:wrapNone/>
                      <wp:docPr id="109" name="Frame109"/>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63575" cy="175260"/>
                      <wp:effectExtent l="0" t="0" r="0" b="0"/>
                      <wp:wrapNone/>
                      <wp:docPr id="110" name="Frame110"/>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3360" cy="175260"/>
                      <wp:effectExtent l="0" t="0" r="0" b="0"/>
                      <wp:wrapNone/>
                      <wp:docPr id="112" name="Frame112"/>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67360" cy="175260"/>
                      <wp:effectExtent l="0" t="0" r="0" b="0"/>
                      <wp:wrapNone/>
                      <wp:docPr id="113" name="Frame11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03225" cy="175260"/>
                      <wp:effectExtent l="0" t="0" r="0" b="0"/>
                      <wp:wrapNone/>
                      <wp:docPr id="115" name="Frame115"/>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50570" cy="175260"/>
                      <wp:effectExtent l="0" t="0" r="0" b="0"/>
                      <wp:wrapNone/>
                      <wp:docPr id="116" name="Frame116"/>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0"/>
              <w:ind w:left="0" w:right="0" w:hanging="0"/>
              <w:jc w:val="left"/>
              <w:rPr/>
            </w:pPr>
            <w:r>
              <w:rPr/>
              <w:t>​</w:t>
            </w:r>
          </w:p>
        </w:tc>
        <w:tc>
          <w:tcPr>
            <w:tcW w:w="10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18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Aggregated </w:t>
            </w:r>
          </w:p>
        </w:tc>
      </w:tr>
      <w:tr>
        <w:trPr/>
        <w:tc>
          <w:tcPr>
            <w:tcW w:w="36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13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left"/>
              <w:rPr/>
            </w:pPr>
            <w:r>
              <w:rPr/>
              <w:t>​</w:t>
            </w:r>
          </w:p>
        </w:tc>
        <w:tc>
          <w:tcPr>
            <w:tcW w:w="10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8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6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13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26" w:type="dxa"/>
            <w:tcBorders/>
            <w:vAlign w:val="center"/>
          </w:tcPr>
          <w:p>
            <w:pPr>
              <w:pStyle w:val="TableContents"/>
              <w:bidi w:val="0"/>
              <w:spacing w:before="0" w:after="0"/>
              <w:ind w:left="0" w:right="0" w:hanging="0"/>
              <w:jc w:val="left"/>
              <w:rPr/>
            </w:pPr>
            <w:r>
              <w:rPr/>
              <w:t>​</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left"/>
              <w:rPr/>
            </w:pPr>
            <w:r>
              <w:rPr/>
              <w:t>​</w:t>
            </w:r>
          </w:p>
        </w:tc>
        <w:tc>
          <w:tcPr>
            <w:tcW w:w="18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value(1)</w:t>
            </w:r>
          </w:p>
        </w:tc>
      </w:tr>
      <w:tr>
        <w:trPr/>
        <w:tc>
          <w:tcPr>
            <w:tcW w:w="36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    </w:t>
            </w:r>
          </w:p>
        </w:tc>
        <w:tc>
          <w:tcPr>
            <w:tcW w:w="13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left"/>
              <w:rPr/>
            </w:pPr>
            <w:r>
              <w:rPr/>
              <w:t>    </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U.S. dollars</w:t>
            </w:r>
          </w:p>
        </w:tc>
        <w:tc>
          <w:tcPr>
            <w:tcW w:w="326" w:type="dxa"/>
            <w:tcBorders/>
            <w:vAlign w:val="center"/>
          </w:tcPr>
          <w:p>
            <w:pPr>
              <w:pStyle w:val="TableContents"/>
              <w:bidi w:val="0"/>
              <w:spacing w:before="0" w:after="0"/>
              <w:ind w:left="0" w:right="0" w:hanging="0"/>
              <w:jc w:val="left"/>
              <w:rPr/>
            </w:pPr>
            <w:r>
              <w:rPr/>
              <w:t>    </w:t>
            </w:r>
          </w:p>
        </w:tc>
        <w:tc>
          <w:tcPr>
            <w:tcW w:w="18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dollars in millions </w:t>
            </w:r>
          </w:p>
        </w:tc>
      </w:tr>
      <w:tr>
        <w:trPr/>
        <w:tc>
          <w:tcPr>
            <w:tcW w:w="36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outstanding as of December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w:t>
            </w:r>
          </w:p>
        </w:tc>
        <w:tc>
          <w:tcPr>
            <w:tcW w:w="326" w:type="dxa"/>
            <w:tcBorders/>
            <w:shd w:fill="CCEEFF" w:val="clear"/>
            <w:vAlign w:val="center"/>
          </w:tcPr>
          <w:p>
            <w:pPr>
              <w:pStyle w:val="TableContents"/>
              <w:bidi w:val="0"/>
              <w:spacing w:before="0" w:after="0"/>
              <w:ind w:left="0" w:right="0" w:hanging="0"/>
              <w:jc w:val="righ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31.7</w:t>
            </w:r>
          </w:p>
        </w:tc>
        <w:tc>
          <w:tcPr>
            <w:tcW w:w="326"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3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right"/>
              <w:rPr/>
            </w:pPr>
            <w:r>
              <w:rPr/>
              <w:t>​</w:t>
            </w:r>
          </w:p>
        </w:tc>
        <w:tc>
          <w:tcPr>
            <w:tcW w:w="329"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pPr>
            <w:r>
              <w:rPr/>
              <w:t>—</w:t>
            </w:r>
          </w:p>
        </w:tc>
      </w:tr>
      <w:tr>
        <w:trPr/>
        <w:tc>
          <w:tcPr>
            <w:tcW w:w="3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bidi w:val="0"/>
              <w:spacing w:before="0" w:after="0"/>
              <w:ind w:left="0" w:right="0" w:hanging="0"/>
              <w:jc w:val="righ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shd w:fill="CCEEFF" w:val="clear"/>
            <w:vAlign w:val="center"/>
          </w:tcPr>
          <w:p>
            <w:pPr>
              <w:pStyle w:val="TableContents"/>
              <w:bidi w:val="0"/>
              <w:spacing w:before="0" w:after="0"/>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6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outstanding as of June 29, 2024</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w:t>
            </w:r>
          </w:p>
        </w:tc>
        <w:tc>
          <w:tcPr>
            <w:tcW w:w="326" w:type="dxa"/>
            <w:tcBorders/>
            <w:vAlign w:val="center"/>
          </w:tcPr>
          <w:p>
            <w:pPr>
              <w:pStyle w:val="TableContents"/>
              <w:bidi w:val="0"/>
              <w:spacing w:before="0" w:after="0"/>
              <w:ind w:left="0" w:right="0" w:hanging="0"/>
              <w:jc w:val="righ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26" w:type="dxa"/>
            <w:tcBorders/>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326" w:type="dxa"/>
            <w:tcBorders/>
            <w:vAlign w:val="center"/>
          </w:tcPr>
          <w:p>
            <w:pPr>
              <w:pStyle w:val="TableContents"/>
              <w:bidi w:val="0"/>
              <w:spacing w:before="0" w:after="0"/>
              <w:ind w:left="0" w:right="0" w:hanging="0"/>
              <w:jc w:val="left"/>
              <w:rPr/>
            </w:pPr>
            <w:r>
              <w:rPr/>
              <w:t>​</w:t>
            </w:r>
          </w:p>
        </w:tc>
        <w:tc>
          <w:tcPr>
            <w:tcW w:w="6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36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exercisable as of June 29, 2024</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w:t>
            </w:r>
          </w:p>
        </w:tc>
        <w:tc>
          <w:tcPr>
            <w:tcW w:w="326" w:type="dxa"/>
            <w:tcBorders/>
            <w:shd w:fill="CCEEFF" w:val="clear"/>
            <w:vAlign w:val="center"/>
          </w:tcPr>
          <w:p>
            <w:pPr>
              <w:pStyle w:val="TableContents"/>
              <w:bidi w:val="0"/>
              <w:spacing w:before="0" w:after="0"/>
              <w:ind w:left="0" w:right="0" w:hanging="0"/>
              <w:jc w:val="righ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option activity for the three months ended June 29, 2024 for options granted to the Company’s employees for Intel’s common stock was as follows:</w:t>
      </w:r>
    </w:p>
    <w:p>
      <w:pPr>
        <w:pStyle w:val="TextBody"/>
        <w:bidi w:val="0"/>
        <w:spacing w:before="0" w:after="0"/>
        <w:ind w:left="0" w:right="0" w:hanging="0"/>
        <w:jc w:val="left"/>
        <w:rPr/>
      </w:pPr>
      <w:r>
        <w:rPr/>
        <w:t>​</w:t>
      </w:r>
    </w:p>
    <w:tbl>
      <w:tblPr>
        <w:tblW w:w="10060" w:type="dxa"/>
        <w:jc w:val="left"/>
        <w:tblInd w:w="0" w:type="dxa"/>
        <w:tblLayout w:type="fixed"/>
        <w:tblCellMar>
          <w:top w:w="0" w:type="dxa"/>
          <w:left w:w="0" w:type="dxa"/>
          <w:bottom w:w="0" w:type="dxa"/>
          <w:right w:w="0" w:type="dxa"/>
        </w:tblCellMar>
      </w:tblPr>
      <w:tblGrid>
        <w:gridCol w:w="3631"/>
        <w:gridCol w:w="326"/>
        <w:gridCol w:w="1021"/>
        <w:gridCol w:w="326"/>
        <w:gridCol w:w="524"/>
        <w:gridCol w:w="901"/>
        <w:gridCol w:w="326"/>
        <w:gridCol w:w="397"/>
        <w:gridCol w:w="683"/>
        <w:gridCol w:w="109"/>
        <w:gridCol w:w="635"/>
        <w:gridCol w:w="1181"/>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305685" cy="175260"/>
                      <wp:effectExtent l="0" t="0" r="0" b="0"/>
                      <wp:wrapNone/>
                      <wp:docPr id="117" name="Frame117"/>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335" cy="175260"/>
                      <wp:effectExtent l="0" t="0" r="0" b="0"/>
                      <wp:wrapNone/>
                      <wp:docPr id="119" name="Frame11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32740" cy="175260"/>
                      <wp:effectExtent l="0" t="0" r="0" b="0"/>
                      <wp:wrapNone/>
                      <wp:docPr id="121" name="Frame121"/>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72135" cy="175260"/>
                      <wp:effectExtent l="0" t="0" r="0" b="0"/>
                      <wp:wrapNone/>
                      <wp:docPr id="122" name="Frame12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52095" cy="175260"/>
                      <wp:effectExtent l="0" t="0" r="0" b="0"/>
                      <wp:wrapNone/>
                      <wp:docPr id="124" name="Frame124"/>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33705" cy="175260"/>
                      <wp:effectExtent l="0" t="0" r="0" b="0"/>
                      <wp:wrapNone/>
                      <wp:docPr id="125" name="Frame125"/>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03225" cy="175260"/>
                      <wp:effectExtent l="0" t="0" r="0" b="0"/>
                      <wp:wrapNone/>
                      <wp:docPr id="127" name="Frame127"/>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49935" cy="175260"/>
                      <wp:effectExtent l="0" t="0" r="0" b="0"/>
                      <wp:wrapNone/>
                      <wp:docPr id="128" name="Frame128"/>
                      <a:graphic xmlns:a="http://schemas.openxmlformats.org/drawingml/2006/main">
                        <a:graphicData uri="http://schemas.microsoft.com/office/word/2010/wordprocessingShape">
                          <wps:wsp>
                            <wps:cNvSpPr txBox="1"/>
                            <wps:spPr>
                              <a:xfrm>
                                <a:off x="0" y="0"/>
                                <a:ext cx="74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18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Aggregated </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8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26" w:type="dxa"/>
            <w:tcBorders/>
            <w:vAlign w:val="center"/>
          </w:tcPr>
          <w:p>
            <w:pPr>
              <w:pStyle w:val="TableContents"/>
              <w:bidi w:val="0"/>
              <w:spacing w:before="0" w:after="0"/>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09" w:type="dxa"/>
            <w:tcBorders/>
            <w:vAlign w:val="center"/>
          </w:tcPr>
          <w:p>
            <w:pPr>
              <w:pStyle w:val="TableContents"/>
              <w:bidi w:val="0"/>
              <w:spacing w:before="0" w:after="0"/>
              <w:ind w:left="0" w:right="0" w:hanging="0"/>
              <w:jc w:val="left"/>
              <w:rPr/>
            </w:pPr>
            <w:r>
              <w:rPr/>
              <w:t>​</w:t>
            </w:r>
          </w:p>
        </w:tc>
        <w:tc>
          <w:tcPr>
            <w:tcW w:w="1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value(1)</w:t>
            </w:r>
          </w:p>
        </w:tc>
      </w:tr>
      <w:tr>
        <w:trPr/>
        <w:tc>
          <w:tcPr>
            <w:tcW w:w="3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U.S. dollars</w:t>
            </w:r>
          </w:p>
        </w:tc>
        <w:tc>
          <w:tcPr>
            <w:tcW w:w="109" w:type="dxa"/>
            <w:tcBorders/>
            <w:vAlign w:val="center"/>
          </w:tcPr>
          <w:p>
            <w:pPr>
              <w:pStyle w:val="TableContents"/>
              <w:bidi w:val="0"/>
              <w:spacing w:before="0" w:after="0"/>
              <w:ind w:left="0" w:right="0" w:hanging="0"/>
              <w:jc w:val="left"/>
              <w:rPr/>
            </w:pPr>
            <w:r>
              <w:rPr/>
              <w:t>​</w:t>
            </w:r>
          </w:p>
        </w:tc>
        <w:tc>
          <w:tcPr>
            <w:tcW w:w="1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dollars in millions </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outstanding as of March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w:t>
            </w:r>
          </w:p>
        </w:tc>
        <w:tc>
          <w:tcPr>
            <w:tcW w:w="326" w:type="dxa"/>
            <w:tcBorders/>
            <w:shd w:fill="CCEEFF" w:val="clear"/>
            <w:vAlign w:val="center"/>
          </w:tcPr>
          <w:p>
            <w:pPr>
              <w:pStyle w:val="TableContents"/>
              <w:bidi w:val="0"/>
              <w:spacing w:before="0" w:after="0"/>
              <w:ind w:left="0" w:right="0" w:hanging="0"/>
              <w:jc w:val="right"/>
              <w:rPr/>
            </w:pPr>
            <w:r>
              <w:rPr/>
              <w:t>​</w:t>
            </w:r>
          </w:p>
        </w:tc>
        <w:tc>
          <w:tcPr>
            <w:tcW w:w="52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326" w:type="dxa"/>
            <w:tcBorders/>
            <w:shd w:fill="CCEEFF" w:val="clear"/>
            <w:vAlign w:val="center"/>
          </w:tcPr>
          <w:p>
            <w:pPr>
              <w:pStyle w:val="TableContents"/>
              <w:bidi w:val="0"/>
              <w:spacing w:before="0" w:after="0"/>
              <w:ind w:left="0" w:right="0" w:hanging="0"/>
              <w:jc w:val="left"/>
              <w:rPr/>
            </w:pPr>
            <w:r>
              <w:rPr/>
              <w:t> </w:t>
            </w:r>
          </w:p>
        </w:tc>
        <w:tc>
          <w:tcPr>
            <w:tcW w:w="39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109"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97"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righ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outstanding as of June 29, 2024</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w:t>
            </w:r>
          </w:p>
        </w:tc>
        <w:tc>
          <w:tcPr>
            <w:tcW w:w="326" w:type="dxa"/>
            <w:tcBorders/>
            <w:vAlign w:val="center"/>
          </w:tcPr>
          <w:p>
            <w:pPr>
              <w:pStyle w:val="TableContents"/>
              <w:bidi w:val="0"/>
              <w:spacing w:before="0" w:after="0"/>
              <w:ind w:left="0" w:right="0" w:hanging="0"/>
              <w:jc w:val="right"/>
              <w:rPr/>
            </w:pPr>
            <w:r>
              <w:rPr/>
              <w:t>​</w:t>
            </w:r>
          </w:p>
        </w:tc>
        <w:tc>
          <w:tcPr>
            <w:tcW w:w="52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26" w:type="dxa"/>
            <w:tcBorders/>
            <w:vAlign w:val="center"/>
          </w:tcPr>
          <w:p>
            <w:pPr>
              <w:pStyle w:val="TableContents"/>
              <w:bidi w:val="0"/>
              <w:spacing w:before="0" w:after="0"/>
              <w:ind w:left="0" w:right="0" w:hanging="0"/>
              <w:jc w:val="left"/>
              <w:rPr/>
            </w:pPr>
            <w:r>
              <w:rPr/>
              <w:t> </w:t>
            </w:r>
          </w:p>
        </w:tc>
        <w:tc>
          <w:tcPr>
            <w:tcW w:w="3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109" w:type="dxa"/>
            <w:tcBorders/>
            <w:vAlign w:val="center"/>
          </w:tcPr>
          <w:p>
            <w:pPr>
              <w:pStyle w:val="TableContents"/>
              <w:bidi w:val="0"/>
              <w:spacing w:before="0" w:after="0"/>
              <w:ind w:left="0" w:right="0" w:hanging="0"/>
              <w:jc w:val="left"/>
              <w:rPr/>
            </w:pPr>
            <w:r>
              <w:rPr/>
              <w:t>​</w:t>
            </w:r>
          </w:p>
        </w:tc>
        <w:tc>
          <w:tcPr>
            <w:tcW w:w="6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exercisable as of June 29, 2024</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w:t>
            </w:r>
          </w:p>
        </w:tc>
        <w:tc>
          <w:tcPr>
            <w:tcW w:w="326" w:type="dxa"/>
            <w:tcBorders/>
            <w:shd w:fill="CCEEFF" w:val="clear"/>
            <w:vAlign w:val="center"/>
          </w:tcPr>
          <w:p>
            <w:pPr>
              <w:pStyle w:val="TableContents"/>
              <w:bidi w:val="0"/>
              <w:spacing w:before="0" w:after="0"/>
              <w:ind w:left="0" w:right="0" w:hanging="0"/>
              <w:jc w:val="right"/>
              <w:rPr/>
            </w:pPr>
            <w:r>
              <w:rPr/>
              <w:t>​</w:t>
            </w:r>
          </w:p>
        </w:tc>
        <w:tc>
          <w:tcPr>
            <w:tcW w:w="5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3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w:t>
            </w:r>
          </w:p>
        </w:tc>
        <w:tc>
          <w:tcPr>
            <w:tcW w:w="109" w:type="dxa"/>
            <w:tcBorders/>
            <w:shd w:fill="CCEEFF" w:val="clear"/>
            <w:vAlign w:val="center"/>
          </w:tcPr>
          <w:p>
            <w:pPr>
              <w:pStyle w:val="TableContents"/>
              <w:bidi w:val="0"/>
              <w:spacing w:before="0" w:after="0"/>
              <w:ind w:left="0" w:right="0" w:hanging="0"/>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is calculated as the difference between the exercise price of the underlying awards and the closing stock price of Intel’s ordinary share. On June 29, 2024, Intel’s ordinary share price was $31.0. This represents the potential pre-tax amount receivable by the option holders had all option holders exercised their options as of such date.</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remaining options expected to vest as of June 29, 2024 are</w:t>
            </w:r>
            <w:r>
              <w:rPr>
                <w:caps w:val="false"/>
                <w:smallCaps w:val="false"/>
              </w:rPr>
              <w:t xml:space="preserve"> </w:t>
            </w:r>
            <w:r>
              <w:rPr>
                <w:rFonts w:ascii="Times New Roman;Times;serif" w:hAnsi="Times New Roman;Times;serif"/>
                <w:b w:val="false"/>
                <w:i w:val="false"/>
                <w:caps w:val="false"/>
                <w:smallCaps w:val="false"/>
                <w:sz w:val="20"/>
              </w:rPr>
              <w:t>7 thousand options with an average weighted exercise price of $21.6.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b/>
          <w:i/>
          <w:sz w:val="20"/>
        </w:rPr>
      </w:pPr>
      <w:bookmarkStart w:id="922" w:name="Tc_GyJ7dfd7XU6SqyfWp22tMQ_7_11"/>
      <w:bookmarkStart w:id="923" w:name="Tc_b2lsc0ykp02J5jb2z4Wipw_7_8"/>
      <w:bookmarkStart w:id="924" w:name="Tc_lf1vtvyj10eNRJ6IOMSANg_7_5"/>
      <w:bookmarkStart w:id="925" w:name="Tc_vlgVcFE_hUu4PR7dybxF1w_7_2"/>
      <w:bookmarkStart w:id="926" w:name="Tc_EXU2q-x0zEit_Es8ZSPb6Q_7_0"/>
      <w:bookmarkStart w:id="927" w:name="Tc_pxsI2cgihE6y6IEhdpjC4Q_6_0"/>
      <w:bookmarkStart w:id="928" w:name="Tc_-L5FK992p0mg8tBNmwLaXg_5_0"/>
      <w:bookmarkStart w:id="929" w:name="Tc_UW8TjvgR70yGgNb6qxuIvw_4_0"/>
      <w:bookmarkStart w:id="930" w:name="Tc_Pjp0SpFQY0KgzzCrbrmazQ_3_11"/>
      <w:bookmarkStart w:id="931" w:name="Tc_xeqUXhXsZEmWR2HEWxR9tg_3_8"/>
      <w:bookmarkStart w:id="932" w:name="Tc_occIrPagwkitgZRzZnRvDQ_3_5"/>
      <w:bookmarkStart w:id="933" w:name="Tc_9KFfXxXMy0OQLfs1X5E6_g_3_2"/>
      <w:bookmarkStart w:id="934" w:name="Tc_lZZtmcwnLUqD7y2gsJo3cA_3_0"/>
      <w:bookmarkStart w:id="935" w:name="Tc_y2kEVIIUPEecxfUovepnAA_2_11"/>
      <w:bookmarkStart w:id="936" w:name="Tc_XIsdm-p1r0ePvYJcF5Xf9w_2_8"/>
      <w:bookmarkStart w:id="937" w:name="Tc_bAxiV_uO1UWQNDCeNJTHIQ_2_5"/>
      <w:bookmarkStart w:id="938" w:name="Tc_YbaRhg1cSUu3JwWxL0FidQ_2_2"/>
      <w:bookmarkStart w:id="939" w:name="Tc_CBI5fJAWlUyECWX5lazx0w_2_0"/>
      <w:bookmarkStart w:id="940" w:name="Tc_pnydQRbYH0esQPTTbKo56g_1_8"/>
      <w:bookmarkStart w:id="941" w:name="Tc_u95q9iquf0-HfQQCr3Cm2Q_1_2"/>
      <w:bookmarkStart w:id="942" w:name="Tc_ClPo0380PkqYL9BmDPOcWQ_7_4"/>
      <w:bookmarkStart w:id="943" w:name="Tc_kZF_a1yfeEeSdMsEDbck4A_7_0"/>
      <w:bookmarkStart w:id="944" w:name="Tc_VTRIBX_3b0OpYl53OBSSYQ_6_0"/>
      <w:bookmarkStart w:id="945" w:name="Tc_h2TO3gvjcEOtet20okVKFg_5_0"/>
      <w:bookmarkStart w:id="946" w:name="Tc_rLWHfwDP7U-cjAtolGPRXw_4_4"/>
      <w:bookmarkStart w:id="947" w:name="Tc_xl7birOKOEC7OI51xwI5Zg_4_0"/>
      <w:bookmarkStart w:id="948" w:name="Tc_fj-jV5842kS9jdAo98jNeA_3_4"/>
      <w:bookmarkStart w:id="949" w:name="Tc_TKed6J03FEqIj3HSmpUINg_3_2"/>
      <w:bookmarkStart w:id="950" w:name="Tc_1kJkaLPbMU-zerAp6IDGZg_2_5"/>
      <w:bookmarkStart w:id="951" w:name="Tc_VNQHVko8dE6LdyUGM-VsGw_2_2"/>
      <w:bookmarkStart w:id="952" w:name="Tc_532jGRJMbk6xtF5DNBLAZA_1_5"/>
      <w:bookmarkStart w:id="953" w:name="Tc_j1-w87d9xUWcuklz5sfmew_7_4"/>
      <w:bookmarkStart w:id="954" w:name="Tc__BW4uX1NGE6FGhtOXmgklw_7_0"/>
      <w:bookmarkStart w:id="955" w:name="Tc_SFd9rdSyR0a6O5sK5jJ0uw_6_0"/>
      <w:bookmarkStart w:id="956" w:name="Tc_cLpM6uC6kkyg0SavVL77qw_5_0"/>
      <w:bookmarkStart w:id="957" w:name="Tc_Hnj2B5MRQEGzzkLyGlTaTA_4_4"/>
      <w:bookmarkStart w:id="958" w:name="Tc_m_QqD8cVlEmRlBGlxbBn-A_4_0"/>
      <w:bookmarkStart w:id="959" w:name="Tc_AABNLsyNmEGccdFbrHduCg_3_4"/>
      <w:bookmarkStart w:id="960" w:name="Tc_tpMEY1_IA0uh-OZ2oMWK2w_3_2"/>
      <w:bookmarkStart w:id="961" w:name="Tc_JkLcY9iryESflMnW1OlCIA_2_4"/>
      <w:bookmarkStart w:id="962" w:name="Tc_3QBxNkjTv0CCYG_SSfFGQw_2_2"/>
      <w:bookmarkStart w:id="963" w:name="Tc_KWidNOXDo0WvLfdIZKtbjg_1_4"/>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r>
        <w:rPr>
          <w:rFonts w:ascii="Times New Roman;Times;serif" w:hAnsi="Times New Roman;Times;serif"/>
          <w:b/>
          <w:i/>
          <w:sz w:val="20"/>
        </w:rPr>
        <w:t>RSUs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RSUs activity for the six months ended June 29, 2024 for RSUs granted to the Company’s employees for Intel’s common stock was as follows:</w:t>
      </w:r>
    </w:p>
    <w:p>
      <w:pPr>
        <w:pStyle w:val="TextBody"/>
        <w:bidi w:val="0"/>
        <w:spacing w:before="0" w:after="0"/>
        <w:ind w:left="0" w:right="0" w:hanging="0"/>
        <w:jc w:val="left"/>
        <w:rPr/>
      </w:pPr>
      <w:r>
        <w:rPr/>
        <w:t>​</w:t>
      </w:r>
    </w:p>
    <w:tbl>
      <w:tblPr>
        <w:tblW w:w="6677" w:type="dxa"/>
        <w:jc w:val="left"/>
        <w:tblInd w:w="0" w:type="dxa"/>
        <w:tblLayout w:type="fixed"/>
        <w:tblCellMar>
          <w:top w:w="0" w:type="dxa"/>
          <w:left w:w="0" w:type="dxa"/>
          <w:bottom w:w="0" w:type="dxa"/>
          <w:right w:w="0" w:type="dxa"/>
        </w:tblCellMar>
      </w:tblPr>
      <w:tblGrid>
        <w:gridCol w:w="3256"/>
        <w:gridCol w:w="109"/>
        <w:gridCol w:w="1321"/>
        <w:gridCol w:w="326"/>
        <w:gridCol w:w="448"/>
        <w:gridCol w:w="1217"/>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67560" cy="175260"/>
                      <wp:effectExtent l="0" t="0" r="0" b="0"/>
                      <wp:wrapNone/>
                      <wp:docPr id="129" name="Frame129"/>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838835" cy="175260"/>
                      <wp:effectExtent l="0" t="0" r="0" b="0"/>
                      <wp:wrapNone/>
                      <wp:docPr id="131" name="Frame131"/>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84480" cy="175260"/>
                      <wp:effectExtent l="0" t="0" r="0" b="0"/>
                      <wp:wrapNone/>
                      <wp:docPr id="133" name="Frame133"/>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72795" cy="175260"/>
                      <wp:effectExtent l="0" t="0" r="0" b="0"/>
                      <wp:wrapNone/>
                      <wp:docPr id="134" name="Frame134"/>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6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26" w:type="dxa"/>
            <w:tcBorders/>
            <w:vAlign w:val="center"/>
          </w:tcPr>
          <w:p>
            <w:pPr>
              <w:pStyle w:val="TableContents"/>
              <w:bidi w:val="0"/>
              <w:spacing w:before="0" w:after="0"/>
              <w:ind w:left="0" w:right="0" w:hanging="0"/>
              <w:jc w:val="left"/>
              <w:rPr/>
            </w:pPr>
            <w:r>
              <w:rPr/>
              <w:t>​</w:t>
            </w:r>
          </w:p>
        </w:tc>
        <w:tc>
          <w:tcPr>
            <w:tcW w:w="1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1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U.S. dollars </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30, 2023</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2,711</w:t>
            </w:r>
          </w:p>
        </w:tc>
        <w:tc>
          <w:tcPr>
            <w:tcW w:w="326"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44.4</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w:t>
            </w:r>
          </w:p>
        </w:tc>
        <w:tc>
          <w:tcPr>
            <w:tcW w:w="326"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June 29, 2024</w:t>
            </w:r>
          </w:p>
        </w:tc>
        <w:tc>
          <w:tcPr>
            <w:tcW w:w="109" w:type="dxa"/>
            <w:tcBorders/>
            <w:vAlign w:val="center"/>
          </w:tcPr>
          <w:p>
            <w:pPr>
              <w:pStyle w:val="TableContents"/>
              <w:bidi w:val="0"/>
              <w:spacing w:before="0" w:after="0"/>
              <w:ind w:left="0" w:right="0" w:hanging="0"/>
              <w:jc w:val="left"/>
              <w:rPr/>
            </w:pPr>
            <w:r>
              <w:rPr/>
              <w:t>​</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1,913</w:t>
            </w:r>
          </w:p>
        </w:tc>
        <w:tc>
          <w:tcPr>
            <w:tcW w:w="326" w:type="dxa"/>
            <w:tcBorders/>
            <w:vAlign w:val="center"/>
          </w:tcPr>
          <w:p>
            <w:pPr>
              <w:pStyle w:val="TableContents"/>
              <w:bidi w:val="0"/>
              <w:spacing w:before="0" w:after="0"/>
              <w:ind w:left="0" w:right="0" w:hanging="0"/>
              <w:jc w:val="left"/>
              <w:rPr/>
            </w:pPr>
            <w:r>
              <w:rPr/>
              <w:t> </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1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44.3</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RSUs activity for the three months ended June 29, 2024 for RSUs granted to the Company’s employees for Intel’s common stock was as follows:</w:t>
      </w:r>
    </w:p>
    <w:p>
      <w:pPr>
        <w:pStyle w:val="TextBody"/>
        <w:bidi w:val="0"/>
        <w:spacing w:before="0" w:after="0"/>
        <w:ind w:left="0" w:right="0" w:hanging="0"/>
        <w:jc w:val="left"/>
        <w:rPr/>
      </w:pPr>
      <w:r>
        <w:rPr/>
        <w:t>​</w:t>
      </w:r>
    </w:p>
    <w:tbl>
      <w:tblPr>
        <w:tblW w:w="6604" w:type="dxa"/>
        <w:jc w:val="left"/>
        <w:tblInd w:w="0" w:type="dxa"/>
        <w:tblLayout w:type="fixed"/>
        <w:tblCellMar>
          <w:top w:w="0" w:type="dxa"/>
          <w:left w:w="0" w:type="dxa"/>
          <w:bottom w:w="0" w:type="dxa"/>
          <w:right w:w="0" w:type="dxa"/>
        </w:tblCellMar>
      </w:tblPr>
      <w:tblGrid>
        <w:gridCol w:w="2971"/>
        <w:gridCol w:w="109"/>
        <w:gridCol w:w="1321"/>
        <w:gridCol w:w="326"/>
        <w:gridCol w:w="211"/>
        <w:gridCol w:w="166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886585" cy="175260"/>
                      <wp:effectExtent l="0" t="0" r="0" b="0"/>
                      <wp:wrapNone/>
                      <wp:docPr id="135" name="Frame135"/>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38835" cy="175260"/>
                      <wp:effectExtent l="0" t="0" r="0" b="0"/>
                      <wp:wrapNone/>
                      <wp:docPr id="137" name="Frame137"/>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057910" cy="175260"/>
                      <wp:effectExtent l="0" t="0" r="0" b="0"/>
                      <wp:wrapNone/>
                      <wp:docPr id="140" name="Frame140"/>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187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U.S. dollars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March 30, 2024</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44.3</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June 29, 2024</w:t>
            </w:r>
          </w:p>
        </w:tc>
        <w:tc>
          <w:tcPr>
            <w:tcW w:w="109" w:type="dxa"/>
            <w:tcBorders/>
            <w:vAlign w:val="center"/>
          </w:tcPr>
          <w:p>
            <w:pPr>
              <w:pStyle w:val="TableContents"/>
              <w:bidi w:val="0"/>
              <w:spacing w:before="0" w:after="0"/>
              <w:ind w:left="0" w:right="0" w:hanging="0"/>
              <w:jc w:val="left"/>
              <w:rPr/>
            </w:pPr>
            <w:r>
              <w:rPr/>
              <w:t>​</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1,913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6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44.3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 xml:space="preserve">Unrecognized expenses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29, 2024, the unrecognized compensation cost related to stock options and RSUs granted under the Intel 2006 Plan was $38 million, which will be recognized over a weighted average period of 0.6 years.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Share-based compensation expense summary (for both Mobileye and Intel Plans)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Share-based compensation expenses included in the condensed consolidated statements of operations and comprehensive income (loss) was as follows:</w:t>
      </w:r>
    </w:p>
    <w:p>
      <w:pPr>
        <w:pStyle w:val="TextBody"/>
        <w:bidi w:val="0"/>
        <w:spacing w:before="0" w:after="0"/>
        <w:ind w:left="0" w:right="0" w:hanging="0"/>
        <w:jc w:val="left"/>
        <w:rPr/>
      </w:pPr>
      <w:r>
        <w:rPr/>
        <w:t>​</w:t>
      </w:r>
    </w:p>
    <w:tbl>
      <w:tblPr>
        <w:tblW w:w="8277" w:type="dxa"/>
        <w:jc w:val="left"/>
        <w:tblInd w:w="0" w:type="dxa"/>
        <w:tblLayout w:type="fixed"/>
        <w:tblCellMar>
          <w:top w:w="0" w:type="dxa"/>
          <w:left w:w="0" w:type="dxa"/>
          <w:bottom w:w="0" w:type="dxa"/>
          <w:right w:w="0" w:type="dxa"/>
        </w:tblCellMar>
      </w:tblPr>
      <w:tblGrid>
        <w:gridCol w:w="2851"/>
        <w:gridCol w:w="326"/>
        <w:gridCol w:w="425"/>
        <w:gridCol w:w="700"/>
        <w:gridCol w:w="360"/>
        <w:gridCol w:w="400"/>
        <w:gridCol w:w="605"/>
        <w:gridCol w:w="109"/>
        <w:gridCol w:w="375"/>
        <w:gridCol w:w="750"/>
        <w:gridCol w:w="326"/>
        <w:gridCol w:w="300"/>
        <w:gridCol w:w="750"/>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10385" cy="175260"/>
                      <wp:effectExtent l="0" t="0" r="0" b="0"/>
                      <wp:wrapNone/>
                      <wp:docPr id="141" name="Frame141"/>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69875" cy="175260"/>
                      <wp:effectExtent l="0" t="0" r="0" b="0"/>
                      <wp:wrapNone/>
                      <wp:docPr id="143" name="Frame143"/>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44500" cy="175260"/>
                      <wp:effectExtent l="0" t="0" r="0" b="0"/>
                      <wp:wrapNone/>
                      <wp:docPr id="144" name="Frame144"/>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28600" cy="175260"/>
                      <wp:effectExtent l="0" t="0" r="0" b="0"/>
                      <wp:wrapNone/>
                      <wp:docPr id="145" name="Frame14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54000" cy="175260"/>
                      <wp:effectExtent l="0" t="0" r="0" b="0"/>
                      <wp:wrapNone/>
                      <wp:docPr id="146" name="Frame146"/>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84175" cy="175260"/>
                      <wp:effectExtent l="0" t="0" r="0" b="0"/>
                      <wp:wrapNone/>
                      <wp:docPr id="147" name="Frame147"/>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38125" cy="175260"/>
                      <wp:effectExtent l="0" t="0" r="0" b="0"/>
                      <wp:wrapNone/>
                      <wp:docPr id="149" name="Frame14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76250" cy="175260"/>
                      <wp:effectExtent l="0" t="0" r="0" b="0"/>
                      <wp:wrapNone/>
                      <wp:docPr id="150" name="Frame150"/>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90500" cy="175260"/>
                      <wp:effectExtent l="0" t="0" r="0" b="0"/>
                      <wp:wrapNone/>
                      <wp:docPr id="152" name="Frame152"/>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76250" cy="175260"/>
                      <wp:effectExtent l="0" t="0" r="0" b="0"/>
                      <wp:wrapNone/>
                      <wp:docPr id="153" name="Frame153"/>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1"/>
              <w:ind w:left="0" w:right="0" w:hanging="0"/>
              <w:jc w:val="center"/>
              <w:rPr/>
            </w:pPr>
            <w:r>
              <w:rPr/>
              <w:t>​</w:t>
            </w:r>
          </w:p>
        </w:tc>
        <w:tc>
          <w:tcPr>
            <w:tcW w:w="250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1"/>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60" w:type="dxa"/>
            <w:tcBorders/>
            <w:vAlign w:val="center"/>
          </w:tcPr>
          <w:p>
            <w:pPr>
              <w:pStyle w:val="TableContents"/>
              <w:bidi w:val="0"/>
              <w:spacing w:before="0" w:after="1"/>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2023</w:t>
            </w:r>
          </w:p>
        </w:tc>
        <w:tc>
          <w:tcPr>
            <w:tcW w:w="109" w:type="dxa"/>
            <w:tcBorders/>
            <w:vAlign w:val="center"/>
          </w:tcPr>
          <w:p>
            <w:pPr>
              <w:pStyle w:val="TableContents"/>
              <w:bidi w:val="0"/>
              <w:spacing w:before="0" w:after="1"/>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vAlign w:val="center"/>
          </w:tcPr>
          <w:p>
            <w:pPr>
              <w:pStyle w:val="TableContents"/>
              <w:bidi w:val="0"/>
              <w:spacing w:before="0" w:after="1"/>
              <w:ind w:left="0" w:right="0" w:hanging="0"/>
              <w:jc w:val="left"/>
              <w:rPr/>
            </w:pPr>
            <w:r>
              <w:rPr/>
              <w:t>​</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2023</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4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0" w:type="dxa"/>
            <w:tcBorders/>
            <w:shd w:fill="CCEEFF" w:val="clear"/>
            <w:vAlign w:val="center"/>
          </w:tcPr>
          <w:p>
            <w:pPr>
              <w:pStyle w:val="TableContents"/>
              <w:bidi w:val="0"/>
              <w:spacing w:before="0" w:after="1"/>
              <w:ind w:left="0" w:right="0" w:hanging="0"/>
              <w:jc w:val="left"/>
              <w:rPr/>
            </w:pPr>
            <w:r>
              <w:rPr/>
              <w:t>    </w:t>
            </w:r>
          </w:p>
        </w:tc>
        <w:tc>
          <w:tcPr>
            <w:tcW w:w="4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60"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109" w:type="dxa"/>
            <w:tcBorders/>
            <w:vAlign w:val="center"/>
          </w:tcPr>
          <w:p>
            <w:pPr>
              <w:pStyle w:val="TableContents"/>
              <w:bidi w:val="0"/>
              <w:spacing w:before="0" w:after="1"/>
              <w:ind w:left="0" w:right="0" w:hanging="0"/>
              <w:jc w:val="right"/>
              <w:rPr/>
            </w:pPr>
            <w:r>
              <w:rPr/>
              <w:t>​</w:t>
            </w:r>
          </w:p>
        </w:tc>
        <w:tc>
          <w:tcPr>
            <w:tcW w:w="37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700" w:type="dxa"/>
            <w:tcBorders/>
            <w:shd w:fill="CCEEFF" w:val="clear"/>
            <w:vAlign w:val="center"/>
          </w:tcPr>
          <w:p>
            <w:pPr>
              <w:pStyle w:val="TableContents"/>
              <w:bidi w:val="0"/>
              <w:spacing w:before="0" w:after="1"/>
              <w:ind w:left="0" w:right="0" w:hanging="0"/>
              <w:jc w:val="right"/>
              <w:rPr/>
            </w:pPr>
            <w:r>
              <w:rPr/>
              <w:t>—</w:t>
            </w:r>
          </w:p>
        </w:tc>
        <w:tc>
          <w:tcPr>
            <w:tcW w:w="360"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0" w:type="dxa"/>
            <w:tcBorders/>
            <w:vAlign w:val="center"/>
          </w:tcPr>
          <w:p>
            <w:pPr>
              <w:pStyle w:val="TableContents"/>
              <w:bidi w:val="0"/>
              <w:spacing w:before="0" w:after="1"/>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before="0" w:after="1"/>
              <w:ind w:left="0" w:right="0" w:hanging="0"/>
              <w:jc w:val="righ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w:t>
            </w:r>
          </w:p>
        </w:tc>
        <w:tc>
          <w:tcPr>
            <w:tcW w:w="360" w:type="dxa"/>
            <w:tcBorders/>
            <w:shd w:fill="CCEEFF" w:val="clear"/>
            <w:vAlign w:val="center"/>
          </w:tcPr>
          <w:p>
            <w:pPr>
              <w:pStyle w:val="TableContents"/>
              <w:bidi w:val="0"/>
              <w:spacing w:before="0" w:after="1"/>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w:t>
            </w:r>
          </w:p>
        </w:tc>
        <w:tc>
          <w:tcPr>
            <w:tcW w:w="109" w:type="dxa"/>
            <w:tcBorders/>
            <w:shd w:fill="CCEEFF" w:val="clear"/>
            <w:vAlign w:val="center"/>
          </w:tcPr>
          <w:p>
            <w:pPr>
              <w:pStyle w:val="TableContents"/>
              <w:bidi w:val="0"/>
              <w:spacing w:before="0" w:after="1"/>
              <w:ind w:left="0" w:right="0" w:hanging="0"/>
              <w:jc w:val="righ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127</w:t>
            </w:r>
          </w:p>
        </w:tc>
      </w:tr>
    </w:tbl>
    <w:p>
      <w:pPr>
        <w:pStyle w:val="TextBody"/>
        <w:bidi w:val="0"/>
        <w:spacing w:before="0" w:after="240"/>
        <w:ind w:left="0" w:right="0" w:hanging="0"/>
        <w:jc w:val="left"/>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b/>
          <w:sz w:val="20"/>
        </w:rPr>
      </w:pPr>
      <w:bookmarkStart w:id="964" w:name="Tc_xkf92P-ZZUm92kTGtJQJyw_9_0"/>
      <w:bookmarkStart w:id="965" w:name="Tc_okkgKC3EDk-fOg6Gy7ixmg_8_0"/>
      <w:bookmarkStart w:id="966" w:name="Tc_u9dRi_v1LUeZyORy0-vBsQ_7_0"/>
      <w:bookmarkStart w:id="967" w:name="Tc_Jdw5CvF6aEKJ1xYyIk29ig_6_0"/>
      <w:bookmarkStart w:id="968" w:name="Tc_3FjGRb-8mU-WZ3T3T8mf3A_5_11"/>
      <w:bookmarkStart w:id="969" w:name="Tc_K9fy_W3Y1U-bkF79JSExOA_5_8"/>
      <w:bookmarkStart w:id="970" w:name="Tc_1zuXMaOOAkyVU_se8291bA_5_5"/>
      <w:bookmarkStart w:id="971" w:name="Tc_yMf1MIxjcEysSkp5DNw3xQ_5_2"/>
      <w:bookmarkStart w:id="972" w:name="Tc_Eggk03UG1UCftki49D63YA_5_0"/>
      <w:bookmarkStart w:id="973" w:name="Tc_DFRfUPPwh0CW8X_lXQVTVg_4_0"/>
      <w:bookmarkStart w:id="974" w:name="Tc_89ISbr0qNEWb0eT5Ll4OWA_3_11"/>
      <w:bookmarkStart w:id="975" w:name="Tc_5TpCpKR_302bMC0DuRb-QQ_3_8"/>
      <w:bookmarkStart w:id="976" w:name="Tc_nqm0pf_h10WhzTK84XRHDw_3_5"/>
      <w:bookmarkStart w:id="977" w:name="Tc_NZxbkM5em0-CePqU3svjxw_3_2"/>
      <w:bookmarkStart w:id="978" w:name="Tc_FVhLn7QSMEWGRv_tHE3Zrw_3_0"/>
      <w:bookmarkStart w:id="979" w:name="Tc_2weEUQcX0U24Ced-2g3H7A_2_11"/>
      <w:bookmarkStart w:id="980" w:name="Tc_xEIfptE44EO5Fsc2JlWMow_2_8"/>
      <w:bookmarkStart w:id="981" w:name="Tc_iEmvL-YZZEW-uc3DVQrNnA_2_5"/>
      <w:bookmarkStart w:id="982" w:name="Tc_aOMGbsoyLke74-Qtr7cFpg_2_2"/>
      <w:bookmarkStart w:id="983" w:name="Tc_tLMzWxFCfEac2AlUZae5iw_1_8"/>
      <w:bookmarkStart w:id="984" w:name="Tc_Km_gJuZrVka5c757ym-8Lw_1_2"/>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r>
        <w:rPr>
          <w:rFonts w:ascii="Times New Roman;Times;serif" w:hAnsi="Times New Roman;Times;serif"/>
          <w:b/>
          <w:sz w:val="20"/>
        </w:rPr>
        <w:t>NOTE 5 - EARNINGS (LOSS)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calculation of basic earnings (loss) per share for the periods presented:</w:t>
      </w:r>
    </w:p>
    <w:p>
      <w:pPr>
        <w:pStyle w:val="TextBody"/>
        <w:bidi w:val="0"/>
        <w:spacing w:before="0" w:after="0"/>
        <w:ind w:left="0" w:right="0" w:hanging="0"/>
        <w:jc w:val="left"/>
        <w:rPr/>
      </w:pPr>
      <w:r>
        <w:rPr/>
        <w:t>​</w:t>
      </w:r>
    </w:p>
    <w:tbl>
      <w:tblPr>
        <w:tblW w:w="9008" w:type="dxa"/>
        <w:jc w:val="left"/>
        <w:tblInd w:w="0" w:type="dxa"/>
        <w:tblLayout w:type="fixed"/>
        <w:tblCellMar>
          <w:top w:w="0" w:type="dxa"/>
          <w:left w:w="0" w:type="dxa"/>
          <w:bottom w:w="0" w:type="dxa"/>
          <w:right w:w="0" w:type="dxa"/>
        </w:tblCellMar>
      </w:tblPr>
      <w:tblGrid>
        <w:gridCol w:w="4471"/>
        <w:gridCol w:w="326"/>
        <w:gridCol w:w="211"/>
        <w:gridCol w:w="586"/>
        <w:gridCol w:w="326"/>
        <w:gridCol w:w="211"/>
        <w:gridCol w:w="586"/>
        <w:gridCol w:w="326"/>
        <w:gridCol w:w="211"/>
        <w:gridCol w:w="586"/>
        <w:gridCol w:w="326"/>
        <w:gridCol w:w="211"/>
        <w:gridCol w:w="631"/>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839085" cy="175260"/>
                      <wp:effectExtent l="0" t="0" r="0" b="0"/>
                      <wp:wrapNone/>
                      <wp:docPr id="154" name="Frame154"/>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72110" cy="175260"/>
                      <wp:effectExtent l="0" t="0" r="0" b="0"/>
                      <wp:wrapNone/>
                      <wp:docPr id="157" name="Frame15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72110" cy="175260"/>
                      <wp:effectExtent l="0" t="0" r="0" b="0"/>
                      <wp:wrapNone/>
                      <wp:docPr id="160" name="Frame16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72110" cy="175260"/>
                      <wp:effectExtent l="0" t="0" r="0" b="0"/>
                      <wp:wrapNone/>
                      <wp:docPr id="163" name="Frame16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00685" cy="175260"/>
                      <wp:effectExtent l="0" t="0" r="0" b="0"/>
                      <wp:wrapNone/>
                      <wp:docPr id="166" name="Frame16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1"/>
              <w:ind w:left="0" w:right="0" w:hanging="0"/>
              <w:jc w:val="left"/>
              <w:rPr/>
            </w:pPr>
            <w:r>
              <w:rPr/>
              <w:t>​</w:t>
            </w:r>
          </w:p>
        </w:tc>
        <w:tc>
          <w:tcPr>
            <w:tcW w:w="19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1"/>
              <w:ind w:left="0" w:right="0" w:hanging="0"/>
              <w:jc w:val="left"/>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  </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 average common shares - basic and diluted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(loss) per share: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months ended June 29, 2024 and July 1, 2023, the computation of diluted earnings (loss) per share attributable to common stockholders does not include 15.4 million and 6.2 million potential common shares, respectively; and 15.2 million and 6.7 million potential common shares for the six months ended June 29, 2024 and July 1, 2023, respectively, related to restricted stock units granted under the 2022 plan to the Company’s employees, as the effect of their inclusion would have been anti-dilutive.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 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quarterly benefit (provision) for income taxes and the estimates of its annual effective tax rate, are subject to fluctuation due to several factors, principally including variability in overall pre-tax income and the mix of tax paying components to which such income relates.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income tax benefit (provision) included in these condensed consolidated financial statements has been calculated using the separate return method, as if the Company had filed its own tax returns. Net operating losses generated by the Company that have been utilized as part of the Parent’s consolidated income tax return filings but have not been utilized by the Company under the separate return method approach, have been reflected in these condensed consolidated financial statements because the Company will recognize a benefit for the separate return method net operating losses when determined to be realizable, whether as a deduction against current taxable income in future periods or upon recognition of associated deferred tax assets based on valuation allowance assessments.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the Company has jurisdictions that have sustained recent losses based on the separate return method, a valuation allowance is required for deferred tax assets for which no benefit can be currently realized.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Provision for income tax in the six months ended June 29, 2024 was $2 million compared to a provision of $16 million in the six months ended July 1, 2023, mainly due to a higher loss before income taxes in the six months ended June 29, 2024 compared to prior year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Similarly, the provision for income tax in the three months ended June 29, 2024, was $5 million compared to a provision for income tax of $10 million in the three months ended July 1, 2023, mainly due to a greater loss before income taxes in the three months ended June 29, 2024 compared to prior year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 RELATED PARTIES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entered into a series of related party arrangements with Intel. For further description of the arrangements refer to Note 9 of the notes to the consolidated financial statements for the year ended December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Stock Compensation Recharge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entered into a stock compensation recharge agreement with Intel, which requires the Company to reimburse Intel for certain amounts, net of any related withholding tax, relating to the value of share-based compensation provided to the Company’s employees for RSUs or stock options exercisable in Intel stock. The reimbursement amounts recorded as an adjustment to additional paid-in capital in the condensed consolidated statement of changes in equity were $20 million and $18 million for the three months ended June 29, 2024 and July 1, 2023, respectively and $25 million and $22 million for the six months ended June 29, 2024 and July 1, 2023,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Lease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lease agreements with Intel, the Company leases office space in Intel’s buildings. The costs are included in the condensed consolidated statements of operations and comprehensive income (loss) primarily on a specific and direct attribution basis. The leasing costs for the three months ended June 29, 2024 and July 1, 2023, were $0.6 million and $1.1 million, respectively and $1.2 million and $2.4 million for the six months ended June 29, 2024 and July 1, 2023,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Other services to a related party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reimbursed its Chief Executive Officer for reasonable travel related expenses incurred while conducting business on behalf of the Company. Travel related reimbursements totaled $0.5 million and $0.5 million for the three months ended June 29, 2024 and July 1, 2023, respectively and $1.1 million and $1.2 million for the six months ended June 29, 2024 and July 1, 2023,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Administrative Services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Administrative Services Agreement, Intel provides the Company with administrative and other services. The Company pays fees to Intel for the services rendered based on pricing per service agreed between the Company and Intel.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costs incurred under this agreement for the three months ended June 29, 2024 and July 1, 2023 were $0.2 million and $0.8 million, respectively and $1.7 million and $1.2 million for the six months ended June 29, 2024 and July 1, 2023,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Technology and Services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will not apply to projects for the development and manufacture of a Lidar sensor system for automobiles, for which the LiDAR Product Collaboration Agreement will apply. Pursuant to the Technology and Services Agreement, the Company and Intel will agree to statements of work with additional terms for Technology Projects.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amount incurred under this agreement for the three months ended June 29, 2024 and July 1, 2023 were $1.1 million and $1.4 million, respectively and $2.2 million and $2.4 million for the six months ended June 29, 2024 and July 1, 2023,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LiDAR Product Collaboration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LiDAR Product Collaboration Agreement, provides the terms that will apply to the Company’s collaboration with Intel for the development and manufacture of a Lidar sensor system for ADAS and AV in automobiles (“LiDAR Projects”). On some of the LiDAR programs joint funding will apply between Intel and Mobileye until the end of 2027 whereby Mobileye will bear its own Lidar sensor system development costs up to the first $40 million per year and Intel will bear up to $20 million per year of Mobileye’s Lidar sensor system development costs that are greater than $40 million per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LiDAR Product Collaboration Agreement further provides that Intel will manufacture certain components for the Company to market and sell as part of a FMCW (frequency-modulated continuous wave) lidar sensor system solely for external environment sensing for ADAS and AV in automobiles. The price for the components Intel will manufacture for the Company will be based on a cost-plus model. In addition, the agreement also includes a profit-sharing model under which Mobileye will pay Intel a share of the gross profit for each LiDAR sensor system or components thereof, based on Intel technology, sold by Mobileye.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2023, Mobileye opted to pursue a different lidar technology, and as a result, Mobileye and Intel are no longer actively working on developing the LiDAR Project under the LiDAR Product Collaboration Agreement. Mobileye and Intel have begun negotiation of an amendment to the LiDAR Product Collaboration Agreement which contemplates the parties’ cessation of lidar development work and Mobileye’s potential, continued use of certain licenses granted by Intel under the LiDAR Product Collaboration Agreement. In connection with the foregoing, Mobileye would no longer be obligated to share its profits associated with the LiDAR Project with Intel, and Intel would no longer be obligated to provide development services for the LiDAR Project and fund Mobileye’s lidar investments beyond the $40 million per year threshold set forth in the LiDAR Product Collaboration Agreement. Final commercial terms for this amendment remain subject to further negotiation by Mobileye and Intel.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amounts received or receivable from Intel under this agreement for the three and six months ended June 29, 2024.</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Tax Sharing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audit or other tax proceedings. As of June 29, 2024 and December 30, 2023, the related party payable to Intel, pursuant to the Tax Sharing Agreement was $37 million.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Intel Sublicense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June 2024, Intel and its affiliates, including Mobileye, were granted a sublicense to certain patents relating to network-on-chip and other technologies (the “Sublicense”). In connection with Mobileye’s use of the Sublicense, Intel and Mobileye agreed that Mobileye would pay to Intel $0.3 million as Mobileye’s allocation of the consideration paid by Intel for the Sublicense.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85" w:name="Tc_28H21csq9kKQYFpLqCv0-w_7_11"/>
      <w:bookmarkStart w:id="986" w:name="Tc_m-vcy5WsZUeO3kIbvckr6g_7_8"/>
      <w:bookmarkStart w:id="987" w:name="Tc_DzeRVld3N0-FuImlDtXmgw_7_5"/>
      <w:bookmarkStart w:id="988" w:name="Tc_C4PcKQMVC0O0GTPyO5lP6g_7_2"/>
      <w:bookmarkStart w:id="989" w:name="Tc_cFPiV4UNv0OAHYjEp2RY2Q_7_0"/>
      <w:bookmarkStart w:id="990" w:name="Tc_B1nd6i1vIU2mxpB97n9DqQ_6_0"/>
      <w:bookmarkStart w:id="991" w:name="Tc_LWFIaE_OQUaA3mgI-pevDA_5_11"/>
      <w:bookmarkStart w:id="992" w:name="Tc_1ahWINgXpkmQTuuIsMjBQg_5_8"/>
      <w:bookmarkStart w:id="993" w:name="Tc_BAT2FAgEIk-H16nJt-20-A_5_5"/>
      <w:bookmarkStart w:id="994" w:name="Tc_69OfHCpR9k2JbO7nQno7zQ_5_2"/>
      <w:bookmarkStart w:id="995" w:name="Tc_4CTncuX_1EKjv6B9G204kg_5_0"/>
      <w:bookmarkStart w:id="996" w:name="Tc_veO5SWmFt0-igM8Jbcdwmg_4_14"/>
      <w:bookmarkStart w:id="997" w:name="Tc_wgIPlc30HUOsJE9qL2ovdw_4_11"/>
      <w:bookmarkStart w:id="998" w:name="Tc_kshYk2VEREub_NNnHvOGgg_4_8"/>
      <w:bookmarkStart w:id="999" w:name="Tc_47BrQ54U80aPMbeflgwHCw_4_5"/>
      <w:bookmarkStart w:id="1000" w:name="Tc_96c6iOhnL0SEW9lgPSfUfQ_4_2"/>
      <w:bookmarkStart w:id="1001" w:name="Tc_bqak8klhwEyR0T3gIfWCBg_4_0"/>
      <w:bookmarkStart w:id="1002" w:name="Tc_W2JVfRF-S0-75xASf8qnEQ_3_14"/>
      <w:bookmarkStart w:id="1003" w:name="Tc_4DzrFMjuwkCUlmdnEnw7fA_3_11"/>
      <w:bookmarkStart w:id="1004" w:name="Tc_fGtNjB334kaYwzkur99Klg_3_8"/>
      <w:bookmarkStart w:id="1005" w:name="Tc_3qsfqhxgvk-OroOX2k34qg_3_5"/>
      <w:bookmarkStart w:id="1006" w:name="Tc_B8S-5NNYvE-d78J74HilXQ_3_2"/>
      <w:bookmarkStart w:id="1007" w:name="Tc_6PaVX0-hIUC-TITxSlI4-Q_2_14"/>
      <w:bookmarkStart w:id="1008" w:name="Tc_qqa3mMOB_0qfqPgSk7ttVA_1_8"/>
      <w:bookmarkStart w:id="1009" w:name="Tc_VtyT_fk5GUa4G2AhAMjB1w_1_2"/>
      <w:bookmarkStart w:id="1010" w:name="Tc_0NuCSylkLEKQZgLkASoQ4g_7_17"/>
      <w:bookmarkStart w:id="1011" w:name="Tc_ROHEsCyyLECl_RgXsqltcA_7_14"/>
      <w:bookmarkStart w:id="1012" w:name="Tc_cpDS4eO1LkqOdHPP2FDbBw_7_11"/>
      <w:bookmarkStart w:id="1013" w:name="Tc_6xzDtaiVg0y9nLHyVaYGuA_7_8"/>
      <w:bookmarkStart w:id="1014" w:name="Tc_be9XVMvcgU-x0vFVFgOHrQ_7_5"/>
      <w:bookmarkStart w:id="1015" w:name="Tc_H6gqcNWDzE-j4vu3QKZcnA_7_2"/>
      <w:bookmarkStart w:id="1016" w:name="Tc_eazJvuMpxE22D2RJX9fZzA_7_0"/>
      <w:bookmarkStart w:id="1017" w:name="Tc_BQekLdZGI02Qmt_OAveVEA_6_0"/>
      <w:bookmarkStart w:id="1018" w:name="Tc_lrtTCfsHuUWVhxE9HmLeMA_5_17"/>
      <w:bookmarkStart w:id="1019" w:name="Tc_D3QeaK6muk-59fW760Txaw_5_14"/>
      <w:bookmarkStart w:id="1020" w:name="Tc_jSdPF8pZsEGy6AYnf5tMYw_5_11"/>
      <w:bookmarkStart w:id="1021" w:name="Tc_DJ7FOCqdUUyM_bsbG77CFw_5_8"/>
      <w:bookmarkStart w:id="1022" w:name="Tc_4lvSiuiEsU2ImZTlF2rmXA_5_5"/>
      <w:bookmarkStart w:id="1023" w:name="Tc_xZnvixJZ_EC07nxhOGPVIw_5_2"/>
      <w:bookmarkStart w:id="1024" w:name="Tc_vL2i0dcswUqc-vjIx0_cXA_5_0"/>
      <w:bookmarkStart w:id="1025" w:name="Tc_Jc5SN8UtGUGJGPu6L2r02g_4_17"/>
      <w:bookmarkStart w:id="1026" w:name="Tc_x8mzGfhcAE-hgZZhhux-9g_4_14"/>
      <w:bookmarkStart w:id="1027" w:name="Tc_jKPXJyuI1UO1ILnhbnDEoA_4_11"/>
      <w:bookmarkStart w:id="1028" w:name="Tc_aTY8dQLGv0q-ox_7EW1rIQ_4_8"/>
      <w:bookmarkStart w:id="1029" w:name="Tc_UkRpWtfaFEyuEqkqjPHrYQ_4_5"/>
      <w:bookmarkStart w:id="1030" w:name="Tc_0BqhpmbTQ06zpdkUwcU5wQ_4_2"/>
      <w:bookmarkStart w:id="1031" w:name="Tc_9FS5BFVrVkW_iFqra7JaBg_4_0"/>
      <w:bookmarkStart w:id="1032" w:name="Tc_gEkb5RXgmUGotUhX0bbQFQ_3_14"/>
      <w:bookmarkStart w:id="1033" w:name="Tc_-8RB8UchRE2a2n-irxW4qA_3_5"/>
      <w:bookmarkStart w:id="1034" w:name="Tc_DUuU1gVx1EGS7x5FCm_XaA_2_11"/>
      <w:bookmarkStart w:id="1035" w:name="Tc_ketyYDGl-0uPyRkzfAvarg_2_2"/>
      <w:bookmarkStart w:id="1036" w:name="Tc_KPK9_xxTHkaI1gjrNRs-wA_1_2"/>
      <w:bookmarkStart w:id="1037" w:name="_Hlk119608361"/>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rFonts w:ascii="Times New Roman;Times;serif" w:hAnsi="Times New Roman;Times;serif"/>
          <w:b/>
          <w:sz w:val="20"/>
        </w:rPr>
        <w:t>NOTE 8 - IDENTIFIED INTANGIBLE ASSETS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76"/>
        <w:gridCol w:w="326"/>
        <w:gridCol w:w="271"/>
        <w:gridCol w:w="735"/>
        <w:gridCol w:w="326"/>
        <w:gridCol w:w="295"/>
        <w:gridCol w:w="801"/>
        <w:gridCol w:w="326"/>
        <w:gridCol w:w="211"/>
        <w:gridCol w:w="571"/>
        <w:gridCol w:w="326"/>
        <w:gridCol w:w="271"/>
        <w:gridCol w:w="735"/>
        <w:gridCol w:w="326"/>
        <w:gridCol w:w="295"/>
        <w:gridCol w:w="801"/>
        <w:gridCol w:w="326"/>
        <w:gridCol w:w="211"/>
        <w:gridCol w:w="676"/>
      </w:tblGrid>
      <w:tr>
        <w:trPr/>
        <w:tc>
          <w:tcPr>
            <w:tcW w:w="2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508760" cy="175260"/>
                      <wp:effectExtent l="0" t="0" r="0" b="0"/>
                      <wp:wrapNone/>
                      <wp:docPr id="167" name="Frame167"/>
                      <a:graphic xmlns:a="http://schemas.openxmlformats.org/drawingml/2006/main">
                        <a:graphicData uri="http://schemas.microsoft.com/office/word/2010/wordprocessingShape">
                          <wps:wsp>
                            <wps:cNvSpPr txBox="1"/>
                            <wps:spPr>
                              <a:xfrm>
                                <a:off x="0" y="0"/>
                                <a:ext cx="150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72085" cy="175260"/>
                      <wp:effectExtent l="0" t="0" r="0" b="0"/>
                      <wp:wrapNone/>
                      <wp:docPr id="169" name="Frame16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66725" cy="175260"/>
                      <wp:effectExtent l="0" t="0" r="0" b="0"/>
                      <wp:wrapNone/>
                      <wp:docPr id="170" name="Frame170"/>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87325" cy="175260"/>
                      <wp:effectExtent l="0" t="0" r="0" b="0"/>
                      <wp:wrapNone/>
                      <wp:docPr id="172" name="Frame17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08635" cy="175260"/>
                      <wp:effectExtent l="0" t="0" r="0" b="0"/>
                      <wp:wrapNone/>
                      <wp:docPr id="173" name="Frame173"/>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62585" cy="175260"/>
                      <wp:effectExtent l="0" t="0" r="0" b="0"/>
                      <wp:wrapNone/>
                      <wp:docPr id="176" name="Frame1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72085" cy="175260"/>
                      <wp:effectExtent l="0" t="0" r="0" b="0"/>
                      <wp:wrapNone/>
                      <wp:docPr id="178" name="Frame17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66725" cy="175260"/>
                      <wp:effectExtent l="0" t="0" r="0" b="0"/>
                      <wp:wrapNone/>
                      <wp:docPr id="179" name="Frame179"/>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87325" cy="175260"/>
                      <wp:effectExtent l="0" t="0" r="0" b="0"/>
                      <wp:wrapNone/>
                      <wp:docPr id="181" name="Frame181"/>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08635" cy="175260"/>
                      <wp:effectExtent l="0" t="0" r="0" b="0"/>
                      <wp:wrapNone/>
                      <wp:docPr id="182" name="Frame182"/>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29260" cy="175260"/>
                      <wp:effectExtent l="0" t="0" r="0" b="0"/>
                      <wp:wrapNone/>
                      <wp:docPr id="185" name="Frame1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03"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3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53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vAlign w:val="center"/>
          </w:tcPr>
          <w:p>
            <w:pPr>
              <w:pStyle w:val="TableContents"/>
              <w:bidi w:val="0"/>
              <w:spacing w:before="0" w:after="0"/>
              <w:ind w:left="0" w:right="0" w:hanging="0"/>
              <w:jc w:val="center"/>
              <w:rPr/>
            </w:pPr>
            <w:r>
              <w:rPr/>
              <w:t>​</w:t>
            </w:r>
          </w:p>
        </w:tc>
        <w:tc>
          <w:tcPr>
            <w:tcW w:w="364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 2023</w:t>
            </w:r>
          </w:p>
        </w:tc>
      </w:tr>
      <w:tr>
        <w:trPr/>
        <w:tc>
          <w:tcPr>
            <w:tcW w:w="23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w:t>
            </w:r>
          </w:p>
        </w:tc>
      </w:tr>
      <w:tr>
        <w:trPr/>
        <w:tc>
          <w:tcPr>
            <w:tcW w:w="2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Assets</w:t>
            </w:r>
          </w:p>
        </w:tc>
        <w:tc>
          <w:tcPr>
            <w:tcW w:w="326"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26" w:type="dxa"/>
            <w:tcBorders/>
            <w:vAlign w:val="center"/>
          </w:tcPr>
          <w:p>
            <w:pPr>
              <w:pStyle w:val="TableContents"/>
              <w:bidi w:val="0"/>
              <w:spacing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Assets</w:t>
            </w:r>
          </w:p>
        </w:tc>
        <w:tc>
          <w:tcPr>
            <w:tcW w:w="326"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2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3,705</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3,705</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w:t>
            </w:r>
          </w:p>
        </w:tc>
      </w:tr>
      <w:tr>
        <w:trPr/>
        <w:tc>
          <w:tcPr>
            <w:tcW w:w="2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 &amp; brands</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r>
      <w:tr>
        <w:trPr/>
        <w:tc>
          <w:tcPr>
            <w:tcW w:w="23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4,491</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4,491</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2,053</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the amortization expenses recorded for these identified intangible assets and their weighted average useful lives:</w:t>
      </w:r>
    </w:p>
    <w:p>
      <w:pPr>
        <w:pStyle w:val="TextBody"/>
        <w:bidi w:val="0"/>
        <w:spacing w:before="0" w:after="0"/>
        <w:ind w:left="0" w:right="0" w:hanging="0"/>
        <w:jc w:val="left"/>
        <w:rPr/>
      </w:pPr>
      <w:r>
        <w:rPr/>
        <w:t>​</w:t>
      </w:r>
    </w:p>
    <w:tbl>
      <w:tblPr>
        <w:tblW w:w="8086" w:type="dxa"/>
        <w:jc w:val="left"/>
        <w:tblInd w:w="0" w:type="dxa"/>
        <w:tblLayout w:type="fixed"/>
        <w:tblCellMar>
          <w:top w:w="0" w:type="dxa"/>
          <w:left w:w="0" w:type="dxa"/>
          <w:bottom w:w="0" w:type="dxa"/>
          <w:right w:w="0" w:type="dxa"/>
        </w:tblCellMar>
      </w:tblPr>
      <w:tblGrid>
        <w:gridCol w:w="2821"/>
        <w:gridCol w:w="326"/>
        <w:gridCol w:w="240"/>
        <w:gridCol w:w="480"/>
        <w:gridCol w:w="326"/>
        <w:gridCol w:w="211"/>
        <w:gridCol w:w="421"/>
        <w:gridCol w:w="326"/>
        <w:gridCol w:w="240"/>
        <w:gridCol w:w="480"/>
        <w:gridCol w:w="326"/>
        <w:gridCol w:w="211"/>
        <w:gridCol w:w="421"/>
        <w:gridCol w:w="326"/>
        <w:gridCol w:w="931"/>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791335" cy="175260"/>
                      <wp:effectExtent l="0" t="0" r="0" b="0"/>
                      <wp:wrapNone/>
                      <wp:docPr id="186" name="Frame186"/>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52400" cy="175260"/>
                      <wp:effectExtent l="0" t="0" r="0" b="0"/>
                      <wp:wrapNone/>
                      <wp:docPr id="188" name="Frame18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04800" cy="175260"/>
                      <wp:effectExtent l="0" t="0" r="0" b="0"/>
                      <wp:wrapNone/>
                      <wp:docPr id="189" name="Frame189"/>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67335" cy="175260"/>
                      <wp:effectExtent l="0" t="0" r="0" b="0"/>
                      <wp:wrapNone/>
                      <wp:docPr id="192" name="Frame19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52400" cy="175260"/>
                      <wp:effectExtent l="0" t="0" r="0" b="0"/>
                      <wp:wrapNone/>
                      <wp:docPr id="194" name="Frame19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04800" cy="175260"/>
                      <wp:effectExtent l="0" t="0" r="0" b="0"/>
                      <wp:wrapNone/>
                      <wp:docPr id="195" name="Frame195"/>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67335" cy="175260"/>
                      <wp:effectExtent l="0" t="0" r="0" b="0"/>
                      <wp:wrapNone/>
                      <wp:docPr id="198" name="Frame19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91185" cy="175260"/>
                      <wp:effectExtent l="0" t="0" r="0" b="0"/>
                      <wp:wrapNone/>
                      <wp:docPr id="200" name="Frame20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16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center"/>
              <w:rPr/>
            </w:pPr>
            <w:r>
              <w:rPr/>
              <w:t>​</w:t>
            </w:r>
          </w:p>
        </w:tc>
        <w:tc>
          <w:tcPr>
            <w:tcW w:w="4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w:t>
            </w:r>
          </w:p>
        </w:tc>
        <w:tc>
          <w:tcPr>
            <w:tcW w:w="326" w:type="dxa"/>
            <w:tcBorders/>
            <w:vAlign w:val="center"/>
          </w:tcPr>
          <w:p>
            <w:pPr>
              <w:pStyle w:val="TableContents"/>
              <w:bidi w:val="0"/>
              <w:spacing w:before="0" w:after="0"/>
              <w:ind w:left="0" w:right="0" w:hanging="0"/>
              <w:jc w:val="center"/>
              <w:rPr/>
            </w:pPr>
            <w:r>
              <w:rPr/>
              <w:t>    </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center"/>
              <w:rPr/>
            </w:pPr>
            <w:r>
              <w:rPr/>
              <w:t>​</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Customer relationships &amp; brands </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amortization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w:t>
            </w:r>
          </w:p>
        </w:tc>
        <w:tc>
          <w:tcPr>
            <w:tcW w:w="326" w:type="dxa"/>
            <w:tcBorders/>
            <w:shd w:fill="CCEEFF" w:val="clear"/>
            <w:vAlign w:val="center"/>
          </w:tcPr>
          <w:p>
            <w:pPr>
              <w:pStyle w:val="TableContents"/>
              <w:bidi w:val="0"/>
              <w:spacing w:before="0" w:after="0"/>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bookmarkStart w:id="1038" w:name="Tc_UfDt_xwupkePVN_68o-GRw_3_20"/>
      <w:bookmarkStart w:id="1039" w:name="Tc_249ASfYdtk2insngT3LnBw_3_17"/>
      <w:bookmarkStart w:id="1040" w:name="Tc_ddZLXiLAKUCwuUCBUwuz2g_3_14"/>
      <w:bookmarkStart w:id="1041" w:name="Tc_u7KmvuWlq06Dm5MJvQa2SQ_3_11"/>
      <w:bookmarkStart w:id="1042" w:name="Tc_uYOuVEGFVEutQpUs4F-hvQ_3_8"/>
      <w:bookmarkStart w:id="1043" w:name="Tc_LCFuLJrQu0KbQW8WIlz6Eg_3_5"/>
      <w:bookmarkStart w:id="1044" w:name="Tc_Vbu_-P0mB0K2rU1y2pScQw_3_2"/>
      <w:bookmarkStart w:id="1045" w:name="Tc_yyqMHlqq-0-VEoEBXyTyag_3_0"/>
      <w:bookmarkStart w:id="1046" w:name="Tc_PY3oW73Yy0qXesExxtkFtA_2_20"/>
      <w:bookmarkStart w:id="1047" w:name="Tc_mBuc47ptg06jq-2hlPcueQ_2_17"/>
      <w:bookmarkStart w:id="1048" w:name="Tc_Gd0dN-6V6E6BA7qgBd1VnQ_2_14"/>
      <w:bookmarkStart w:id="1049" w:name="Tc_UxLLo2Efu0O6EW0KoPLefA_2_11"/>
      <w:bookmarkStart w:id="1050" w:name="Tc_uP7C33HoTUC9WWX2NxzWVA_2_8"/>
      <w:bookmarkStart w:id="1051" w:name="Tc_pG8-4K7S7k2SBlJHr8qzQw_2_5"/>
      <w:bookmarkStart w:id="1052" w:name="Tc_lSuXzlaLdUSsIDbbtQiy7w_2_2"/>
      <w:bookmarkStart w:id="1053" w:name="Tc_IbRuv97_AEmXoRADmF_ZLg_2_0"/>
      <w:bookmarkStart w:id="1054" w:name="Tc_FAt1sa04O0yJHQTa0J3PBQ_1_2"/>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r>
        <w:rPr>
          <w:rFonts w:ascii="Times New Roman;Times;serif" w:hAnsi="Times New Roman;Times;serif"/>
          <w:sz w:val="20"/>
        </w:rPr>
        <w:t>The Company expects future amortization expenses for the next five years and thereafter to be as follows:</w:t>
      </w:r>
    </w:p>
    <w:p>
      <w:pPr>
        <w:pStyle w:val="TextBody"/>
        <w:bidi w:val="0"/>
        <w:spacing w:before="0" w:after="0"/>
        <w:ind w:left="0" w:right="0" w:hanging="0"/>
        <w:jc w:val="left"/>
        <w:rPr/>
      </w:pPr>
      <w:r>
        <w:rPr/>
        <w:t>​</w:t>
      </w:r>
    </w:p>
    <w:tbl>
      <w:tblPr>
        <w:tblW w:w="9990" w:type="dxa"/>
        <w:jc w:val="left"/>
        <w:tblInd w:w="0" w:type="dxa"/>
        <w:tblLayout w:type="fixed"/>
        <w:tblCellMar>
          <w:top w:w="0" w:type="dxa"/>
          <w:left w:w="0" w:type="dxa"/>
          <w:bottom w:w="0" w:type="dxa"/>
          <w:right w:w="0" w:type="dxa"/>
        </w:tblCellMar>
      </w:tblPr>
      <w:tblGrid>
        <w:gridCol w:w="2506"/>
        <w:gridCol w:w="326"/>
        <w:gridCol w:w="300"/>
        <w:gridCol w:w="601"/>
        <w:gridCol w:w="326"/>
        <w:gridCol w:w="211"/>
        <w:gridCol w:w="421"/>
        <w:gridCol w:w="326"/>
        <w:gridCol w:w="211"/>
        <w:gridCol w:w="421"/>
        <w:gridCol w:w="326"/>
        <w:gridCol w:w="211"/>
        <w:gridCol w:w="421"/>
        <w:gridCol w:w="326"/>
        <w:gridCol w:w="211"/>
        <w:gridCol w:w="421"/>
        <w:gridCol w:w="326"/>
        <w:gridCol w:w="295"/>
        <w:gridCol w:w="591"/>
        <w:gridCol w:w="326"/>
        <w:gridCol w:w="211"/>
        <w:gridCol w:w="67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591310" cy="175260"/>
                      <wp:effectExtent l="0" t="0" r="0" b="0"/>
                      <wp:wrapNone/>
                      <wp:docPr id="201" name="Frame20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90500" cy="175260"/>
                      <wp:effectExtent l="0" t="0" r="0" b="0"/>
                      <wp:wrapNone/>
                      <wp:docPr id="203" name="Frame203"/>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81635" cy="175260"/>
                      <wp:effectExtent l="0" t="0" r="0" b="0"/>
                      <wp:wrapNone/>
                      <wp:docPr id="204" name="Frame20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67335" cy="175260"/>
                      <wp:effectExtent l="0" t="0" r="0" b="0"/>
                      <wp:wrapNone/>
                      <wp:docPr id="207" name="Frame20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67335" cy="175260"/>
                      <wp:effectExtent l="0" t="0" r="0" b="0"/>
                      <wp:wrapNone/>
                      <wp:docPr id="210" name="Frame21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67335" cy="175260"/>
                      <wp:effectExtent l="0" t="0" r="0" b="0"/>
                      <wp:wrapNone/>
                      <wp:docPr id="213" name="Frame21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67335" cy="175260"/>
                      <wp:effectExtent l="0" t="0" r="0" b="0"/>
                      <wp:wrapNone/>
                      <wp:docPr id="216" name="Frame21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87325" cy="175260"/>
                      <wp:effectExtent l="0" t="0" r="0" b="0"/>
                      <wp:wrapNone/>
                      <wp:docPr id="218" name="Frame21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75285" cy="175260"/>
                      <wp:effectExtent l="0" t="0" r="0" b="0"/>
                      <wp:wrapNone/>
                      <wp:docPr id="219" name="Frame219"/>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29260" cy="175260"/>
                      <wp:effectExtent l="0" t="0" r="0" b="0"/>
                      <wp:wrapNone/>
                      <wp:docPr id="222" name="Frame2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Remainder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2024</w:t>
            </w:r>
          </w:p>
        </w:tc>
        <w:tc>
          <w:tcPr>
            <w:tcW w:w="326" w:type="dxa"/>
            <w:tcBorders/>
            <w:vAlign w:val="center"/>
          </w:tcPr>
          <w:p>
            <w:pPr>
              <w:pStyle w:val="TableContents"/>
              <w:bidi w:val="0"/>
              <w:spacing w:before="0" w:after="1"/>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1"/>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1"/>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Future amortization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shd w:fill="CCEEFF" w:val="clear"/>
            <w:vAlign w:val="center"/>
          </w:tcPr>
          <w:p>
            <w:pPr>
              <w:pStyle w:val="TableContents"/>
              <w:bidi w:val="0"/>
              <w:spacing w:before="0" w:after="1"/>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1,831</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55" w:name="Tc_jfVz-n2BGUC2zUd1MrV7Aw_14_9"/>
      <w:bookmarkStart w:id="1056" w:name="Tc_BnMBLZLPQkaY8fyhfkgobA_14_6"/>
      <w:bookmarkStart w:id="1057" w:name="Tc_E4FpXDJiiUKoa3OZmHr9yA_14_0"/>
      <w:bookmarkStart w:id="1058" w:name="Tc_f71bTXrAQ0-rAYD56PaEbA_13_9"/>
      <w:bookmarkStart w:id="1059" w:name="Tc_F7ONOkw650WupfEeoZlrEA_13_0"/>
      <w:bookmarkStart w:id="1060" w:name="Tc_alJbLS34wkq0ReEajd6iVw_12_0"/>
      <w:bookmarkStart w:id="1061" w:name="Tc_x0m9V80HL0-PQMCyjBHizA_11_0"/>
      <w:bookmarkStart w:id="1062" w:name="Tc_GQIDO9KzvkqEE5K5jQYi0Q_10_11"/>
      <w:bookmarkStart w:id="1063" w:name="Tc_4y2VrF-zX06zl0s08BOXrg_10_8"/>
      <w:bookmarkStart w:id="1064" w:name="Tc_XJj002P7mkqW7Gvr3S0gAQ_10_5"/>
      <w:bookmarkStart w:id="1065" w:name="Tc_da-tUrdMv0-krGvlpNAtdA_10_2"/>
      <w:bookmarkStart w:id="1066" w:name="Tc_zUq_elULn0iQUF-TTP9VHw_10_0"/>
      <w:bookmarkStart w:id="1067" w:name="Tc_FyQk7IGx8EivAUA45NST0Q_9_9"/>
      <w:bookmarkStart w:id="1068" w:name="Tc_BBu2QEg9fU20R6z833VqfA_9_0"/>
      <w:bookmarkStart w:id="1069" w:name="Tc_mR3DsLfPZEas1JnRKNQGrQ_8_0"/>
      <w:bookmarkStart w:id="1070" w:name="Tc_b5BW-y1GhkO6Os_l8xsJPg_7_9"/>
      <w:bookmarkStart w:id="1071" w:name="Tc_yIicK5VkZEGJRgmnnRbRKQ_7_0"/>
      <w:bookmarkStart w:id="1072" w:name="Tc_43YViPUs3UuIqSEl5v5OYg_6_0"/>
      <w:bookmarkStart w:id="1073" w:name="Tc_qZe2jF4dX0yNvpkwZ4wltA_5_11"/>
      <w:bookmarkStart w:id="1074" w:name="Tc_EjA8-1kHQ0eSr2uInLYOPA_5_9"/>
      <w:bookmarkStart w:id="1075" w:name="Tc_jkjPfV-hCUuyaO0gVIjACA_5_8"/>
      <w:bookmarkStart w:id="1076" w:name="Tc_8XIcENhFY0y6oPZferjceg_5_5"/>
      <w:bookmarkStart w:id="1077" w:name="Tc_OU1ZXcQVEUi4O0gogfe66w_5_2"/>
      <w:bookmarkStart w:id="1078" w:name="Tc_PUowcXXepEuXWMRLQjj5zQ_5_0"/>
      <w:bookmarkStart w:id="1079" w:name="Tc__AvHdguwnE-wHoOuDEJRCg_4_11"/>
      <w:bookmarkStart w:id="1080" w:name="Tc_JpjzB7e0OEuyDjObXK6uyw_4_8"/>
      <w:bookmarkStart w:id="1081" w:name="Tc_Jqjc9NQvZ0aHwBuU4pRXgg_4_5"/>
      <w:bookmarkStart w:id="1082" w:name="Tc_8JZg6LX4iUix9EvTbpnfwA_4_2"/>
      <w:bookmarkStart w:id="1083" w:name="Tc_LhV9t32wqEaoFC6WSawAKg_4_0"/>
      <w:bookmarkStart w:id="1084" w:name="Tc_Lshw5QMIIEqiQA_42Eznsg_3_8"/>
      <w:bookmarkStart w:id="1085" w:name="Tc_ph96ZP9iPUOJnNin031mdA_2_8"/>
      <w:bookmarkStart w:id="1086" w:name="Tc_mhwdgnXtkEeMJSArllr6rg_1_2"/>
      <w:bookmarkStart w:id="1087" w:name="_af5a1fc3_4ae6_48c1_8bbd_f418e82213de"/>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r>
        <w:rPr>
          <w:rFonts w:ascii="Times New Roman;Times;serif" w:hAnsi="Times New Roman;Times;serif"/>
          <w:b/>
          <w:sz w:val="20"/>
        </w:rPr>
        <w:t>NOTE 9 - SEGMENT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Mobileye is the Company’s only reportable operating segment and Moovit is presented within “Other” as per ASC 280, Segment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Segment performance is the operating income reported excluding the amortization of acquisition-related intangible assets. The CODM uses segment performance to allocate resources (including employees and financial resources) to segments in the annual budget and forecasting process and also uses that measure to assess the segment performance. The measure of assets has not been disclosed for each segment as it is not regularly reviewed by the CODM.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accounting policies of the individual segments are the same as those described in the summary of significant accounting policies in Note 2 to the audited consolidated financial statements for the fiscal year ended December 30,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are segment results for each period as follows:</w:t>
      </w:r>
    </w:p>
    <w:p>
      <w:pPr>
        <w:pStyle w:val="TextBody"/>
        <w:bidi w:val="0"/>
        <w:spacing w:before="0" w:after="0"/>
        <w:ind w:left="0" w:right="0" w:hanging="0"/>
        <w:jc w:val="left"/>
        <w:rPr/>
      </w:pPr>
      <w:r>
        <w:rPr/>
        <w:t>​</w:t>
      </w:r>
    </w:p>
    <w:tbl>
      <w:tblPr>
        <w:tblW w:w="8180" w:type="dxa"/>
        <w:jc w:val="left"/>
        <w:tblInd w:w="0" w:type="dxa"/>
        <w:tblLayout w:type="fixed"/>
        <w:tblCellMar>
          <w:top w:w="0" w:type="dxa"/>
          <w:left w:w="0" w:type="dxa"/>
          <w:bottom w:w="0" w:type="dxa"/>
          <w:right w:w="0" w:type="dxa"/>
        </w:tblCellMar>
      </w:tblPr>
      <w:tblGrid>
        <w:gridCol w:w="3376"/>
        <w:gridCol w:w="326"/>
        <w:gridCol w:w="255"/>
        <w:gridCol w:w="511"/>
        <w:gridCol w:w="326"/>
        <w:gridCol w:w="211"/>
        <w:gridCol w:w="346"/>
        <w:gridCol w:w="326"/>
        <w:gridCol w:w="329"/>
        <w:gridCol w:w="752"/>
        <w:gridCol w:w="326"/>
        <w:gridCol w:w="341"/>
        <w:gridCol w:w="755"/>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43760" cy="175260"/>
                      <wp:effectExtent l="0" t="0" r="0" b="0"/>
                      <wp:wrapNone/>
                      <wp:docPr id="223" name="Frame223"/>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61925" cy="175260"/>
                      <wp:effectExtent l="0" t="0" r="0" b="0"/>
                      <wp:wrapNone/>
                      <wp:docPr id="225" name="Frame22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24485" cy="175260"/>
                      <wp:effectExtent l="0" t="0" r="0" b="0"/>
                      <wp:wrapNone/>
                      <wp:docPr id="226" name="Frame22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8915" cy="175260"/>
                      <wp:effectExtent l="0" t="0" r="0" b="0"/>
                      <wp:wrapNone/>
                      <wp:docPr id="231" name="Frame231"/>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77520" cy="175260"/>
                      <wp:effectExtent l="0" t="0" r="0" b="0"/>
                      <wp:wrapNone/>
                      <wp:docPr id="232" name="Frame232"/>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6535" cy="175260"/>
                      <wp:effectExtent l="0" t="0" r="0" b="0"/>
                      <wp:wrapNone/>
                      <wp:docPr id="234" name="Frame234"/>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79425" cy="175260"/>
                      <wp:effectExtent l="0" t="0" r="0" b="0"/>
                      <wp:wrapNone/>
                      <wp:docPr id="235" name="Frame235"/>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47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29, 2024</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not </w:t>
            </w:r>
          </w:p>
        </w:tc>
        <w:tc>
          <w:tcPr>
            <w:tcW w:w="326" w:type="dxa"/>
            <w:tcBorders/>
            <w:vAlign w:val="center"/>
          </w:tcPr>
          <w:p>
            <w:pPr>
              <w:pStyle w:val="TableContents"/>
              <w:bidi w:val="0"/>
              <w:spacing w:before="0" w:after="0"/>
              <w:ind w:left="0" w:right="0" w:hanging="0"/>
              <w:jc w:val="center"/>
              <w:rPr/>
            </w:pPr>
            <w:r>
              <w:rPr/>
              <w:t>​</w:t>
            </w:r>
          </w:p>
        </w:tc>
        <w:tc>
          <w:tcPr>
            <w:tcW w:w="341"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allocated to </w:t>
            </w:r>
          </w:p>
        </w:tc>
        <w:tc>
          <w:tcPr>
            <w:tcW w:w="326" w:type="dxa"/>
            <w:tcBorders/>
            <w:vAlign w:val="center"/>
          </w:tcPr>
          <w:p>
            <w:pPr>
              <w:pStyle w:val="TableContents"/>
              <w:bidi w:val="0"/>
              <w:spacing w:before="0" w:after="0"/>
              <w:ind w:left="0" w:right="0" w:hanging="0"/>
              <w:jc w:val="center"/>
              <w:rPr/>
            </w:pPr>
            <w:r>
              <w:rPr/>
              <w:t>​</w:t>
            </w:r>
          </w:p>
        </w:tc>
        <w:tc>
          <w:tcPr>
            <w:tcW w:w="341"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center"/>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326" w:type="dxa"/>
            <w:tcBorders/>
            <w:vAlign w:val="center"/>
          </w:tcPr>
          <w:p>
            <w:pPr>
              <w:pStyle w:val="TableContents"/>
              <w:bidi w:val="0"/>
              <w:spacing w:before="0" w:after="0"/>
              <w:ind w:left="0" w:right="0" w:hanging="0"/>
              <w:jc w:val="center"/>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26" w:type="dxa"/>
            <w:tcBorders/>
            <w:vAlign w:val="center"/>
          </w:tcPr>
          <w:p>
            <w:pPr>
              <w:pStyle w:val="TableContents"/>
              <w:bidi w:val="0"/>
              <w:spacing w:before="0" w:after="0"/>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2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income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bookmarkStart w:id="1088" w:name="Tc_GlX-nTow3U2VsPTs_kXVXA_14_9"/>
      <w:bookmarkStart w:id="1089" w:name="Tc_zg9ByfeI8E2bk7EUufDdmA_14_6"/>
      <w:bookmarkStart w:id="1090" w:name="Tc_2oclibtKtEOCABPBVUowIw_14_0"/>
      <w:bookmarkStart w:id="1091" w:name="Tc_vmekWaFv-k-uffx1B408oQ_13_9"/>
      <w:bookmarkStart w:id="1092" w:name="Tc_3jAReb-5UUurUIRp3ye2QQ_13_0"/>
      <w:bookmarkStart w:id="1093" w:name="Tc_okYACPPLl0-FixDbqAHRPQ_12_9"/>
      <w:bookmarkStart w:id="1094" w:name="Tc_a_ZC2ypsVUWUBQ3Qg2rggQ_12_6"/>
      <w:bookmarkStart w:id="1095" w:name="Tc_OGbTYtmiPE635Cw81u0O8Q_12_3"/>
      <w:bookmarkStart w:id="1096" w:name="Tc_wbjt_dzGM0u0CtvRMGzqRg_12_0"/>
      <w:bookmarkStart w:id="1097" w:name="Tc_60IRB4AQr02qG4MFWIfbSw_11_9"/>
      <w:bookmarkStart w:id="1098" w:name="Tc_9YFwVBW0gUSiel9ZRp-zjw_11_6"/>
      <w:bookmarkStart w:id="1099" w:name="Tc_100hEQvZE0OpMKv9vnWOJw_11_3"/>
      <w:bookmarkStart w:id="1100" w:name="Tc_kLxF_q9HIUSLqPfXN2uPsA_11_0"/>
      <w:bookmarkStart w:id="1101" w:name="Tc_cweeVRBdw06cH7m3l3jFNg_10_11"/>
      <w:bookmarkStart w:id="1102" w:name="Tc_wOw_06Ec2UqJNFXGjm3RbA_10_8"/>
      <w:bookmarkStart w:id="1103" w:name="Tc_DkTib_gEvkqHd3TEBycaog_10_5"/>
      <w:bookmarkStart w:id="1104" w:name="Tc_cSIXE_09dkC3OgLH9yM1Tw_10_2"/>
      <w:bookmarkStart w:id="1105" w:name="Tc_HVGEZ_YBHEGOtpLIY0Xs5g_10_0"/>
      <w:bookmarkStart w:id="1106" w:name="Tc_R__zg3vo4UOtDSDsFvWH8Q_9_9"/>
      <w:bookmarkStart w:id="1107" w:name="Tc_t8t0Uc-IZ0S_Wj9xM8HYzg_9_0"/>
      <w:bookmarkStart w:id="1108" w:name="Tc_q7FOTV0pjUCHFiSnNqE8gw_8_0"/>
      <w:bookmarkStart w:id="1109" w:name="Tc_M5VHj9dJ7U2sswd9hWhgAQ_7_9"/>
      <w:bookmarkStart w:id="1110" w:name="Tc_0CTmJzOeOUmNBDOb22NhlA_7_0"/>
      <w:bookmarkStart w:id="1111" w:name="Tc_Kv7oESH_cUmKvsKUCP4nSA_6_0"/>
      <w:bookmarkStart w:id="1112" w:name="Tc_znpYVSP6uk60VKNyD4CvUQ_5_11"/>
      <w:bookmarkStart w:id="1113" w:name="Tc_IsJ-CR6vCUSWPs2Mtcv-nQ_5_9"/>
      <w:bookmarkStart w:id="1114" w:name="Tc_trdT0tV59UCRcH0xpl0LbQ_5_8"/>
      <w:bookmarkStart w:id="1115" w:name="Tc_8KzyLp6WQ06i5zu0K8X2Kw_5_5"/>
      <w:bookmarkStart w:id="1116" w:name="Tc_TGZpjb0HOkKLhfwxacdnEw_5_2"/>
      <w:bookmarkStart w:id="1117" w:name="Tc_tibusQdRikW4FvbBpmwRqA_5_0"/>
      <w:bookmarkStart w:id="1118" w:name="Tc_sVw1vuvQfUm4rpVfIEyUtA_4_11"/>
      <w:bookmarkStart w:id="1119" w:name="Tc_J05P_4-UuU2ANePkRGi9Kg_4_8"/>
      <w:bookmarkStart w:id="1120" w:name="Tc_MYs2Qz1vEkSnc-UxerCpFA_4_5"/>
      <w:bookmarkStart w:id="1121" w:name="Tc_a6AHD62TIkmIdFJgzRnJYg_4_2"/>
      <w:bookmarkStart w:id="1122" w:name="Tc_Da9R-Jcv8Em9JE4lkXUSsQ_4_0"/>
      <w:bookmarkStart w:id="1123" w:name="Tc_GixRTeqTy0CNG7O3ZHZSKA_3_8"/>
      <w:bookmarkStart w:id="1124" w:name="Tc_JDYcQ788OEa-hTPHUfaFjQ_2_8"/>
      <w:bookmarkStart w:id="1125" w:name="Tc_38x2uraGA0KqrkjEz9Vf7g_1_2"/>
      <w:bookmarkStart w:id="1126" w:name="_3d6337d0_a7b3_4bdc_aeb6_b42d7d2f023b"/>
      <w:bookmarkStart w:id="1127" w:name="Tc_8LVwIqtzJUudMdwan3szYg_14_9"/>
      <w:bookmarkStart w:id="1128" w:name="Tc_U0G20VdPqUy0ISkIA1s6Jw_14_6"/>
      <w:bookmarkStart w:id="1129" w:name="Tc_dPNQQSHM5kqDhTMpR0UFRA_14_0"/>
      <w:bookmarkStart w:id="1130" w:name="Tc_y9k5KxSft0u1q_DBu9ERkw_13_9"/>
      <w:bookmarkStart w:id="1131" w:name="Tc_JzBRkQokRkWKoOhIQX2KWg_13_0"/>
      <w:bookmarkStart w:id="1132" w:name="Tc_wcEqW4GsfEiO7FcC5KqzhQ_12_9"/>
      <w:bookmarkStart w:id="1133" w:name="Tc_7PTLwUY4EEyHbomknEHGOg_12_6"/>
      <w:bookmarkStart w:id="1134" w:name="Tc_c4gZK-LqVkmZR08EUNHZqQ_12_3"/>
      <w:bookmarkStart w:id="1135" w:name="Tc_35SA3ksJ8EWjSGBAYv7mbQ_12_0"/>
      <w:bookmarkStart w:id="1136" w:name="Tc_aPBq2CpcO0CTV_gYOuW-Ug_11_9"/>
      <w:bookmarkStart w:id="1137" w:name="Tc_aKyzsqmgmUyV-Z6r-U0A2Q_11_6"/>
      <w:bookmarkStart w:id="1138" w:name="Tc_7UCNEZzKZ0iZ7w1C-hhPYw_11_3"/>
      <w:bookmarkStart w:id="1139" w:name="Tc_gxspeDQsXEm7HVINvBJyEw_11_0"/>
      <w:bookmarkStart w:id="1140" w:name="Tc_4vPi4CvulESftoX6DHqsng_10_11"/>
      <w:bookmarkStart w:id="1141" w:name="Tc_N7bT5wAieUGFCtlxAS9dtg_10_8"/>
      <w:bookmarkStart w:id="1142" w:name="Tc_IX0RLIcvkkKfzkAxxloATw_10_5"/>
      <w:bookmarkStart w:id="1143" w:name="Tc_M6WL2bNWHkO1HzqxSjrYcw_10_2"/>
      <w:bookmarkStart w:id="1144" w:name="Tc_CWcPd6IuDkaTVmzEG8wq2w_10_0"/>
      <w:bookmarkStart w:id="1145" w:name="Tc_A4qb7D7UbEeKDRLVPSTt9g_9_9"/>
      <w:bookmarkStart w:id="1146" w:name="Tc_z46tPPh8Rk-ShKgd39wrsQ_9_0"/>
      <w:bookmarkStart w:id="1147" w:name="Tc__DuXaKDN5kOmQt91ri2sMw_8_0"/>
      <w:bookmarkStart w:id="1148" w:name="Tc_lVvgSfBH7UeKP2UdUWL3og_7_9"/>
      <w:bookmarkStart w:id="1149" w:name="Tc_E7bKVMpzyE2lj35v2PtH7g_7_0"/>
      <w:bookmarkStart w:id="1150" w:name="Tc_TQvot5plU0O1BXGkuek-Gw_6_0"/>
      <w:bookmarkStart w:id="1151" w:name="Tc_VPeKvvIGc0mqutvTZW6X3w_5_11"/>
      <w:bookmarkStart w:id="1152" w:name="Tc_sZTLifHty0GiulQYhEjcpQ_5_9"/>
      <w:bookmarkStart w:id="1153" w:name="Tc_ubi8VJgnf0GFRrUh2ir59w_5_8"/>
      <w:bookmarkStart w:id="1154" w:name="Tc_6c-eWzwHT06JyuuQDMfRTw_5_5"/>
      <w:bookmarkStart w:id="1155" w:name="Tc_ISIWlzLD3EOVBK7cCtXdTw_5_2"/>
      <w:bookmarkStart w:id="1156" w:name="Tc_izDA11FCdk23AKw66Bs8rg_5_0"/>
      <w:bookmarkStart w:id="1157" w:name="Tc_lKew0kcSbEuqFKGLumxdXg_4_11"/>
      <w:bookmarkStart w:id="1158" w:name="Tc_GZXRsaTf10uOKoCG0aa72g_4_8"/>
      <w:bookmarkStart w:id="1159" w:name="Tc_D93ceoHYBUe6WTD58D2tQw_4_5"/>
      <w:bookmarkStart w:id="1160" w:name="Tc_CIaDH99VckaGvYa1ZBQapA_4_2"/>
      <w:bookmarkStart w:id="1161" w:name="Tc_5963a597x0y56NSCs31O4w_4_0"/>
      <w:bookmarkStart w:id="1162" w:name="Tc_rkt5mhYBx0WoMjmltHYNcA_3_8"/>
      <w:bookmarkStart w:id="1163" w:name="Tc_bQQhksgdr0SQxIb3Ezymuw_2_8"/>
      <w:bookmarkStart w:id="1164" w:name="Tc_n7BmFCqnRESV03djfKlAtw_1_2"/>
      <w:bookmarkStart w:id="1165" w:name="_a2ef91ac_c711_4143_8c72_ad48b8e38000"/>
      <w:bookmarkStart w:id="1166" w:name="Tc_VTslJqYF2UeNmNTJQGEXGw_14_9"/>
      <w:bookmarkStart w:id="1167" w:name="Tc_D-lcSPR0FESqIQJ8dvs0Lw_14_6"/>
      <w:bookmarkStart w:id="1168" w:name="Tc_bQI8cNxZzEOnwrlukgtfRA_14_0"/>
      <w:bookmarkStart w:id="1169" w:name="Tc_iU4AmFYOy0mmitk7cO8BMw_13_9"/>
      <w:bookmarkStart w:id="1170" w:name="Tc_GvOemfytgkShnDIHRvpjuQ_13_0"/>
      <w:bookmarkStart w:id="1171" w:name="Tc_uunsYSBGoEi9Zb0Ybrrm_w_12_0"/>
      <w:bookmarkStart w:id="1172" w:name="Tc_2jOq62F50EmQM4c6KV3VRw_11_0"/>
      <w:bookmarkStart w:id="1173" w:name="Tc_E-nnYmgH_kKzXWECSFlLRA_10_11"/>
      <w:bookmarkStart w:id="1174" w:name="Tc_QVLS9_zobUuo2dgPcFykkw_10_8"/>
      <w:bookmarkStart w:id="1175" w:name="Tc_YWcfcW5NWkmzTEArb_Fbbw_10_5"/>
      <w:bookmarkStart w:id="1176" w:name="Tc_4mP7nQtdg0SS2EYAzQ1BwQ_10_2"/>
      <w:bookmarkStart w:id="1177" w:name="Tc_JwPpIYC6jE2iwxfcKK7-pA_10_0"/>
      <w:bookmarkStart w:id="1178" w:name="Tc_TtKHMqmf80iCy00i11DNmw_9_9"/>
      <w:bookmarkStart w:id="1179" w:name="Tc_-oyPH19mlkWaLe_sJdn9hg_9_0"/>
      <w:bookmarkStart w:id="1180" w:name="Tc_TCGqw_Ap-kCafwPpIayKqw_8_0"/>
      <w:bookmarkStart w:id="1181" w:name="Tc_W7xwW3kWMkSgm_PM89SGzQ_7_9"/>
      <w:bookmarkStart w:id="1182" w:name="Tc_6ZREf4AP202EpMKa57eTqw_7_0"/>
      <w:bookmarkStart w:id="1183" w:name="Tc_vM7D9M7FHUu44ta0A8QYkQ_6_0"/>
      <w:bookmarkStart w:id="1184" w:name="Tc__f26EPhzjUmBSJlU2L6hng_5_11"/>
      <w:bookmarkStart w:id="1185" w:name="Tc_Pf4NY0ti7EmyV8Yll6nJsg_5_9"/>
      <w:bookmarkStart w:id="1186" w:name="Tc_DmrGSI2AqUyQIT1EUBQwRQ_5_8"/>
      <w:bookmarkStart w:id="1187" w:name="Tc_-7ejF_NoOkK9qH0Q5elDMQ_5_5"/>
      <w:bookmarkStart w:id="1188" w:name="Tc_ySiyBLAjq0OO1xsyN7jT-g_5_2"/>
      <w:bookmarkStart w:id="1189" w:name="Tc_4-OCCUDOE0iiRD2pnrJIXQ_5_0"/>
      <w:bookmarkStart w:id="1190" w:name="Tc_qQD3eJXzHkisqWjqMEHR_Q_4_11"/>
      <w:bookmarkStart w:id="1191" w:name="Tc_-4z7VjdAh0mwQ6lqAGdsQg_4_8"/>
      <w:bookmarkStart w:id="1192" w:name="Tc_B3wpOPRkEUSDry-PwU9gYw_4_5"/>
      <w:bookmarkStart w:id="1193" w:name="Tc_7AbxD_5rXU2oBlKiWLIBnQ_4_2"/>
      <w:bookmarkStart w:id="1194" w:name="Tc_1Js7H8kkckmVT9PZnM0ZrA_4_0"/>
      <w:bookmarkStart w:id="1195" w:name="Tc_b2f6q20FKEes97dwHL7fjg_3_8"/>
      <w:bookmarkStart w:id="1196" w:name="Tc_x-PlMZZgDESuE74NqSgEpg_2_8"/>
      <w:bookmarkStart w:id="1197" w:name="Tc_e6s-fsHr8EmBw13-k9s4Cg_1_2"/>
      <w:bookmarkStart w:id="1198" w:name="_435451f1_4a7c_4fd0_89e1_7f2632a3c6eb"/>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r>
        <w:rPr/>
        <w:t>​</w:t>
      </w:r>
    </w:p>
    <w:tbl>
      <w:tblPr>
        <w:tblW w:w="8180" w:type="dxa"/>
        <w:jc w:val="left"/>
        <w:tblInd w:w="0" w:type="dxa"/>
        <w:tblLayout w:type="fixed"/>
        <w:tblCellMar>
          <w:top w:w="0" w:type="dxa"/>
          <w:left w:w="0" w:type="dxa"/>
          <w:bottom w:w="0" w:type="dxa"/>
          <w:right w:w="0" w:type="dxa"/>
        </w:tblCellMar>
      </w:tblPr>
      <w:tblGrid>
        <w:gridCol w:w="3376"/>
        <w:gridCol w:w="326"/>
        <w:gridCol w:w="255"/>
        <w:gridCol w:w="511"/>
        <w:gridCol w:w="326"/>
        <w:gridCol w:w="211"/>
        <w:gridCol w:w="346"/>
        <w:gridCol w:w="326"/>
        <w:gridCol w:w="329"/>
        <w:gridCol w:w="752"/>
        <w:gridCol w:w="326"/>
        <w:gridCol w:w="341"/>
        <w:gridCol w:w="755"/>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43760" cy="175260"/>
                      <wp:effectExtent l="0" t="0" r="0" b="0"/>
                      <wp:wrapNone/>
                      <wp:docPr id="236" name="Frame236"/>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61925" cy="175260"/>
                      <wp:effectExtent l="0" t="0" r="0" b="0"/>
                      <wp:wrapNone/>
                      <wp:docPr id="238" name="Frame23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24485" cy="175260"/>
                      <wp:effectExtent l="0" t="0" r="0" b="0"/>
                      <wp:wrapNone/>
                      <wp:docPr id="239" name="Frame23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8915" cy="175260"/>
                      <wp:effectExtent l="0" t="0" r="0" b="0"/>
                      <wp:wrapNone/>
                      <wp:docPr id="244" name="Frame244"/>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77520" cy="175260"/>
                      <wp:effectExtent l="0" t="0" r="0" b="0"/>
                      <wp:wrapNone/>
                      <wp:docPr id="245" name="Frame245"/>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6535" cy="175260"/>
                      <wp:effectExtent l="0" t="0" r="0" b="0"/>
                      <wp:wrapNone/>
                      <wp:docPr id="247" name="Frame247"/>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79425" cy="175260"/>
                      <wp:effectExtent l="0" t="0" r="0" b="0"/>
                      <wp:wrapNone/>
                      <wp:docPr id="248" name="Frame248"/>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47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July 1, 2023</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not </w:t>
            </w:r>
          </w:p>
        </w:tc>
        <w:tc>
          <w:tcPr>
            <w:tcW w:w="326" w:type="dxa"/>
            <w:tcBorders/>
            <w:vAlign w:val="center"/>
          </w:tcPr>
          <w:p>
            <w:pPr>
              <w:pStyle w:val="TableContents"/>
              <w:bidi w:val="0"/>
              <w:spacing w:before="0" w:after="0"/>
              <w:ind w:left="0" w:right="0" w:hanging="0"/>
              <w:jc w:val="center"/>
              <w:rPr/>
            </w:pPr>
            <w:r>
              <w:rPr/>
              <w:t>    </w:t>
            </w:r>
          </w:p>
        </w:tc>
        <w:tc>
          <w:tcPr>
            <w:tcW w:w="341"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allocated to </w:t>
            </w:r>
          </w:p>
        </w:tc>
        <w:tc>
          <w:tcPr>
            <w:tcW w:w="326" w:type="dxa"/>
            <w:tcBorders/>
            <w:vAlign w:val="center"/>
          </w:tcPr>
          <w:p>
            <w:pPr>
              <w:pStyle w:val="TableContents"/>
              <w:bidi w:val="0"/>
              <w:spacing w:before="0" w:after="0"/>
              <w:ind w:left="0" w:right="0" w:hanging="0"/>
              <w:jc w:val="center"/>
              <w:rPr/>
            </w:pPr>
            <w:r>
              <w:rPr/>
              <w:t>​</w:t>
            </w:r>
          </w:p>
        </w:tc>
        <w:tc>
          <w:tcPr>
            <w:tcW w:w="341"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326" w:type="dxa"/>
            <w:tcBorders/>
            <w:vAlign w:val="center"/>
          </w:tcPr>
          <w:p>
            <w:pPr>
              <w:pStyle w:val="TableContents"/>
              <w:bidi w:val="0"/>
              <w:spacing w:before="0" w:after="0"/>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2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income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w:t>
            </w:r>
          </w:p>
        </w:tc>
      </w:tr>
    </w:tbl>
    <w:p>
      <w:pPr>
        <w:pStyle w:val="TextBody"/>
        <w:bidi w:val="0"/>
        <w:spacing w:before="0" w:after="0"/>
        <w:ind w:left="0" w:right="0" w:hanging="0"/>
        <w:jc w:val="left"/>
        <w:rPr/>
      </w:pPr>
      <w:r>
        <w:rPr/>
        <w:t>​</w:t>
      </w:r>
    </w:p>
    <w:tbl>
      <w:tblPr>
        <w:tblW w:w="8270" w:type="dxa"/>
        <w:jc w:val="left"/>
        <w:tblInd w:w="0" w:type="dxa"/>
        <w:tblLayout w:type="fixed"/>
        <w:tblCellMar>
          <w:top w:w="0" w:type="dxa"/>
          <w:left w:w="0" w:type="dxa"/>
          <w:bottom w:w="0" w:type="dxa"/>
          <w:right w:w="0" w:type="dxa"/>
        </w:tblCellMar>
      </w:tblPr>
      <w:tblGrid>
        <w:gridCol w:w="3376"/>
        <w:gridCol w:w="326"/>
        <w:gridCol w:w="255"/>
        <w:gridCol w:w="511"/>
        <w:gridCol w:w="326"/>
        <w:gridCol w:w="211"/>
        <w:gridCol w:w="436"/>
        <w:gridCol w:w="326"/>
        <w:gridCol w:w="329"/>
        <w:gridCol w:w="752"/>
        <w:gridCol w:w="326"/>
        <w:gridCol w:w="313"/>
        <w:gridCol w:w="783"/>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43760" cy="175260"/>
                      <wp:effectExtent l="0" t="0" r="0" b="0"/>
                      <wp:wrapNone/>
                      <wp:docPr id="249" name="Frame249"/>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1925" cy="175260"/>
                      <wp:effectExtent l="0" t="0" r="0" b="0"/>
                      <wp:wrapNone/>
                      <wp:docPr id="251" name="Frame25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24485" cy="175260"/>
                      <wp:effectExtent l="0" t="0" r="0" b="0"/>
                      <wp:wrapNone/>
                      <wp:docPr id="252" name="Frame25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76860" cy="175260"/>
                      <wp:effectExtent l="0" t="0" r="0" b="0"/>
                      <wp:wrapNone/>
                      <wp:docPr id="255" name="Frame25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8915" cy="175260"/>
                      <wp:effectExtent l="0" t="0" r="0" b="0"/>
                      <wp:wrapNone/>
                      <wp:docPr id="257" name="Frame257"/>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77520" cy="175260"/>
                      <wp:effectExtent l="0" t="0" r="0" b="0"/>
                      <wp:wrapNone/>
                      <wp:docPr id="258" name="Frame258"/>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98755" cy="175260"/>
                      <wp:effectExtent l="0" t="0" r="0" b="0"/>
                      <wp:wrapNone/>
                      <wp:docPr id="260" name="Frame260"/>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97205" cy="175260"/>
                      <wp:effectExtent l="0" t="0" r="0" b="0"/>
                      <wp:wrapNone/>
                      <wp:docPr id="261" name="Frame261"/>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56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29, 2024</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not </w:t>
            </w:r>
          </w:p>
        </w:tc>
        <w:tc>
          <w:tcPr>
            <w:tcW w:w="32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allocated to </w:t>
            </w:r>
          </w:p>
        </w:tc>
        <w:tc>
          <w:tcPr>
            <w:tcW w:w="326" w:type="dxa"/>
            <w:tcBorders/>
            <w:vAlign w:val="center"/>
          </w:tcPr>
          <w:p>
            <w:pPr>
              <w:pStyle w:val="TableContents"/>
              <w:bidi w:val="0"/>
              <w:spacing w:before="0" w:after="0"/>
              <w:ind w:left="0" w:right="0" w:hanging="0"/>
              <w:jc w:val="center"/>
              <w:rPr/>
            </w:pPr>
            <w:r>
              <w:rPr/>
              <w:t>​</w:t>
            </w:r>
          </w:p>
        </w:tc>
        <w:tc>
          <w:tcPr>
            <w:tcW w:w="313"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326" w:type="dxa"/>
            <w:tcBorders/>
            <w:vAlign w:val="center"/>
          </w:tcPr>
          <w:p>
            <w:pPr>
              <w:pStyle w:val="TableContents"/>
              <w:bidi w:val="0"/>
              <w:spacing w:before="0" w:after="0"/>
              <w:ind w:left="0" w:right="0" w:hanging="0"/>
              <w:jc w:val="center"/>
              <w:rPr/>
            </w:pPr>
            <w:r>
              <w:rPr/>
              <w:t>​</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2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(222)</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(332)</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income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(302)</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w:t>
            </w:r>
          </w:p>
        </w:tc>
      </w:tr>
    </w:tbl>
    <w:p>
      <w:pPr>
        <w:pStyle w:val="TextBody"/>
        <w:bidi w:val="0"/>
        <w:spacing w:before="0" w:after="0"/>
        <w:ind w:left="0" w:right="0" w:hanging="0"/>
        <w:jc w:val="left"/>
        <w:rPr/>
      </w:pPr>
      <w:r>
        <w:rPr/>
        <w:t>​</w:t>
      </w:r>
    </w:p>
    <w:tbl>
      <w:tblPr>
        <w:tblW w:w="8270" w:type="dxa"/>
        <w:jc w:val="left"/>
        <w:tblInd w:w="0" w:type="dxa"/>
        <w:tblLayout w:type="fixed"/>
        <w:tblCellMar>
          <w:top w:w="0" w:type="dxa"/>
          <w:left w:w="0" w:type="dxa"/>
          <w:bottom w:w="0" w:type="dxa"/>
          <w:right w:w="0" w:type="dxa"/>
        </w:tblCellMar>
      </w:tblPr>
      <w:tblGrid>
        <w:gridCol w:w="3376"/>
        <w:gridCol w:w="326"/>
        <w:gridCol w:w="255"/>
        <w:gridCol w:w="511"/>
        <w:gridCol w:w="326"/>
        <w:gridCol w:w="211"/>
        <w:gridCol w:w="436"/>
        <w:gridCol w:w="326"/>
        <w:gridCol w:w="329"/>
        <w:gridCol w:w="752"/>
        <w:gridCol w:w="326"/>
        <w:gridCol w:w="313"/>
        <w:gridCol w:w="783"/>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43760" cy="175260"/>
                      <wp:effectExtent l="0" t="0" r="0" b="0"/>
                      <wp:wrapNone/>
                      <wp:docPr id="262" name="Frame262"/>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61925" cy="175260"/>
                      <wp:effectExtent l="0" t="0" r="0" b="0"/>
                      <wp:wrapNone/>
                      <wp:docPr id="264" name="Frame26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24485" cy="175260"/>
                      <wp:effectExtent l="0" t="0" r="0" b="0"/>
                      <wp:wrapNone/>
                      <wp:docPr id="265" name="Frame26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76860" cy="175260"/>
                      <wp:effectExtent l="0" t="0" r="0" b="0"/>
                      <wp:wrapNone/>
                      <wp:docPr id="268" name="Frame26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8915" cy="175260"/>
                      <wp:effectExtent l="0" t="0" r="0" b="0"/>
                      <wp:wrapNone/>
                      <wp:docPr id="270" name="Frame270"/>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77520" cy="175260"/>
                      <wp:effectExtent l="0" t="0" r="0" b="0"/>
                      <wp:wrapNone/>
                      <wp:docPr id="271" name="Frame271"/>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98755" cy="175260"/>
                      <wp:effectExtent l="0" t="0" r="0" b="0"/>
                      <wp:wrapNone/>
                      <wp:docPr id="273" name="Frame273"/>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97205" cy="175260"/>
                      <wp:effectExtent l="0" t="0" r="0" b="0"/>
                      <wp:wrapNone/>
                      <wp:docPr id="274" name="Frame274"/>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56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July 1, 2023</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not </w:t>
            </w:r>
          </w:p>
        </w:tc>
        <w:tc>
          <w:tcPr>
            <w:tcW w:w="326" w:type="dxa"/>
            <w:tcBorders/>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allocated to </w:t>
            </w:r>
          </w:p>
        </w:tc>
        <w:tc>
          <w:tcPr>
            <w:tcW w:w="326" w:type="dxa"/>
            <w:tcBorders/>
            <w:vAlign w:val="center"/>
          </w:tcPr>
          <w:p>
            <w:pPr>
              <w:pStyle w:val="TableContents"/>
              <w:bidi w:val="0"/>
              <w:spacing w:before="0" w:after="0"/>
              <w:ind w:left="0" w:right="0" w:hanging="0"/>
              <w:jc w:val="center"/>
              <w:rPr/>
            </w:pPr>
            <w:r>
              <w:rPr/>
              <w:t>​</w:t>
            </w:r>
          </w:p>
        </w:tc>
        <w:tc>
          <w:tcPr>
            <w:tcW w:w="313"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326" w:type="dxa"/>
            <w:tcBorders/>
            <w:vAlign w:val="center"/>
          </w:tcPr>
          <w:p>
            <w:pPr>
              <w:pStyle w:val="TableContents"/>
              <w:bidi w:val="0"/>
              <w:spacing w:before="0" w:after="0"/>
              <w:ind w:left="0" w:right="0" w:hanging="0"/>
              <w:jc w:val="center"/>
              <w:rPr/>
            </w:pPr>
            <w:r>
              <w:rPr/>
              <w:t>​</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2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income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bookmarkStart w:id="1199" w:name="Tc_TTmQmRy6ukuJ_G-5QXRiBA_8_0"/>
      <w:bookmarkStart w:id="1200" w:name="Tc_M39jQ-lmo0mfzAtwl5lh3g_7_5"/>
      <w:bookmarkStart w:id="1201" w:name="Tc_xW8tkP1JgUWZvAsORFilKg_7_3"/>
      <w:bookmarkStart w:id="1202" w:name="Tc_9L1om6SApkq-gOrmCG9agg_7_0"/>
      <w:bookmarkStart w:id="1203" w:name="Tc_vfKYGIXpmECelN01eExW1A_6_5"/>
      <w:bookmarkStart w:id="1204" w:name="Tc_lOS8dhg8FEi1MXpwGZ9Deg_6_2"/>
      <w:bookmarkStart w:id="1205" w:name="Tc_RvxmOefN9UWxMfcjgw0anw_6_0"/>
      <w:bookmarkStart w:id="1206" w:name="Tc_nRoOJ58pEkm2qu0sdyTQBg_5_5"/>
      <w:bookmarkStart w:id="1207" w:name="Tc_Qi-4EzVbRUaEWZwIo_cNxQ_5_3"/>
      <w:bookmarkStart w:id="1208" w:name="Tc_G955UMKs6kySZ192HOKYVQ_5_0"/>
      <w:bookmarkStart w:id="1209" w:name="Tc_gCPYuKgvY0mO9ehi5JJGLw_4_0"/>
      <w:bookmarkStart w:id="1210" w:name="Tc_2b8gIv7SmE6-1EpG3I5CcQ_3_4"/>
      <w:bookmarkStart w:id="1211" w:name="Tc_E5iPkoPHQE2VUVmzy90Zbw_3_2"/>
      <w:bookmarkStart w:id="1212" w:name="Tc_G7wkontNaEy08vnWfDH7xg_2_4"/>
      <w:bookmarkStart w:id="1213" w:name="Tc_JMqQ5hj-70ultMozWavD4Q_2_2"/>
      <w:bookmarkStart w:id="1214" w:name="Tc_IRCg5g-tKkaVtLGiHHJkSA_1_2"/>
      <w:bookmarkStart w:id="1215" w:name="Tc_5LXOJdz7BkeMHT0VWy-WTA_11_0"/>
      <w:bookmarkStart w:id="1216" w:name="Tc_icAOm-AM0UCPZHqDZT303g_10_8"/>
      <w:bookmarkStart w:id="1217" w:name="Tc_-XvIgOC-F0KJeAz2oMS4Uw_10_7"/>
      <w:bookmarkStart w:id="1218" w:name="Tc_LtfS8xEX8EWOJCaJMWlQIw_10_4"/>
      <w:bookmarkStart w:id="1219" w:name="Tc_TmdneJH1RESAbaia_1Qvyw_10_2"/>
      <w:bookmarkStart w:id="1220" w:name="Tc_X56F1En3aE-l2ogBOZO6tA_10_0"/>
      <w:bookmarkStart w:id="1221" w:name="Tc_BZoqI63IvEGIUpusd9f6_g_9_8"/>
      <w:bookmarkStart w:id="1222" w:name="Tc_lIECaURBakGieJj1H0gYaw_9_7"/>
      <w:bookmarkStart w:id="1223" w:name="Tc_98DNJL9RGEq78uvUzvpvNQ_9_4"/>
      <w:bookmarkStart w:id="1224" w:name="Tc_Ihe_QeDxF06gOjv1k383SA_9_3"/>
      <w:bookmarkStart w:id="1225" w:name="Tc_gsHX9yN4BUi9uD9uSTStQg_9_0"/>
      <w:bookmarkStart w:id="1226" w:name="Tc_YXoMbcoeq02mnDoRK6lBNA_8_8"/>
      <w:bookmarkStart w:id="1227" w:name="Tc_aC3mCO2jqkaoZ9Q65ET5Ag_8_7"/>
      <w:bookmarkStart w:id="1228" w:name="Tc_dMLC9zWktkuaXkpN05plfg_8_4"/>
      <w:bookmarkStart w:id="1229" w:name="Tc_LwGvuckyhUm6q9mcdjLhbQ_8_2"/>
      <w:bookmarkStart w:id="1230" w:name="Tc_1-XpdzuwUUStOQ2qThqw_g_8_0"/>
      <w:bookmarkStart w:id="1231" w:name="Tc_Em6ajOWK_kiVEIdoxgw9lg_7_9"/>
      <w:bookmarkStart w:id="1232" w:name="Tc_9MNVCA8e6kGS3laI1-r9OA_7_7"/>
      <w:bookmarkStart w:id="1233" w:name="Tc_X9CowgRk20auVFGaoNWqYA_7_5"/>
      <w:bookmarkStart w:id="1234" w:name="Tc_4QGv1GbmfkKEffoZ6ET8Fw_7_3"/>
      <w:bookmarkStart w:id="1235" w:name="Tc_NXr74Hwf0kitUkF2zIquhg_7_0"/>
      <w:bookmarkStart w:id="1236" w:name="Tc_sGuI73YCyUq342nRCMzVyw_6_9"/>
      <w:bookmarkStart w:id="1237" w:name="Tc_k52OiRd160CANcWPgYZqrw_6_7"/>
      <w:bookmarkStart w:id="1238" w:name="Tc_quKfuksULk-ZWw0VRN_b2w_6_5"/>
      <w:bookmarkStart w:id="1239" w:name="Tc_pS1PBL5SSkyGcb5LRJcLzQ_6_3"/>
      <w:bookmarkStart w:id="1240" w:name="Tc_mI17fhYLyEKFp_Z15A0dpw_6_0"/>
      <w:bookmarkStart w:id="1241" w:name="Tc_r_gaBag5oU221fCKDP0t-w_5_9"/>
      <w:bookmarkStart w:id="1242" w:name="Tc_NoGdOWVaZ068KoHyZ9dJrw_5_7"/>
      <w:bookmarkStart w:id="1243" w:name="Tc_oDuu_AgglUCnmyhAcrb8jg_5_5"/>
      <w:bookmarkStart w:id="1244" w:name="Tc_ygO9ibZ7x0qz7rkqq7DaFw_5_3"/>
      <w:bookmarkStart w:id="1245" w:name="Tc_M9w09xOuW0iMyOUvCvshCA_5_0"/>
      <w:bookmarkStart w:id="1246" w:name="Tc_6XEVtkRQFkecFGjkNDzgvQ_4_0"/>
      <w:bookmarkStart w:id="1247" w:name="Tc_mUODTAXxnUyCW0Y5EGGA_g_3_8"/>
      <w:bookmarkStart w:id="1248" w:name="Tc_iSvl6dDF_EuY8iLnyH2u5Q_3_6"/>
      <w:bookmarkStart w:id="1249" w:name="Tc_fSPZ_nf5jEWjjORXt7HtrA_3_4"/>
      <w:bookmarkStart w:id="1250" w:name="Tc_fmdZ63DCGkyrEno-xgOqKw_3_2"/>
      <w:bookmarkStart w:id="1251" w:name="Tc_w2PStCy3VU6kn3Pw7QYj-Q_2_8"/>
      <w:bookmarkStart w:id="1252" w:name="Tc_vVq32zQ82Ua2eRhL8_WN-Q_2_6"/>
      <w:bookmarkStart w:id="1253" w:name="Tc__lrHTv7yw02Nv1E8X42rxA_2_4"/>
      <w:bookmarkStart w:id="1254" w:name="Tc_7NLhyFaC9kmAfbbUG4kVYA_2_2"/>
      <w:bookmarkStart w:id="1255" w:name="Tc_aMNlL7xo0EacoxNxFKWVyw_1_6"/>
      <w:bookmarkStart w:id="1256" w:name="Tc_EfxZ_b-nZ0-o9OTATLF9VQ_1_2"/>
      <w:bookmarkStart w:id="1257" w:name="Tc_gS60j_6PDUG0zTv7VMb7Zg_15_11"/>
      <w:bookmarkStart w:id="1258" w:name="Tc_l22NIRpMBUiCltZDXBY4JA_15_8"/>
      <w:bookmarkStart w:id="1259" w:name="Tc_YtR-BV4DuEqMPBCWkbHy4Q_15_5"/>
      <w:bookmarkStart w:id="1260" w:name="Tc_ibVq_bd0YUuzUSBzdvKTXg_15_2"/>
      <w:bookmarkStart w:id="1261" w:name="Tc_MutLcpGcs02IOYuuG_eGCg_15_0"/>
      <w:bookmarkStart w:id="1262" w:name="Tc_PlM8Ysu8P0uJv3uFqOiSBw_14_0"/>
      <w:bookmarkStart w:id="1263" w:name="Tc_tFn6J4dZ-kKE6B6dx_c2BA_13_12"/>
      <w:bookmarkStart w:id="1264" w:name="Tc_IcUlChuPu0qY8gvwlTcqpQ_13_6"/>
      <w:bookmarkStart w:id="1265" w:name="Tc_G_7xlJVnB0KxBXCK-PMqow_13_0"/>
      <w:bookmarkStart w:id="1266" w:name="Tc_DlOakThQ70aaRri7vGtcTA_12_12"/>
      <w:bookmarkStart w:id="1267" w:name="Tc_I_XXGuWGkUS0GJA0V55mYA_12_6"/>
      <w:bookmarkStart w:id="1268" w:name="Tc_0FZ_dudlfE6LIyivwptlqQ_12_0"/>
      <w:bookmarkStart w:id="1269" w:name="Tc_CwtHjt3dk0SvBHESFXpBEA_11_0"/>
      <w:bookmarkStart w:id="1270" w:name="Tc_wyTOfazKHUadgfojhc4ZRg_10_0"/>
      <w:bookmarkStart w:id="1271" w:name="Tc_ct4Sx2aEzkqQOnCB28soFg_9_0"/>
      <w:bookmarkStart w:id="1272" w:name="Tc_NzdB_KrYsUaaGVobP8AXiQ_8_0"/>
      <w:bookmarkStart w:id="1273" w:name="Tc_e5ke69P9m06g9os1EvOOMw_7_0"/>
      <w:bookmarkStart w:id="1274" w:name="Tc_b88RxKLa-0eibUKpovbfPw_6_0"/>
      <w:bookmarkStart w:id="1275" w:name="Tc_tuzq5F3p-0ypnWj6J0gtBQ_5_0"/>
      <w:bookmarkStart w:id="1276" w:name="Tc_21tFxBhhnUe2ko3ryFcyWg_4_0"/>
      <w:bookmarkStart w:id="1277" w:name="Tc_xwFFq6u8JkOTnae_U7HC1g_3_11"/>
      <w:bookmarkStart w:id="1278" w:name="Tc_7wqFpQYExkWa_UatyBbf6Q_3_8"/>
      <w:bookmarkStart w:id="1279" w:name="Tc_EzzBd2bZ2kSeKRMeQJGfxA_3_5"/>
      <w:bookmarkStart w:id="1280" w:name="Tc_yOJeEx_K6kWGo_2Aen0hqg_3_2"/>
      <w:bookmarkStart w:id="1281" w:name="Tc_Nw5Ng0p7hU-opCx8nVHr_Q_3_0"/>
      <w:bookmarkStart w:id="1282" w:name="Tc_JLKF4IkKeUG8LZYOp1S9Zw_2_11"/>
      <w:bookmarkStart w:id="1283" w:name="Tc_ToNyd4qKnkyTyF-v1_Z5hg_2_8"/>
      <w:bookmarkStart w:id="1284" w:name="Tc_AYMcz1BkTUWJTibbdZJ2Uw_2_5"/>
      <w:bookmarkStart w:id="1285" w:name="Tc_iGFRdE4JUUec_LmLbRJ5GA_2_2"/>
      <w:bookmarkStart w:id="1286" w:name="Tc_9k_-SE-etUS5XNBPJFubUw_1_8"/>
      <w:bookmarkStart w:id="1287" w:name="Tc_sDtmIbL7JEixI5UKOYdRxw_1_2"/>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r>
        <w:rPr>
          <w:rFonts w:ascii="Times New Roman;Times;serif" w:hAnsi="Times New Roman;Times;serif"/>
          <w:sz w:val="20"/>
        </w:rPr>
        <w:t>Total revenues based on the country that the product was shipped to were as follows:</w:t>
      </w:r>
    </w:p>
    <w:p>
      <w:pPr>
        <w:pStyle w:val="TextBody"/>
        <w:bidi w:val="0"/>
        <w:spacing w:before="0" w:after="0"/>
        <w:ind w:left="0" w:right="0" w:hanging="0"/>
        <w:jc w:val="left"/>
        <w:rPr/>
      </w:pPr>
      <w:r>
        <w:rPr/>
        <w:t>​</w:t>
      </w:r>
    </w:p>
    <w:tbl>
      <w:tblPr>
        <w:tblW w:w="5854" w:type="dxa"/>
        <w:jc w:val="left"/>
        <w:tblInd w:w="0" w:type="dxa"/>
        <w:tblLayout w:type="fixed"/>
        <w:tblCellMar>
          <w:top w:w="0" w:type="dxa"/>
          <w:left w:w="0" w:type="dxa"/>
          <w:bottom w:w="0" w:type="dxa"/>
          <w:right w:w="0" w:type="dxa"/>
        </w:tblCellMar>
      </w:tblPr>
      <w:tblGrid>
        <w:gridCol w:w="1741"/>
        <w:gridCol w:w="326"/>
        <w:gridCol w:w="240"/>
        <w:gridCol w:w="480"/>
        <w:gridCol w:w="326"/>
        <w:gridCol w:w="211"/>
        <w:gridCol w:w="421"/>
        <w:gridCol w:w="326"/>
        <w:gridCol w:w="240"/>
        <w:gridCol w:w="480"/>
        <w:gridCol w:w="326"/>
        <w:gridCol w:w="211"/>
        <w:gridCol w:w="52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105535" cy="175260"/>
                      <wp:effectExtent l="0" t="0" r="0" b="0"/>
                      <wp:wrapNone/>
                      <wp:docPr id="275" name="Frame275"/>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52400" cy="175260"/>
                      <wp:effectExtent l="0" t="0" r="0" b="0"/>
                      <wp:wrapNone/>
                      <wp:docPr id="277" name="Frame27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04800" cy="175260"/>
                      <wp:effectExtent l="0" t="0" r="0" b="0"/>
                      <wp:wrapNone/>
                      <wp:docPr id="278" name="Frame278"/>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67335" cy="175260"/>
                      <wp:effectExtent l="0" t="0" r="0" b="0"/>
                      <wp:wrapNone/>
                      <wp:docPr id="281" name="Frame28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52400" cy="175260"/>
                      <wp:effectExtent l="0" t="0" r="0" b="0"/>
                      <wp:wrapNone/>
                      <wp:docPr id="283" name="Frame28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04800" cy="175260"/>
                      <wp:effectExtent l="0" t="0" r="0" b="0"/>
                      <wp:wrapNone/>
                      <wp:docPr id="284" name="Frame284"/>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34010" cy="175260"/>
                      <wp:effectExtent l="0" t="0" r="0" b="0"/>
                      <wp:wrapNone/>
                      <wp:docPr id="287" name="Frame287"/>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    </w:t>
            </w:r>
          </w:p>
        </w:tc>
        <w:tc>
          <w:tcPr>
            <w:tcW w:w="17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w:t>
            </w:r>
          </w:p>
        </w:tc>
        <w:tc>
          <w:tcPr>
            <w:tcW w:w="326" w:type="dxa"/>
            <w:tcBorders/>
            <w:vAlign w:val="center"/>
          </w:tcPr>
          <w:p>
            <w:pPr>
              <w:pStyle w:val="TableContents"/>
              <w:bidi w:val="0"/>
              <w:spacing w:before="0" w:after="0"/>
              <w:ind w:left="0" w:right="0" w:hanging="0"/>
              <w:jc w:val="center"/>
              <w:rPr/>
            </w:pPr>
            <w:r>
              <w:rPr/>
              <w:t>​</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center"/>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32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USA</w:t>
            </w:r>
          </w:p>
        </w:tc>
        <w:tc>
          <w:tcPr>
            <w:tcW w:w="32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2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Korea</w:t>
            </w:r>
          </w:p>
        </w:tc>
        <w:tc>
          <w:tcPr>
            <w:tcW w:w="32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2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Poland</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Hungary</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Czech Republic</w:t>
            </w:r>
          </w:p>
        </w:tc>
        <w:tc>
          <w:tcPr>
            <w:tcW w:w="32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Portugal</w:t>
            </w:r>
          </w:p>
        </w:tc>
        <w:tc>
          <w:tcPr>
            <w:tcW w:w="32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Slovakia</w:t>
            </w:r>
          </w:p>
        </w:tc>
        <w:tc>
          <w:tcPr>
            <w:tcW w:w="32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454</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912</w:t>
            </w:r>
          </w:p>
        </w:tc>
      </w:tr>
    </w:tbl>
    <w:p>
      <w:pPr>
        <w:pStyle w:val="TextBody"/>
        <w:bidi w:val="0"/>
        <w:spacing w:before="0" w:after="0"/>
        <w:ind w:left="0" w:right="0" w:hanging="0"/>
        <w:jc w:val="left"/>
        <w:rPr/>
      </w:pPr>
      <w:r>
        <w:rPr/>
        <w:t>​</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We generate the majority of our revenue from the sale of our EyeQ</w:t>
      </w:r>
      <w:r>
        <w:rPr>
          <w:rFonts w:ascii="Times New Roman;Times;serif" w:hAnsi="Times New Roman;Times;serif"/>
          <w:sz w:val="15"/>
        </w:rPr>
        <w:t>TM</w:t>
      </w:r>
      <w:r>
        <w:rPr>
          <w:rFonts w:ascii="Times New Roman;Times;serif" w:hAnsi="Times New Roman;Times;serif"/>
          <w:sz w:val="20"/>
        </w:rPr>
        <w:t xml:space="preserve"> SoCs to OEMs through sales to Tier 1 automotive suppliers. EyeQ</w:t>
      </w:r>
      <w:r>
        <w:rPr>
          <w:rFonts w:ascii="Times New Roman;Times;serif" w:hAnsi="Times New Roman;Times;serif"/>
          <w:sz w:val="15"/>
        </w:rPr>
        <w:t>TM</w:t>
      </w:r>
      <w:r>
        <w:rPr>
          <w:rFonts w:ascii="Times New Roman;Times;serif" w:hAnsi="Times New Roman;Times;serif"/>
          <w:sz w:val="20"/>
        </w:rPr>
        <w:t xml:space="preserve"> SoC sales represented approximately 86% and 92% of our revenue for each of the three months ended June 29, 2024 and July 1, 2023, respectively and 81% and 90% of our revenue for each of the six months ended June 29, 2024 and July 1, 2023,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Major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major customers that amount to 10% or more of total revenue:</w:t>
      </w:r>
    </w:p>
    <w:p>
      <w:pPr>
        <w:pStyle w:val="TextBody"/>
        <w:bidi w:val="0"/>
        <w:spacing w:before="0" w:after="0"/>
        <w:ind w:left="0" w:right="0" w:hanging="0"/>
        <w:jc w:val="left"/>
        <w:rPr/>
      </w:pPr>
      <w:r>
        <w:rPr/>
        <w:t>​</w:t>
      </w:r>
    </w:p>
    <w:tbl>
      <w:tblPr>
        <w:tblW w:w="6725" w:type="dxa"/>
        <w:jc w:val="left"/>
        <w:tblInd w:w="0" w:type="dxa"/>
        <w:tblLayout w:type="fixed"/>
        <w:tblCellMar>
          <w:top w:w="0" w:type="dxa"/>
          <w:left w:w="0" w:type="dxa"/>
          <w:bottom w:w="0" w:type="dxa"/>
          <w:right w:w="0" w:type="dxa"/>
        </w:tblCellMar>
      </w:tblPr>
      <w:tblGrid>
        <w:gridCol w:w="2266"/>
        <w:gridCol w:w="326"/>
        <w:gridCol w:w="721"/>
        <w:gridCol w:w="361"/>
        <w:gridCol w:w="601"/>
        <w:gridCol w:w="361"/>
        <w:gridCol w:w="721"/>
        <w:gridCol w:w="361"/>
        <w:gridCol w:w="601"/>
        <w:gridCol w:w="406"/>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38910" cy="175260"/>
                      <wp:effectExtent l="0" t="0" r="0" b="0"/>
                      <wp:wrapNone/>
                      <wp:docPr id="288" name="Frame288"/>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57835" cy="175260"/>
                      <wp:effectExtent l="0" t="0" r="0" b="0"/>
                      <wp:wrapNone/>
                      <wp:docPr id="290" name="Frame29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29235" cy="175260"/>
                      <wp:effectExtent l="0" t="0" r="0" b="0"/>
                      <wp:wrapNone/>
                      <wp:docPr id="291" name="Frame29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81635" cy="175260"/>
                      <wp:effectExtent l="0" t="0" r="0" b="0"/>
                      <wp:wrapNone/>
                      <wp:docPr id="292" name="Frame29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29235" cy="175260"/>
                      <wp:effectExtent l="0" t="0" r="0" b="0"/>
                      <wp:wrapNone/>
                      <wp:docPr id="293" name="Frame29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57835" cy="175260"/>
                      <wp:effectExtent l="0" t="0" r="0" b="0"/>
                      <wp:wrapNone/>
                      <wp:docPr id="294" name="Frame29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29235" cy="175260"/>
                      <wp:effectExtent l="0" t="0" r="0" b="0"/>
                      <wp:wrapNone/>
                      <wp:docPr id="295" name="Frame29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81635" cy="175260"/>
                      <wp:effectExtent l="0" t="0" r="0" b="0"/>
                      <wp:wrapNone/>
                      <wp:docPr id="296" name="Frame29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57810" cy="175260"/>
                      <wp:effectExtent l="0" t="0" r="0" b="0"/>
                      <wp:wrapNone/>
                      <wp:docPr id="297" name="Frame29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1"/>
              <w:ind w:left="0" w:right="0" w:hanging="0"/>
              <w:jc w:val="left"/>
              <w:rPr/>
            </w:pPr>
            <w:r>
              <w:rPr/>
              <w:t>​</w:t>
            </w:r>
          </w:p>
        </w:tc>
        <w:tc>
          <w:tcPr>
            <w:tcW w:w="16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406" w:type="dxa"/>
            <w:tcBorders/>
            <w:vAlign w:val="center"/>
          </w:tcPr>
          <w:p>
            <w:pPr>
              <w:pStyle w:val="TableContents"/>
              <w:bidi w:val="0"/>
              <w:spacing w:before="0" w:after="1"/>
              <w:ind w:left="0" w:right="0" w:hanging="0"/>
              <w:jc w:val="center"/>
              <w:rPr/>
            </w:pPr>
            <w:r>
              <w:rPr/>
              <w:t>​</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6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w:t>
            </w:r>
          </w:p>
        </w:tc>
        <w:tc>
          <w:tcPr>
            <w:tcW w:w="36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6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w:t>
            </w:r>
          </w:p>
        </w:tc>
        <w:tc>
          <w:tcPr>
            <w:tcW w:w="406" w:type="dxa"/>
            <w:tcBorders/>
            <w:vAlign w:val="center"/>
          </w:tcPr>
          <w:p>
            <w:pPr>
              <w:pStyle w:val="TableContents"/>
              <w:bidi w:val="0"/>
              <w:spacing w:before="0" w:after="1"/>
              <w:ind w:left="0" w:right="0" w:hanging="0"/>
              <w:jc w:val="left"/>
              <w:rPr/>
            </w:pPr>
            <w:r>
              <w:rPr/>
              <w:t>​</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6" w:type="dxa"/>
            <w:tcBorders/>
            <w:vAlign w:val="center"/>
          </w:tcPr>
          <w:p>
            <w:pPr>
              <w:pStyle w:val="TableContents"/>
              <w:bidi w:val="0"/>
              <w:spacing w:before="0" w:after="1"/>
              <w:ind w:left="0" w:right="0" w:hanging="0"/>
              <w:jc w:val="left"/>
              <w:rPr/>
            </w:pPr>
            <w:r>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Percent of total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A </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B </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C </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1"/>
              <w:ind w:left="0" w:right="0" w:hanging="0"/>
              <w:jc w:val="left"/>
              <w:rPr/>
            </w:pPr>
            <w:r>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F</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than 10%</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balances of major customers that amount to 10% or more of total accounts receivable balance:</w:t>
      </w:r>
    </w:p>
    <w:p>
      <w:pPr>
        <w:pStyle w:val="TextBody"/>
        <w:bidi w:val="0"/>
        <w:spacing w:before="0" w:after="0"/>
        <w:ind w:left="0" w:right="0" w:hanging="0"/>
        <w:jc w:val="left"/>
        <w:rPr/>
      </w:pPr>
      <w:r>
        <w:rPr/>
        <w:t>​</w:t>
      </w:r>
    </w:p>
    <w:tbl>
      <w:tblPr>
        <w:tblW w:w="6746" w:type="dxa"/>
        <w:jc w:val="left"/>
        <w:tblInd w:w="0" w:type="dxa"/>
        <w:tblLayout w:type="fixed"/>
        <w:tblCellMar>
          <w:top w:w="0" w:type="dxa"/>
          <w:left w:w="0" w:type="dxa"/>
          <w:bottom w:w="0" w:type="dxa"/>
          <w:right w:w="0" w:type="dxa"/>
        </w:tblCellMar>
      </w:tblPr>
      <w:tblGrid>
        <w:gridCol w:w="3961"/>
        <w:gridCol w:w="326"/>
        <w:gridCol w:w="721"/>
        <w:gridCol w:w="326"/>
        <w:gridCol w:w="1096"/>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515235" cy="175260"/>
                      <wp:effectExtent l="0" t="0" r="0" b="0"/>
                      <wp:wrapNone/>
                      <wp:docPr id="298" name="Frame298"/>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57835" cy="175260"/>
                      <wp:effectExtent l="0" t="0" r="0" b="0"/>
                      <wp:wrapNone/>
                      <wp:docPr id="300" name="Frame30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5960" cy="175260"/>
                      <wp:effectExtent l="0" t="0" r="0" b="0"/>
                      <wp:wrapNone/>
                      <wp:docPr id="302" name="Frame30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0660" cy="175260"/>
                      <wp:effectExtent l="0" t="0" r="0" b="0"/>
                      <wp:wrapNone/>
                      <wp:docPr id="303" name="Frame30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16" w:type="dxa"/>
            <w:tcBorders/>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16" w:type="dxa"/>
            <w:tcBorders/>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left"/>
              <w:rPr/>
            </w:pPr>
            <w:r>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Percent of total accounts receivables balance:</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A </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B </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C </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than 10%</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1288" w:name="Tc_L_HthlxBsEuY2imv7Cvz6Q_6_18"/>
      <w:bookmarkStart w:id="1289" w:name="Tc_yAb2ghW0jEe_BZ--YbU44w_6_17"/>
      <w:bookmarkStart w:id="1290" w:name="Tc_wEJuNC4ANE2cWV_Zi2jJ8Q_6_14"/>
      <w:bookmarkStart w:id="1291" w:name="Tc_I1-QbfkjmkG7ApHXGz-vcg_6_11"/>
      <w:bookmarkStart w:id="1292" w:name="Tc_55cLcZA4IUGokeKX8-1GpQ_6_9"/>
      <w:bookmarkStart w:id="1293" w:name="Tc_WsI_lqvHK0iODpupdouQdw_6_8"/>
      <w:bookmarkStart w:id="1294" w:name="Tc_45rCu2U4Gk6NYaQh7SFV0g_6_6"/>
      <w:bookmarkStart w:id="1295" w:name="Tc_1wLqOHbAhUy3yRKh2CsZiA_6_5"/>
      <w:bookmarkStart w:id="1296" w:name="Tc_nz6RBcEjb0OVnJJhSI4rlg_6_2"/>
      <w:bookmarkStart w:id="1297" w:name="Tc_cKCR9WrUlkSK9UkFZ0HZBg_6_0"/>
      <w:bookmarkStart w:id="1298" w:name="Tc_UL-B2EdNNUSzr1us-T17pQ_5_18"/>
      <w:bookmarkStart w:id="1299" w:name="Tc_idQp90RHJE2dTNFAOscq4g_5_17"/>
      <w:bookmarkStart w:id="1300" w:name="Tc_GTev0CybQ0SY5CmlgwrFGg_5_14"/>
      <w:bookmarkStart w:id="1301" w:name="Tc_SOUo15DpU0KBoEsHB9m-Hg_5_11"/>
      <w:bookmarkStart w:id="1302" w:name="Tc_crpZ6gAn6USEvdBuf0ZmmQ_5_9"/>
      <w:bookmarkStart w:id="1303" w:name="Tc_y6-qEd0gfkOMGdxRmzcW7g_5_8"/>
      <w:bookmarkStart w:id="1304" w:name="Tc_hmvV3EAJukuAV6e98oFH-g_5_6"/>
      <w:bookmarkStart w:id="1305" w:name="Tc_hG8cRQhizke4GN3K2qdzEA_5_5"/>
      <w:bookmarkStart w:id="1306" w:name="Tc_jhbI53pQcUWGaKKMKDmP8g_5_2"/>
      <w:bookmarkStart w:id="1307" w:name="Tc_yKytJwW9bkOKyXQlABRpbQ_5_0"/>
      <w:bookmarkStart w:id="1308" w:name="Tc_3zZXzBmUX0ipRgeWkftfNQ_4_17"/>
      <w:bookmarkStart w:id="1309" w:name="Tc_1lCEYNqSlEyTc5Xt6GNjhA_4_14"/>
      <w:bookmarkStart w:id="1310" w:name="Tc_wD2Audmm5EGeAyDo4tXGCw_4_11"/>
      <w:bookmarkStart w:id="1311" w:name="Tc_a8vclK-Wt0-OjhqFesLJ6A_4_8"/>
      <w:bookmarkStart w:id="1312" w:name="Tc_2zjKfnzllEeSEoCqRRi6rw_4_5"/>
      <w:bookmarkStart w:id="1313" w:name="Tc_geVlPeTVzUq1F8wMmHXuyA_4_2"/>
      <w:bookmarkStart w:id="1314" w:name="Tc_cJKvtKtNzkmqDW_5Pea-3Q_4_0"/>
      <w:bookmarkStart w:id="1315" w:name="Tc_cU-Mkk5ifkCsIdIbP0YkPg_3_17"/>
      <w:bookmarkStart w:id="1316" w:name="Tc_MkcS00Ib4EW0zH2F3aR2tw_3_14"/>
      <w:bookmarkStart w:id="1317" w:name="Tc_MTV3QVcbzk63fsrv6j7CeA_2_14"/>
      <w:bookmarkStart w:id="1318" w:name="Tc_V59UT3Ea4UqGeZf0K3pvxA_1_2"/>
      <w:bookmarkStart w:id="1319" w:name="_b5c6a66a_8c81_487a_8e99_85e23ba5fca9"/>
      <w:bookmarkStart w:id="1320" w:name="Tc_YlvZy7P79U-QOpetzuuzTw_7_17"/>
      <w:bookmarkStart w:id="1321" w:name="Tc_E3IGlkNt0UyshztQKmsSSg_7_14"/>
      <w:bookmarkStart w:id="1322" w:name="Tc_RL83S1M8CUmZjeu5RkTjew_7_11"/>
      <w:bookmarkStart w:id="1323" w:name="Tc_igHatH3sk02m_ajYS3pOeg_7_9"/>
      <w:bookmarkStart w:id="1324" w:name="Tc_f1dPc_K58EKfXCUpd4OAIA_7_8"/>
      <w:bookmarkStart w:id="1325" w:name="Tc_QjXKbnysHEiK9Uv5yLQi9w_7_6"/>
      <w:bookmarkStart w:id="1326" w:name="Tc_XnrA_CrbskmF-gahdhYsug_7_5"/>
      <w:bookmarkStart w:id="1327" w:name="Tc_jKwJJDnJwUGb-n9Utd2DYw_7_2"/>
      <w:bookmarkStart w:id="1328" w:name="Tc_vDcsligSQkmQUlDuAbSCnw_7_0"/>
      <w:bookmarkStart w:id="1329" w:name="Tc_9ezuZM1I9ky2A-Em1Qdajg_6_18"/>
      <w:bookmarkStart w:id="1330" w:name="Tc_0Y_5FqB6bUO7O0msny8Mmw_6_9"/>
      <w:bookmarkStart w:id="1331" w:name="Tc_m1q_2F2orkC6kGzkuHB3rQ_6_6"/>
      <w:bookmarkStart w:id="1332" w:name="Tc_fXjlNj1-NUeevQfWNvVZ7w_6_0"/>
      <w:bookmarkStart w:id="1333" w:name="Tc_LA8eivxmaUieeZbLcie7Ng_5_17"/>
      <w:bookmarkStart w:id="1334" w:name="Tc_1uvp1ChYGke72Wk1sqI_Aw_5_14"/>
      <w:bookmarkStart w:id="1335" w:name="Tc_TwCOHyHGHkqQTdMHuePqrg_5_11"/>
      <w:bookmarkStart w:id="1336" w:name="Tc_dSMHTNDWS0OseC5-pKNbsA_5_9"/>
      <w:bookmarkStart w:id="1337" w:name="Tc_r-3WxN-SEUW89RkVgMxQwQ_5_8"/>
      <w:bookmarkStart w:id="1338" w:name="Tc_22A8J1O11kGZdI6outXDqQ_5_6"/>
      <w:bookmarkStart w:id="1339" w:name="Tc_LdQGs1eveUq8LtgVhoHM9Q_5_5"/>
      <w:bookmarkStart w:id="1340" w:name="Tc_BE6QSK2YA0OnxAr65D1BGA_5_2"/>
      <w:bookmarkStart w:id="1341" w:name="Tc_FA3vY8BJ3USO4a3m-sEW5Q_5_0"/>
      <w:bookmarkStart w:id="1342" w:name="Tc_7h7O9txlGUmQvJ3iEcPI_w_4_17"/>
      <w:bookmarkStart w:id="1343" w:name="Tc_rr6W9TLpnkuVNawW-Ahiew_4_14"/>
      <w:bookmarkStart w:id="1344" w:name="Tc_LWHMV1i-rUeddyQ2Oh5vtg_4_11"/>
      <w:bookmarkStart w:id="1345" w:name="Tc_dHXyTbYhckmnJqNNv1jxqQ_4_8"/>
      <w:bookmarkStart w:id="1346" w:name="Tc_Hf4NLETV_kWF1r3qxaYRXA_4_5"/>
      <w:bookmarkStart w:id="1347" w:name="Tc_giI4wECUl0C4zRxfPCf5Yw_4_2"/>
      <w:bookmarkStart w:id="1348" w:name="Tc_CTCNDK9de0mRzzLjSUNtTA_4_0"/>
      <w:bookmarkStart w:id="1349" w:name="Tc_ADBFdBZ1HUiNE2ATQN8Wkg_3_17"/>
      <w:bookmarkStart w:id="1350" w:name="Tc_uEH_zdcKb0C4ag4hfaCN9g_3_14"/>
      <w:bookmarkStart w:id="1351" w:name="Tc_zjQA-_mtg0mCfnIbdK7r0w_2_14"/>
      <w:bookmarkStart w:id="1352" w:name="Tc_M8mRppETOUeMjV4JeEgTfA_1_2"/>
      <w:bookmarkStart w:id="1353" w:name="_960a6226_e27a_4a32_bcb7_44bdb8f649f5"/>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r>
        <w:rPr>
          <w:rFonts w:ascii="Times New Roman;Times;serif" w:hAnsi="Times New Roman;Times;serif"/>
          <w:b/>
          <w:sz w:val="20"/>
        </w:rPr>
        <w:t>NOTE 10 - INVESTMENTS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Debt Investments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Debt investments include U.S. government bonds and money market funds. U.S. government bonds are for original maturities of up to six months and are classified as available for sale and measured at fair value with the related unrealized gains and losses included in other comprehensive income (expense), net. Money market funds, measured at fair value, consist of institutional investors money market funds and are readily redeemable to cash.</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summarize the Company’s marketable debt securities: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47"/>
        <w:gridCol w:w="266"/>
        <w:gridCol w:w="391"/>
        <w:gridCol w:w="785"/>
        <w:gridCol w:w="266"/>
        <w:gridCol w:w="461"/>
        <w:gridCol w:w="758"/>
        <w:gridCol w:w="266"/>
        <w:gridCol w:w="440"/>
        <w:gridCol w:w="724"/>
        <w:gridCol w:w="266"/>
        <w:gridCol w:w="279"/>
        <w:gridCol w:w="559"/>
        <w:gridCol w:w="266"/>
        <w:gridCol w:w="380"/>
        <w:gridCol w:w="744"/>
        <w:gridCol w:w="266"/>
        <w:gridCol w:w="398"/>
        <w:gridCol w:w="743"/>
      </w:tblGrid>
      <w:tr>
        <w:trPr/>
        <w:tc>
          <w:tcPr>
            <w:tcW w:w="194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68910" cy="175260"/>
                      <wp:effectExtent l="0" t="0" r="0" b="0"/>
                      <wp:wrapNone/>
                      <wp:docPr id="304" name="Frame30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48285" cy="175260"/>
                      <wp:effectExtent l="0" t="0" r="0" b="0"/>
                      <wp:wrapNone/>
                      <wp:docPr id="305" name="Frame30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98475" cy="175260"/>
                      <wp:effectExtent l="0" t="0" r="0" b="0"/>
                      <wp:wrapNone/>
                      <wp:docPr id="306" name="Frame306"/>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68910" cy="175260"/>
                      <wp:effectExtent l="0" t="0" r="0" b="0"/>
                      <wp:wrapNone/>
                      <wp:docPr id="307" name="Frame30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92735" cy="175260"/>
                      <wp:effectExtent l="0" t="0" r="0" b="0"/>
                      <wp:wrapNone/>
                      <wp:docPr id="308" name="Frame308"/>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81330" cy="175260"/>
                      <wp:effectExtent l="0" t="0" r="0" b="0"/>
                      <wp:wrapNone/>
                      <wp:docPr id="309" name="Frame309"/>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68910" cy="175260"/>
                      <wp:effectExtent l="0" t="0" r="0" b="0"/>
                      <wp:wrapNone/>
                      <wp:docPr id="310" name="Frame31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79400" cy="175260"/>
                      <wp:effectExtent l="0" t="0" r="0" b="0"/>
                      <wp:wrapNone/>
                      <wp:docPr id="311" name="Frame311"/>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59740" cy="175260"/>
                      <wp:effectExtent l="0" t="0" r="0" b="0"/>
                      <wp:wrapNone/>
                      <wp:docPr id="312" name="Frame312"/>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68910" cy="175260"/>
                      <wp:effectExtent l="0" t="0" r="0" b="0"/>
                      <wp:wrapNone/>
                      <wp:docPr id="313" name="Frame31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77165" cy="175260"/>
                      <wp:effectExtent l="0" t="0" r="0" b="0"/>
                      <wp:wrapNone/>
                      <wp:docPr id="314" name="Frame314"/>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54965" cy="175260"/>
                      <wp:effectExtent l="0" t="0" r="0" b="0"/>
                      <wp:wrapNone/>
                      <wp:docPr id="315" name="Frame315"/>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68910" cy="175260"/>
                      <wp:effectExtent l="0" t="0" r="0" b="0"/>
                      <wp:wrapNone/>
                      <wp:docPr id="316" name="Frame31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41300" cy="175260"/>
                      <wp:effectExtent l="0" t="0" r="0" b="0"/>
                      <wp:wrapNone/>
                      <wp:docPr id="317" name="Frame317"/>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72440" cy="175260"/>
                      <wp:effectExtent l="0" t="0" r="0" b="0"/>
                      <wp:wrapNone/>
                      <wp:docPr id="318" name="Frame318"/>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68910" cy="175260"/>
                      <wp:effectExtent l="0" t="0" r="0" b="0"/>
                      <wp:wrapNone/>
                      <wp:docPr id="319" name="Frame31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52730" cy="175260"/>
                      <wp:effectExtent l="0" t="0" r="0" b="0"/>
                      <wp:wrapNone/>
                      <wp:docPr id="320" name="Frame320"/>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71805" cy="175260"/>
                      <wp:effectExtent l="0" t="0" r="0" b="0"/>
                      <wp:wrapNone/>
                      <wp:docPr id="321" name="Frame321"/>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47"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99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2024</w:t>
            </w:r>
          </w:p>
        </w:tc>
      </w:tr>
      <w:tr>
        <w:trPr/>
        <w:tc>
          <w:tcPr>
            <w:tcW w:w="194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   </w:t>
            </w:r>
          </w:p>
        </w:tc>
        <w:tc>
          <w:tcPr>
            <w:tcW w:w="461" w:type="dxa"/>
            <w:tcBorders/>
            <w:vAlign w:val="center"/>
          </w:tcPr>
          <w:p>
            <w:pPr>
              <w:pStyle w:val="TableContents"/>
              <w:bidi w:val="0"/>
              <w:spacing w:before="0" w:after="0"/>
              <w:ind w:left="0" w:right="0" w:hanging="0"/>
              <w:jc w:val="center"/>
              <w:rPr/>
            </w:pPr>
            <w:r>
              <w:rPr/>
              <w:t>​</w:t>
            </w:r>
          </w:p>
        </w:tc>
        <w:tc>
          <w:tcPr>
            <w:tcW w:w="758" w:type="dxa"/>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440" w:type="dxa"/>
            <w:tcBorders/>
            <w:vAlign w:val="center"/>
          </w:tcPr>
          <w:p>
            <w:pPr>
              <w:pStyle w:val="TableContents"/>
              <w:bidi w:val="0"/>
              <w:spacing w:before="0" w:after="0"/>
              <w:ind w:left="0" w:right="0" w:hanging="0"/>
              <w:jc w:val="center"/>
              <w:rPr/>
            </w:pPr>
            <w:r>
              <w:rPr/>
              <w:t>​</w:t>
            </w:r>
          </w:p>
        </w:tc>
        <w:tc>
          <w:tcPr>
            <w:tcW w:w="724" w:type="dxa"/>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79" w:type="dxa"/>
            <w:tcBorders/>
            <w:vAlign w:val="center"/>
          </w:tcPr>
          <w:p>
            <w:pPr>
              <w:pStyle w:val="TableContents"/>
              <w:bidi w:val="0"/>
              <w:spacing w:before="0" w:after="0"/>
              <w:ind w:left="0" w:right="0" w:hanging="0"/>
              <w:jc w:val="center"/>
              <w:rPr/>
            </w:pPr>
            <w:r>
              <w:rPr/>
              <w:t>​</w:t>
            </w:r>
          </w:p>
        </w:tc>
        <w:tc>
          <w:tcPr>
            <w:tcW w:w="559" w:type="dxa"/>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53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 as</w:t>
            </w:r>
          </w:p>
        </w:tc>
      </w:tr>
      <w:tr>
        <w:trPr/>
        <w:tc>
          <w:tcPr>
            <w:tcW w:w="194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461" w:type="dxa"/>
            <w:tcBorders/>
            <w:vAlign w:val="center"/>
          </w:tcPr>
          <w:p>
            <w:pPr>
              <w:pStyle w:val="TableContents"/>
              <w:bidi w:val="0"/>
              <w:spacing w:before="0" w:after="0"/>
              <w:ind w:left="0" w:right="0" w:hanging="0"/>
              <w:jc w:val="center"/>
              <w:rPr/>
            </w:pPr>
            <w:r>
              <w:rPr/>
              <w:t>​</w:t>
            </w:r>
          </w:p>
        </w:tc>
        <w:tc>
          <w:tcPr>
            <w:tcW w:w="758"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440" w:type="dxa"/>
            <w:tcBorders/>
            <w:vAlign w:val="center"/>
          </w:tcPr>
          <w:p>
            <w:pPr>
              <w:pStyle w:val="TableContents"/>
              <w:bidi w:val="0"/>
              <w:spacing w:before="0" w:after="0"/>
              <w:ind w:left="0" w:right="0" w:hanging="0"/>
              <w:jc w:val="center"/>
              <w:rPr/>
            </w:pPr>
            <w:r>
              <w:rPr/>
              <w:t>​</w:t>
            </w:r>
          </w:p>
        </w:tc>
        <w:tc>
          <w:tcPr>
            <w:tcW w:w="724"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279" w:type="dxa"/>
            <w:tcBorders/>
            <w:vAlign w:val="center"/>
          </w:tcPr>
          <w:p>
            <w:pPr>
              <w:pStyle w:val="TableContents"/>
              <w:bidi w:val="0"/>
              <w:spacing w:before="0" w:after="0"/>
              <w:ind w:left="0" w:right="0" w:hanging="0"/>
              <w:jc w:val="center"/>
              <w:rPr/>
            </w:pPr>
            <w:r>
              <w:rPr/>
              <w:t>​</w:t>
            </w:r>
          </w:p>
        </w:tc>
        <w:tc>
          <w:tcPr>
            <w:tcW w:w="559"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11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and cash</w:t>
            </w:r>
          </w:p>
        </w:tc>
        <w:tc>
          <w:tcPr>
            <w:tcW w:w="266" w:type="dxa"/>
            <w:tcBorders/>
            <w:vAlign w:val="center"/>
          </w:tcPr>
          <w:p>
            <w:pPr>
              <w:pStyle w:val="TableContents"/>
              <w:bidi w:val="0"/>
              <w:spacing w:before="0" w:after="0"/>
              <w:ind w:left="0" w:right="0" w:hanging="0"/>
              <w:jc w:val="center"/>
              <w:rPr/>
            </w:pPr>
            <w:r>
              <w:rPr/>
              <w:t>   </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current</w:t>
            </w:r>
          </w:p>
        </w:tc>
      </w:tr>
      <w:tr>
        <w:trPr/>
        <w:tc>
          <w:tcPr>
            <w:tcW w:w="194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U.S. dollars in millions </w:t>
            </w:r>
          </w:p>
        </w:tc>
        <w:tc>
          <w:tcPr>
            <w:tcW w:w="266" w:type="dxa"/>
            <w:tcBorders/>
            <w:vAlign w:val="center"/>
          </w:tcPr>
          <w:p>
            <w:pPr>
              <w:pStyle w:val="TableContents"/>
              <w:bidi w:val="0"/>
              <w:spacing w:before="0" w:after="0"/>
              <w:ind w:left="0" w:right="0" w:hanging="0"/>
              <w:jc w:val="left"/>
              <w:rPr/>
            </w:pPr>
            <w:r>
              <w:rPr/>
              <w:t>​</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266" w:type="dxa"/>
            <w:tcBorders/>
            <w:vAlign w:val="center"/>
          </w:tcPr>
          <w:p>
            <w:pPr>
              <w:pStyle w:val="TableContents"/>
              <w:bidi w:val="0"/>
              <w:spacing w:before="0" w:after="0"/>
              <w:ind w:left="0" w:right="0" w:hanging="0"/>
              <w:jc w:val="center"/>
              <w:rPr/>
            </w:pPr>
            <w:r>
              <w:rPr/>
              <w:t>​</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w:t>
            </w:r>
          </w:p>
        </w:tc>
        <w:tc>
          <w:tcPr>
            <w:tcW w:w="266" w:type="dxa"/>
            <w:tcBorders/>
            <w:vAlign w:val="center"/>
          </w:tcPr>
          <w:p>
            <w:pPr>
              <w:pStyle w:val="TableContents"/>
              <w:bidi w:val="0"/>
              <w:spacing w:before="0" w:after="0"/>
              <w:ind w:left="0" w:right="0" w:hanging="0"/>
              <w:jc w:val="center"/>
              <w:rPr/>
            </w:pPr>
            <w:r>
              <w:rPr/>
              <w:t>​</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w:t>
            </w:r>
          </w:p>
        </w:tc>
        <w:tc>
          <w:tcPr>
            <w:tcW w:w="266" w:type="dxa"/>
            <w:tcBorders/>
            <w:vAlign w:val="center"/>
          </w:tcPr>
          <w:p>
            <w:pPr>
              <w:pStyle w:val="TableContents"/>
              <w:bidi w:val="0"/>
              <w:spacing w:before="0" w:after="0"/>
              <w:ind w:left="0" w:right="0" w:hanging="0"/>
              <w:jc w:val="center"/>
              <w:rPr/>
            </w:pPr>
            <w:r>
              <w:rPr/>
              <w:t>​</w:t>
            </w:r>
          </w:p>
        </w:tc>
        <w:tc>
          <w:tcPr>
            <w:tcW w:w="8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66" w:type="dxa"/>
            <w:tcBorders/>
            <w:vAlign w:val="center"/>
          </w:tcPr>
          <w:p>
            <w:pPr>
              <w:pStyle w:val="TableContents"/>
              <w:bidi w:val="0"/>
              <w:spacing w:before="0" w:after="0"/>
              <w:ind w:left="0" w:right="0" w:hanging="0"/>
              <w:jc w:val="left"/>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equivalents</w:t>
            </w:r>
          </w:p>
        </w:tc>
        <w:tc>
          <w:tcPr>
            <w:tcW w:w="266" w:type="dxa"/>
            <w:tcBorders/>
            <w:vAlign w:val="center"/>
          </w:tcPr>
          <w:p>
            <w:pPr>
              <w:pStyle w:val="TableContents"/>
              <w:bidi w:val="0"/>
              <w:spacing w:before="0" w:after="0"/>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r>
      <w:tr>
        <w:trPr/>
        <w:tc>
          <w:tcPr>
            <w:tcW w:w="19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bonds</w:t>
            </w:r>
          </w:p>
        </w:tc>
        <w:tc>
          <w:tcPr>
            <w:tcW w:w="26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66" w:type="dxa"/>
            <w:tcBorders/>
            <w:shd w:fill="CCEEFF" w:val="clear"/>
            <w:vAlign w:val="center"/>
          </w:tcPr>
          <w:p>
            <w:pPr>
              <w:pStyle w:val="TableContents"/>
              <w:bidi w:val="0"/>
              <w:spacing w:before="0" w:after="0"/>
              <w:ind w:left="0" w:right="0" w:hanging="0"/>
              <w:jc w:val="right"/>
              <w:rPr/>
            </w:pPr>
            <w:r>
              <w:rPr/>
              <w:t>​</w:t>
            </w:r>
          </w:p>
        </w:tc>
        <w:tc>
          <w:tcPr>
            <w:tcW w:w="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66" w:type="dxa"/>
            <w:tcBorders/>
            <w:shd w:fill="CCEEFF" w:val="clear"/>
            <w:vAlign w:val="center"/>
          </w:tcPr>
          <w:p>
            <w:pPr>
              <w:pStyle w:val="TableContents"/>
              <w:bidi w:val="0"/>
              <w:spacing w:before="0" w:after="0"/>
              <w:ind w:left="0" w:right="0" w:hanging="0"/>
              <w:jc w:val="righ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66" w:type="dxa"/>
            <w:tcBorders/>
            <w:shd w:fill="CCEEFF" w:val="clear"/>
            <w:vAlign w:val="center"/>
          </w:tcPr>
          <w:p>
            <w:pPr>
              <w:pStyle w:val="TableContents"/>
              <w:bidi w:val="0"/>
              <w:spacing w:before="0" w:after="0"/>
              <w:ind w:left="0" w:right="0" w:hanging="0"/>
              <w:jc w:val="right"/>
              <w:rPr/>
            </w:pPr>
            <w:r>
              <w:rPr/>
              <w:t>​</w:t>
            </w:r>
          </w:p>
        </w:tc>
        <w:tc>
          <w:tcPr>
            <w:tcW w:w="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266"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266" w:type="dxa"/>
            <w:tcBorders/>
            <w:vAlign w:val="center"/>
          </w:tcPr>
          <w:p>
            <w:pPr>
              <w:pStyle w:val="TableContents"/>
              <w:bidi w:val="0"/>
              <w:spacing w:before="0" w:after="0"/>
              <w:ind w:left="0" w:right="0" w:hanging="0"/>
              <w:jc w:val="righ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right"/>
              <w:rPr/>
            </w:pPr>
            <w:r>
              <w:rPr/>
              <w:t>​</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righ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266" w:type="dxa"/>
            <w:tcBorders/>
            <w:vAlign w:val="center"/>
          </w:tcPr>
          <w:p>
            <w:pPr>
              <w:pStyle w:val="TableContents"/>
              <w:bidi w:val="0"/>
              <w:spacing w:before="0" w:after="0"/>
              <w:ind w:left="0" w:right="0" w:hanging="0"/>
              <w:jc w:val="right"/>
              <w:rPr/>
            </w:pPr>
            <w:r>
              <w:rPr/>
              <w:t>​</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266" w:type="dxa"/>
            <w:tcBorders/>
            <w:vAlign w:val="center"/>
          </w:tcPr>
          <w:p>
            <w:pPr>
              <w:pStyle w:val="TableContents"/>
              <w:bidi w:val="0"/>
              <w:spacing w:before="0" w:after="0"/>
              <w:ind w:left="0" w:right="0" w:hanging="0"/>
              <w:jc w:val="right"/>
              <w:rPr/>
            </w:pPr>
            <w:r>
              <w:rPr/>
              <w:t>​</w:t>
            </w:r>
          </w:p>
        </w:tc>
        <w:tc>
          <w:tcPr>
            <w:tcW w:w="3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9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26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937</w:t>
            </w:r>
          </w:p>
        </w:tc>
        <w:tc>
          <w:tcPr>
            <w:tcW w:w="266" w:type="dxa"/>
            <w:tcBorders/>
            <w:shd w:fill="CCEEFF" w:val="clear"/>
            <w:vAlign w:val="center"/>
          </w:tcPr>
          <w:p>
            <w:pPr>
              <w:pStyle w:val="TableContents"/>
              <w:bidi w:val="0"/>
              <w:spacing w:before="0" w:after="0"/>
              <w:ind w:left="0" w:right="0" w:hanging="0"/>
              <w:jc w:val="right"/>
              <w:rPr/>
            </w:pPr>
            <w:r>
              <w:rPr/>
              <w:t>​</w:t>
            </w:r>
          </w:p>
        </w:tc>
        <w:tc>
          <w:tcPr>
            <w:tcW w:w="4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8"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937</w:t>
            </w:r>
          </w:p>
        </w:tc>
        <w:tc>
          <w:tcPr>
            <w:tcW w:w="266" w:type="dxa"/>
            <w:tcBorders/>
            <w:shd w:fill="CCEEFF" w:val="clear"/>
            <w:vAlign w:val="center"/>
          </w:tcPr>
          <w:p>
            <w:pPr>
              <w:pStyle w:val="TableContents"/>
              <w:bidi w:val="0"/>
              <w:spacing w:before="0" w:after="0"/>
              <w:ind w:left="0" w:right="0" w:hanging="0"/>
              <w:jc w:val="righ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929</w:t>
            </w:r>
          </w:p>
        </w:tc>
        <w:tc>
          <w:tcPr>
            <w:tcW w:w="266" w:type="dxa"/>
            <w:tcBorders/>
            <w:shd w:fill="CCEEFF" w:val="clear"/>
            <w:vAlign w:val="center"/>
          </w:tcPr>
          <w:p>
            <w:pPr>
              <w:pStyle w:val="TableContents"/>
              <w:bidi w:val="0"/>
              <w:spacing w:before="0" w:after="0"/>
              <w:ind w:left="0" w:right="0" w:hanging="0"/>
              <w:jc w:val="right"/>
              <w:rPr/>
            </w:pPr>
            <w:r>
              <w:rPr/>
              <w:t>​</w:t>
            </w:r>
          </w:p>
        </w:tc>
        <w:tc>
          <w:tcPr>
            <w:tcW w:w="39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3"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w:t>
            </w:r>
          </w:p>
        </w:tc>
      </w:tr>
    </w:tbl>
    <w:p>
      <w:pPr>
        <w:pStyle w:val="TextBody"/>
        <w:bidi w:val="0"/>
        <w:spacing w:before="0" w:after="0"/>
        <w:ind w:left="0" w:right="0" w:hanging="0"/>
        <w:jc w:val="left"/>
        <w:rPr/>
      </w:pPr>
      <w:r>
        <w:rPr/>
        <w:t>​</w:t>
      </w:r>
    </w:p>
    <w:tbl>
      <w:tblPr>
        <w:tblW w:w="10192" w:type="dxa"/>
        <w:jc w:val="left"/>
        <w:tblInd w:w="0" w:type="dxa"/>
        <w:tblLayout w:type="fixed"/>
        <w:tblCellMar>
          <w:top w:w="0" w:type="dxa"/>
          <w:left w:w="0" w:type="dxa"/>
          <w:bottom w:w="0" w:type="dxa"/>
          <w:right w:w="0" w:type="dxa"/>
        </w:tblCellMar>
      </w:tblPr>
      <w:tblGrid>
        <w:gridCol w:w="1801"/>
        <w:gridCol w:w="266"/>
        <w:gridCol w:w="399"/>
        <w:gridCol w:w="801"/>
        <w:gridCol w:w="266"/>
        <w:gridCol w:w="471"/>
        <w:gridCol w:w="774"/>
        <w:gridCol w:w="266"/>
        <w:gridCol w:w="448"/>
        <w:gridCol w:w="737"/>
        <w:gridCol w:w="266"/>
        <w:gridCol w:w="285"/>
        <w:gridCol w:w="570"/>
        <w:gridCol w:w="266"/>
        <w:gridCol w:w="380"/>
        <w:gridCol w:w="760"/>
        <w:gridCol w:w="266"/>
        <w:gridCol w:w="372"/>
        <w:gridCol w:w="798"/>
      </w:tblGrid>
      <w:tr>
        <w:trPr/>
        <w:tc>
          <w:tcPr>
            <w:tcW w:w="180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68910" cy="175260"/>
                      <wp:effectExtent l="0" t="0" r="0" b="0"/>
                      <wp:wrapNone/>
                      <wp:docPr id="322" name="Frame32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53365" cy="175260"/>
                      <wp:effectExtent l="0" t="0" r="0" b="0"/>
                      <wp:wrapNone/>
                      <wp:docPr id="323" name="Frame323"/>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08635" cy="175260"/>
                      <wp:effectExtent l="0" t="0" r="0" b="0"/>
                      <wp:wrapNone/>
                      <wp:docPr id="324" name="Frame324"/>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68910" cy="175260"/>
                      <wp:effectExtent l="0" t="0" r="0" b="0"/>
                      <wp:wrapNone/>
                      <wp:docPr id="325" name="Frame32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99085" cy="175260"/>
                      <wp:effectExtent l="0" t="0" r="0" b="0"/>
                      <wp:wrapNone/>
                      <wp:docPr id="326" name="Frame326"/>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91490" cy="175260"/>
                      <wp:effectExtent l="0" t="0" r="0" b="0"/>
                      <wp:wrapNone/>
                      <wp:docPr id="327" name="Frame327"/>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68910" cy="175260"/>
                      <wp:effectExtent l="0" t="0" r="0" b="0"/>
                      <wp:wrapNone/>
                      <wp:docPr id="328" name="Frame32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84480" cy="175260"/>
                      <wp:effectExtent l="0" t="0" r="0" b="0"/>
                      <wp:wrapNone/>
                      <wp:docPr id="329" name="Frame329"/>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67995" cy="175260"/>
                      <wp:effectExtent l="0" t="0" r="0" b="0"/>
                      <wp:wrapNone/>
                      <wp:docPr id="330" name="Frame330"/>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68910" cy="175260"/>
                      <wp:effectExtent l="0" t="0" r="0" b="0"/>
                      <wp:wrapNone/>
                      <wp:docPr id="331" name="Frame33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80975" cy="175260"/>
                      <wp:effectExtent l="0" t="0" r="0" b="0"/>
                      <wp:wrapNone/>
                      <wp:docPr id="332" name="Frame332"/>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361950" cy="175260"/>
                      <wp:effectExtent l="0" t="0" r="0" b="0"/>
                      <wp:wrapNone/>
                      <wp:docPr id="333" name="Frame333"/>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68910" cy="175260"/>
                      <wp:effectExtent l="0" t="0" r="0" b="0"/>
                      <wp:wrapNone/>
                      <wp:docPr id="334" name="Frame33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41300" cy="175260"/>
                      <wp:effectExtent l="0" t="0" r="0" b="0"/>
                      <wp:wrapNone/>
                      <wp:docPr id="335" name="Frame335"/>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82600" cy="175260"/>
                      <wp:effectExtent l="0" t="0" r="0" b="0"/>
                      <wp:wrapNone/>
                      <wp:docPr id="336" name="Frame336"/>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68910" cy="175260"/>
                      <wp:effectExtent l="0" t="0" r="0" b="0"/>
                      <wp:wrapNone/>
                      <wp:docPr id="337" name="Frame33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36220" cy="175260"/>
                      <wp:effectExtent l="0" t="0" r="0" b="0"/>
                      <wp:wrapNone/>
                      <wp:docPr id="338" name="Frame338"/>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06730" cy="175260"/>
                      <wp:effectExtent l="0" t="0" r="0" b="0"/>
                      <wp:wrapNone/>
                      <wp:docPr id="339" name="Frame339"/>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w:t>
            </w:r>
          </w:p>
        </w:tc>
        <w:tc>
          <w:tcPr>
            <w:tcW w:w="812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 2023</w:t>
            </w:r>
          </w:p>
        </w:tc>
      </w:tr>
      <w:tr>
        <w:trPr/>
        <w:tc>
          <w:tcPr>
            <w:tcW w:w="180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   </w:t>
            </w:r>
          </w:p>
        </w:tc>
        <w:tc>
          <w:tcPr>
            <w:tcW w:w="399"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   </w:t>
            </w:r>
          </w:p>
        </w:tc>
        <w:tc>
          <w:tcPr>
            <w:tcW w:w="471" w:type="dxa"/>
            <w:tcBorders/>
            <w:vAlign w:val="center"/>
          </w:tcPr>
          <w:p>
            <w:pPr>
              <w:pStyle w:val="TableContents"/>
              <w:bidi w:val="0"/>
              <w:spacing w:before="0" w:after="0"/>
              <w:ind w:left="0" w:right="0" w:hanging="0"/>
              <w:jc w:val="center"/>
              <w:rPr/>
            </w:pPr>
            <w:r>
              <w:rPr/>
              <w:t>​</w:t>
            </w:r>
          </w:p>
        </w:tc>
        <w:tc>
          <w:tcPr>
            <w:tcW w:w="774" w:type="dxa"/>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448"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85" w:type="dxa"/>
            <w:tcBorders/>
            <w:vAlign w:val="center"/>
          </w:tcPr>
          <w:p>
            <w:pPr>
              <w:pStyle w:val="TableContents"/>
              <w:bidi w:val="0"/>
              <w:spacing w:before="0" w:after="0"/>
              <w:ind w:left="0" w:right="0" w:hanging="0"/>
              <w:jc w:val="center"/>
              <w:rPr/>
            </w:pPr>
            <w:r>
              <w:rPr/>
              <w:t>​</w:t>
            </w:r>
          </w:p>
        </w:tc>
        <w:tc>
          <w:tcPr>
            <w:tcW w:w="570" w:type="dxa"/>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5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 as</w:t>
            </w:r>
          </w:p>
        </w:tc>
      </w:tr>
      <w:tr>
        <w:trPr/>
        <w:tc>
          <w:tcPr>
            <w:tcW w:w="180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w:t>
            </w:r>
          </w:p>
        </w:tc>
        <w:tc>
          <w:tcPr>
            <w:tcW w:w="399"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471" w:type="dxa"/>
            <w:tcBorders/>
            <w:vAlign w:val="center"/>
          </w:tcPr>
          <w:p>
            <w:pPr>
              <w:pStyle w:val="TableContents"/>
              <w:bidi w:val="0"/>
              <w:spacing w:before="0" w:after="0"/>
              <w:ind w:left="0" w:right="0" w:hanging="0"/>
              <w:jc w:val="center"/>
              <w:rPr/>
            </w:pPr>
            <w:r>
              <w:rPr/>
              <w:t>​</w:t>
            </w:r>
          </w:p>
        </w:tc>
        <w:tc>
          <w:tcPr>
            <w:tcW w:w="774"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448"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285" w:type="dxa"/>
            <w:tcBorders/>
            <w:vAlign w:val="center"/>
          </w:tcPr>
          <w:p>
            <w:pPr>
              <w:pStyle w:val="TableContents"/>
              <w:bidi w:val="0"/>
              <w:spacing w:before="0" w:after="0"/>
              <w:ind w:left="0" w:right="0" w:hanging="0"/>
              <w:jc w:val="center"/>
              <w:rPr/>
            </w:pPr>
            <w:r>
              <w:rPr/>
              <w:t>​</w:t>
            </w:r>
          </w:p>
        </w:tc>
        <w:tc>
          <w:tcPr>
            <w:tcW w:w="570"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and cash</w:t>
            </w:r>
          </w:p>
        </w:tc>
        <w:tc>
          <w:tcPr>
            <w:tcW w:w="266" w:type="dxa"/>
            <w:tcBorders/>
            <w:vAlign w:val="center"/>
          </w:tcPr>
          <w:p>
            <w:pPr>
              <w:pStyle w:val="TableContents"/>
              <w:bidi w:val="0"/>
              <w:spacing w:before="0" w:after="0"/>
              <w:ind w:left="0" w:right="0" w:hanging="0"/>
              <w:jc w:val="center"/>
              <w:rPr/>
            </w:pPr>
            <w:r>
              <w:rPr/>
              <w:t>   </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current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U.S. dollars in millions </w:t>
            </w:r>
          </w:p>
        </w:tc>
        <w:tc>
          <w:tcPr>
            <w:tcW w:w="266"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266" w:type="dxa"/>
            <w:tcBorders/>
            <w:vAlign w:val="center"/>
          </w:tcPr>
          <w:p>
            <w:pPr>
              <w:pStyle w:val="TableContents"/>
              <w:bidi w:val="0"/>
              <w:spacing w:before="0" w:after="0"/>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w:t>
            </w:r>
          </w:p>
        </w:tc>
        <w:tc>
          <w:tcPr>
            <w:tcW w:w="26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w:t>
            </w:r>
          </w:p>
        </w:tc>
        <w:tc>
          <w:tcPr>
            <w:tcW w:w="266" w:type="dxa"/>
            <w:tcBorders/>
            <w:vAlign w:val="center"/>
          </w:tcPr>
          <w:p>
            <w:pPr>
              <w:pStyle w:val="TableContents"/>
              <w:bidi w:val="0"/>
              <w:spacing w:before="0" w:after="0"/>
              <w:ind w:left="0" w:right="0" w:hanging="0"/>
              <w:jc w:val="center"/>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6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equivalents</w:t>
            </w:r>
          </w:p>
        </w:tc>
        <w:tc>
          <w:tcPr>
            <w:tcW w:w="266" w:type="dxa"/>
            <w:tcBorders/>
            <w:vAlign w:val="center"/>
          </w:tcPr>
          <w:p>
            <w:pPr>
              <w:pStyle w:val="TableContents"/>
              <w:bidi w:val="0"/>
              <w:spacing w:before="0" w:after="0"/>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266" w:type="dxa"/>
            <w:tcBorders/>
            <w:shd w:fill="CCEEFF" w:val="clear"/>
            <w:vAlign w:val="center"/>
          </w:tcPr>
          <w:p>
            <w:pPr>
              <w:pStyle w:val="TableContents"/>
              <w:bidi w:val="0"/>
              <w:spacing w:before="0" w:after="0"/>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266" w:type="dxa"/>
            <w:tcBorders/>
            <w:shd w:fill="CCEEFF" w:val="clear"/>
            <w:vAlign w:val="center"/>
          </w:tcPr>
          <w:p>
            <w:pPr>
              <w:pStyle w:val="TableContents"/>
              <w:bidi w:val="0"/>
              <w:spacing w:before="0" w:after="0"/>
              <w:ind w:left="0" w:right="0" w:hanging="0"/>
              <w:jc w:val="left"/>
              <w:rPr/>
            </w:pPr>
            <w:r>
              <w:rPr/>
              <w:t>​</w:t>
            </w:r>
          </w:p>
        </w:tc>
        <w:tc>
          <w:tcPr>
            <w:tcW w:w="4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26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266" w:type="dxa"/>
            <w:tcBorders/>
            <w:shd w:fill="CCEEFF" w:val="clear"/>
            <w:vAlign w:val="center"/>
          </w:tcPr>
          <w:p>
            <w:pPr>
              <w:pStyle w:val="TableContents"/>
              <w:bidi w:val="0"/>
              <w:spacing w:before="0" w:after="0"/>
              <w:ind w:left="0" w:right="0" w:hanging="0"/>
              <w:jc w:val="left"/>
              <w:rPr/>
            </w:pPr>
            <w:r>
              <w:rPr/>
              <w:t>​</w:t>
            </w:r>
          </w:p>
        </w:tc>
        <w:tc>
          <w:tcPr>
            <w:tcW w:w="3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26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932</w:t>
            </w:r>
          </w:p>
        </w:tc>
        <w:tc>
          <w:tcPr>
            <w:tcW w:w="266" w:type="dxa"/>
            <w:tcBorders/>
            <w:vAlign w:val="center"/>
          </w:tcPr>
          <w:p>
            <w:pPr>
              <w:pStyle w:val="TableContents"/>
              <w:bidi w:val="0"/>
              <w:spacing w:before="0" w:after="0"/>
              <w:ind w:left="0" w:right="0" w:hanging="0"/>
              <w:jc w:val="left"/>
              <w:rPr/>
            </w:pPr>
            <w:r>
              <w:rPr/>
              <w:t>​</w:t>
            </w:r>
          </w:p>
        </w:tc>
        <w:tc>
          <w:tcPr>
            <w:tcW w:w="4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74"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7"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932</w:t>
            </w:r>
          </w:p>
        </w:tc>
        <w:tc>
          <w:tcPr>
            <w:tcW w:w="26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932</w:t>
            </w:r>
          </w:p>
        </w:tc>
        <w:tc>
          <w:tcPr>
            <w:tcW w:w="26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8"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 Investments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fair value of equity investments which were purchased during the period and classified within other current assets, was $9 million as of June 29, 2024. Unrealized gains and losses recorded in other financial income (expense), net for the three and six months ended June 29, 2024 amounted to $(1) million.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 CONTINGENCIES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Class Action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16, 2024, a putative class action captioned McAuliffe v. Mobileye Global Inc., et al., 1:24-CV-00310 (S.D.N.Y.), was filed in the United States District Court for the Southern District of New York against Mobileye and certain of its current and former officers, asserting violations of Sections 10(b) and 20(a) of the Securities Exchange Act of 1934 in connection with defendants’ alleged misstatements and omissions concerning the build-up of excess inventory by certain Tier 1 Mobileye customers. The complaint seeks unspecified damages and other relief on behalf of all persons and entities who purchased or otherwise acquired Mobileye securities between January 26, 2023 and January 3, 2024. On July 12, 2024, the court consolidated the McAuliffe case with a substantively identical case, Le v. Mobileye Global Inc., et al., 1:24-CV-01390 (S.D.N.Y.), appointed a lead plaintiff, and set an initial schedule for the consolidated case. We intend to defend the matter vigorously. No provision was recorded in the financial statements as of June 29,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Derivative Action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a nominal defendant. On July 9, 2024, this derivative action was consolidated with the derivative action originally filed on April 12, 2024 and the consolidated derivative action was stayed by the court pending resolution of the anticipated motion to dismiss in the consolidated securities action. We intend to defend the derivative claims vigorously. No provision for the consolidated derivative action was recorded in the financial statements as of June 29,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12 - SUBSEQUENT EVENTS</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2024, the Company’s compensation committee approved the issuance of restricted stock units to be issued under our 2022 Equity Incentive Plan. The total aggregate fair value of RSUs granted was $278 million, which consisted of 10,391 thousand RSUs, which will vest over a service period of three years.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54" w:name="Item2ManagementsDiscussionandAnalysisofF"/>
      <w:bookmarkStart w:id="1355" w:name="_52e05858_9b45_45fa_94a5_b6b15e599689"/>
      <w:bookmarkEnd w:id="1354"/>
      <w:bookmarkEnd w:id="1355"/>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condensed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As of June 29, 2024, our solutions had been installed in approximately 800 vehicle models (including local country, year, and other vehicle model variations), and our System-on-Chips (“SoCs”) had been deployed in approximately 180 million vehicles. We are actively working with more than 50 Original Equipment Manufacturers (“OEMs”) worldwide on the implementation of our ADAS solutions. In the six months ended June 29, 2024, we shipped approximately 11.2 million of our systems, the substantial majority of which were EyeQ</w:t>
      </w:r>
      <w:r>
        <w:rPr>
          <w:rFonts w:ascii="Times New Roman;Times;serif" w:hAnsi="Times New Roman;Times;serif"/>
          <w:sz w:val="15"/>
        </w:rPr>
        <w:t>TM</w:t>
      </w:r>
      <w:r>
        <w:rPr>
          <w:rFonts w:ascii="Times New Roman;Times;serif" w:hAnsi="Times New Roman;Times;serif"/>
          <w:sz w:val="20"/>
        </w:rPr>
        <w:t xml:space="preserve"> SoCs. This represents a decrease from the approximately 16.4 million of our systems that we shipped in the six months ended July 1,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internal reorganization and design of our new public entity (the “Reorganization”) and our initial public offering (the “Mobileye IPO”) in October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Operations in Israel.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7, 2023, Hamas launched a series of attacks on civilian and military targets in Southern Israel and Central Israel, to which the Israel Defense Forces have responded. In addition, Hezbollah has attacked military and civilian targets in Northern Israel, to which Israel has responded. Further, on April 13, 2024, Iran launched a series of drone and missile strikes against Israel, to which Israel has responded. How long and how severe the current conflict in Gaza, Northern Israel or the broader region becomes is unknown at this time and any continued clash among Israel, Hamas, Hezbollah, Iran or other countries or militant groups in the region may escalate in the future into a greater regional conflict. To date, our operations have not been materially affected, although as of July 31, 2024 approximately 3.6% of our employees have been called to reserve duty in the Israel Defense Forces. We expect that the current conflict in the Gaza Strip and the security escalation in Israel will not have a material impact on our business results in the short term. However, since this is an event beyond our control, its continuation or cessation may affect our expectations. We continue to monitor political and military developments closely and examine the consequences for our operations and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Business Model</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We currently derive substantially all of our revenue from our commercially deployed ADAS solutions, including our Premium ADAS solutions. In the future, propelled by our next generation of EyeQ</w:t>
      </w:r>
      <w:r>
        <w:rPr>
          <w:rFonts w:ascii="Times New Roman;Times;serif" w:hAnsi="Times New Roman;Times;serif"/>
          <w:sz w:val="15"/>
        </w:rPr>
        <w:t>TM</w:t>
      </w:r>
      <w:r>
        <w:rPr>
          <w:rFonts w:ascii="Times New Roman;Times;serif" w:hAnsi="Times New Roman;Times;serif"/>
          <w:sz w:val="20"/>
        </w:rPr>
        <w:t xml:space="preserve"> SoCs, our surround computer vision Mobileye SuperVision™ solution, productization of software-defined imaging radars and our True Redundancy™ architecture, we believe that we will be positioned to deliver an autonomous driving solution that can enable the mass adoption of AV.</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180"/>
        <w:ind w:left="0" w:right="0" w:firstLine="360"/>
        <w:jc w:val="both"/>
        <w:rPr>
          <w:rFonts w:ascii="Times New Roman;Times;serif" w:hAnsi="Times New Roman;Times;serif"/>
          <w:sz w:val="20"/>
        </w:rPr>
      </w:pPr>
      <w:r>
        <w:rPr>
          <w:rFonts w:ascii="Times New Roman;Times;serif" w:hAnsi="Times New Roman;Times;serif"/>
          <w:sz w:val="20"/>
        </w:rPr>
        <w:t>We generate the majority of our revenue from the sale of our EyeQ</w:t>
      </w:r>
      <w:r>
        <w:rPr>
          <w:rFonts w:ascii="Times New Roman;Times;serif" w:hAnsi="Times New Roman;Times;serif"/>
          <w:sz w:val="15"/>
        </w:rPr>
        <w:t>TM</w:t>
      </w:r>
      <w:r>
        <w:rPr>
          <w:rFonts w:ascii="Times New Roman;Times;serif" w:hAnsi="Times New Roman;Times;serif"/>
          <w:sz w:val="20"/>
        </w:rPr>
        <w:t xml:space="preserve"> SoCs to OEMs through sales to Tier 1 automotive suppliers. We typically sell our products with volume-based pricing and recognize the revenue and costs associated with our products upon shipment.</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pStyle w:val="TextBody"/>
        <w:bidi w:val="0"/>
        <w:spacing w:lineRule="auto" w:line="240" w:before="0" w:after="180"/>
        <w:ind w:left="0" w:right="0" w:firstLine="360"/>
        <w:jc w:val="both"/>
        <w:rPr>
          <w:rFonts w:ascii="Times New Roman;Times;serif" w:hAnsi="Times New Roman;Times;serif"/>
          <w:sz w:val="20"/>
        </w:rPr>
      </w:pPr>
      <w:r>
        <w:rPr>
          <w:rFonts w:ascii="Times New Roman;Times;serif" w:hAnsi="Times New Roman;Times;serif"/>
          <w:sz w:val="20"/>
        </w:rPr>
        <w:t>We partner with STMicroelectronics, a leading supplier and innovator of semiconductor devices for automotive applications, in manufacturing, design, and research and development. We have co-developed six generations of our automotive grade SOC, EyeQ</w:t>
      </w:r>
      <w:r>
        <w:rPr>
          <w:rFonts w:ascii="Times New Roman;Times;serif" w:hAnsi="Times New Roman;Times;serif"/>
          <w:sz w:val="15"/>
        </w:rPr>
        <w:t>TM</w:t>
      </w:r>
      <w:r>
        <w:rPr>
          <w:rFonts w:ascii="Times New Roman;Times;serif" w:hAnsi="Times New Roman;Times;serif"/>
          <w:sz w:val="20"/>
        </w:rPr>
        <w:t>, with STMicroelectronics, including EyeQ</w:t>
      </w:r>
      <w:r>
        <w:rPr>
          <w:rFonts w:ascii="Times New Roman;Times;serif" w:hAnsi="Times New Roman;Times;serif"/>
          <w:sz w:val="15"/>
        </w:rPr>
        <w:t>TM</w:t>
      </w:r>
      <w:r>
        <w:rPr>
          <w:rFonts w:ascii="Times New Roman;Times;serif" w:hAnsi="Times New Roman;Times;serif"/>
          <w:sz w:val="20"/>
        </w:rPr>
        <w:t>5 and EyeQ</w:t>
      </w:r>
      <w:r>
        <w:rPr>
          <w:rFonts w:ascii="Times New Roman;Times;serif" w:hAnsi="Times New Roman;Times;serif"/>
          <w:sz w:val="15"/>
        </w:rPr>
        <w:t>TM</w:t>
      </w:r>
      <w:r>
        <w:rPr>
          <w:rFonts w:ascii="Times New Roman;Times;serif" w:hAnsi="Times New Roman;Times;serif"/>
          <w:sz w:val="20"/>
        </w:rPr>
        <w:t>6. We have also established relationships with several suppliers, such as Quanta Computer, to develop and assemble our ECUs, including the design for our Mobileye SuperVision™, which includes our EyeQ</w:t>
      </w:r>
      <w:r>
        <w:rPr>
          <w:rFonts w:ascii="Times New Roman;Times;serif" w:hAnsi="Times New Roman;Times;serif"/>
          <w:sz w:val="15"/>
        </w:rPr>
        <w:t>TM</w:t>
      </w:r>
      <w:r>
        <w:rPr>
          <w:rFonts w:ascii="Times New Roman;Times;serif" w:hAnsi="Times New Roman;Times;serif"/>
          <w:sz w:val="20"/>
        </w:rPr>
        <w:t>5 SoCs manufactured by STMicroelectronics.</w:t>
      </w:r>
    </w:p>
    <w:p>
      <w:pPr>
        <w:pStyle w:val="TextBody"/>
        <w:bidi w:val="0"/>
        <w:spacing w:lineRule="auto" w:line="240" w:before="0" w:after="180"/>
        <w:ind w:left="0" w:right="0" w:firstLine="360"/>
        <w:jc w:val="both"/>
        <w:rPr>
          <w:rFonts w:ascii="Times New Roman;Times;serif" w:hAnsi="Times New Roman;Times;serif"/>
          <w:sz w:val="20"/>
        </w:rPr>
      </w:pPr>
      <w:r>
        <w:rPr>
          <w:rFonts w:ascii="Times New Roman;Times;serif" w:hAnsi="Times New Roman;Times;serif"/>
          <w:sz w:val="20"/>
        </w:rPr>
        <w:t>Our close partnership with Intel exists on multiple fronts. As a result of our relationship with Intel, we have access to unique and differentiating technologies. For example, we may license certain technologies from Intel that support the development of our FMCW lidar, and the design and development of our software-defined radar, including Intel’s mmWave technologies. Additionally, we intend to explore a collaboration with Intel on a technology platform to integrate our EyeQ</w:t>
      </w:r>
      <w:r>
        <w:rPr>
          <w:rFonts w:ascii="Times New Roman;Times;serif" w:hAnsi="Times New Roman;Times;serif"/>
          <w:sz w:val="15"/>
        </w:rPr>
        <w:t>TM</w:t>
      </w:r>
      <w:r>
        <w:rPr>
          <w:rFonts w:ascii="Times New Roman;Times;serif" w:hAnsi="Times New Roman;Times;serif"/>
          <w:sz w:val="20"/>
        </w:rPr>
        <w:t xml:space="preserve">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 </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Key Factors Affecting Our Performance</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believe there are several important factors that have affected and that we expect to continue to affect 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Global demand for automotive vehicles. </w:t>
      </w:r>
      <w:r>
        <w:rPr>
          <w:rFonts w:ascii="Times New Roman;Times;serif" w:hAnsi="Times New Roman;Times;serif"/>
          <w:sz w:val="20"/>
        </w:rPr>
        <w:t>Our business performance is related to global automotive sales and automotive vehicle production by our OEM customers. Economic conditions in North America, Europe and Asia can have a large impact on the production volume of new vehicles, and, accordingly, have an impact on our revenue.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and weakness in the global automotive market, including macro-factors impacting our sales to OEMs in China, and the extent of the adverse effect that such weakness and volatility will have on our results of operations, financial condition and business in the long term. Our OEM customers’ production can vary from period to period due to global demand, market conditions and competitive conditions, geopolitical issues including trade restrictions and tariffs, as well as other factors. For example, we expect a reduction in production estimates and orders from customers in the second half of 2024, primarily due to China related macro-factors. While automotive production has now recovered to approximately 2019 levels, current uncertain economic conditions and inflation may contribute to a reduction in consumer demand. On the other hand, pent up demand from years of below peak production levels could lead to better than expected production. In addition to economic conditions, in prior periods, including during the supply chain crisis and semi-conductor shortage of 2021 and 2022, certain Tier 1 customers increased their orders for components and parts, including our solutions, to counteract the impact of supply chain shortages for auto parts. As a result, some demand for our solutions and the corresponding revenue from these customers were shifted to earlier time periods than otherwise would have occurred absent a general supply chain shortage and inflationary environment. As a result of our standard planning process for 2024, including discussions with our Tier 1 customers, we became aware in late 2023 of significant excess inventory at our customers. This as well as lower than expected production at certain OEMs during 2023 led to the decision by our Tier 1 customers to prioritize in the first quarter of 2024 the utilization of excess inventory on hand before using new shipments to meet the demand of OEMs. We estimate that our customers have used the vast majority of this excess customer inventory in the first and second quarters of 2024, in accordance with our expectations, but there is no guarantee that orders will continue to normalize during the remainder of 2024. ADAS volumes have grown faster in recent years than the overall automotive market as ADAS penetration rates have increased, and we believe that we will continue to benefit from that trend. However, our revenue of $678 million in the six months ended June 29, 2024 was down (26)% year-over-year, primarily due to the aforementioned utilization of excess inventory by our customers during the first and second quarters of 2024. Continued or future constraint on global automotive production resulting from the effects of economic uncertainty, both global and in specific markets in which we operate,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180"/>
        <w:ind w:left="0" w:right="0" w:firstLine="360"/>
        <w:jc w:val="both"/>
        <w:rPr>
          <w:rFonts w:ascii="Times New Roman;Times;serif" w:hAnsi="Times New Roman;Times;serif"/>
          <w:sz w:val="20"/>
        </w:rPr>
      </w:pPr>
      <w:r>
        <w:rPr>
          <w:rFonts w:ascii="Times New Roman;Times;serif" w:hAnsi="Times New Roman;Times;serif"/>
          <w:b/>
          <w:i/>
          <w:sz w:val="20"/>
        </w:rPr>
        <w:t>Design wins with new and existing customers.</w:t>
      </w:r>
      <w:r>
        <w:rPr>
          <w:rFonts w:ascii="Times New Roman;Times;serif" w:hAnsi="Times New Roman;Times;serif"/>
          <w:sz w:val="20"/>
        </w:rPr>
        <w:t xml:space="preserve"> Global OEMs are continuously looking for innovative ways to improve the customer 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Times;serif" w:hAnsi="Times New Roman;Times;serif"/>
          <w:sz w:val="15"/>
        </w:rPr>
        <w:t>TM</w:t>
      </w:r>
      <w:r>
        <w:rPr>
          <w:rFonts w:ascii="Times New Roman;Times;serif" w:hAnsi="Times New Roman;Times;serif"/>
          <w:sz w:val="20"/>
        </w:rPr>
        <w:t xml:space="preserve"> products, though there is no guarantee that our customers will purchase our solutions in any certain quantity or at any certain price even after we achieve design wins.</w:t>
      </w:r>
    </w:p>
    <w:p>
      <w:pPr>
        <w:pStyle w:val="TextBody"/>
        <w:bidi w:val="0"/>
        <w:spacing w:lineRule="auto" w:line="240" w:before="0" w:after="180"/>
        <w:ind w:left="0" w:right="0" w:firstLine="360"/>
        <w:jc w:val="both"/>
        <w:rPr>
          <w:rFonts w:ascii="Times New Roman;Times;serif" w:hAnsi="Times New Roman;Times;serif"/>
          <w:sz w:val="20"/>
        </w:rPr>
      </w:pPr>
      <w:r>
        <w:rPr>
          <w:rFonts w:ascii="Times New Roman;Times;serif" w:hAnsi="Times New Roman;Times;serif"/>
          <w:b/>
          <w:i/>
          <w:sz w:val="20"/>
        </w:rPr>
        <w:t xml:space="preserve">Investment in technology leadership and product development. </w:t>
      </w:r>
      <w:r>
        <w:rPr>
          <w:rFonts w:ascii="Times New Roman;Times;serif" w:hAnsi="Times New Roman;Times;serif"/>
          <w:sz w:val="20"/>
        </w:rPr>
        <w:t>We believe our ability to continue to develop and design highly 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Times;serif" w:hAnsi="Times New Roman;Times;serif"/>
          <w:sz w:val="15"/>
        </w:rPr>
        <w:t>TM</w:t>
      </w:r>
      <w:r>
        <w:rPr>
          <w:rFonts w:ascii="Times New Roman;Times;serif" w:hAnsi="Times New Roman;Times;serif"/>
          <w:sz w:val="20"/>
        </w:rPr>
        <w:t xml:space="preserve"> SoCs and advanced systems will ultimately power autonomous driving solutions. The EyeQ</w:t>
      </w:r>
      <w:r>
        <w:rPr>
          <w:rFonts w:ascii="Times New Roman;Times;serif" w:hAnsi="Times New Roman;Times;serif"/>
          <w:sz w:val="15"/>
        </w:rPr>
        <w:t>TM</w:t>
      </w:r>
      <w:r>
        <w:rPr>
          <w:rFonts w:ascii="Times New Roman;Times;serif" w:hAnsi="Times New Roman;Times;serif"/>
          <w:sz w:val="20"/>
        </w:rPr>
        <w:t xml:space="preserve"> family design further enables scalable ECU architectures, from supporting a variety of ADAS solution architectures to hosting the full workload of autonomous driving, while meeting stringent cost and power efficiency requirements. We expect that our development of software-defined imaging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b/>
          <w:i/>
          <w:sz w:val="20"/>
        </w:rPr>
        <w:t xml:space="preserve">Regulation for ADAS and autonomous driving solutions. </w:t>
      </w:r>
      <w:r>
        <w:rPr>
          <w:rFonts w:ascii="Times New Roman;Times;serif" w:hAnsi="Times New Roman;Times;serif"/>
          <w:sz w:val="20"/>
        </w:rPr>
        <w:t>Demand for our solutions is influenced by the impact of regulation and 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b/>
          <w:i/>
          <w:sz w:val="20"/>
        </w:rPr>
        <w:t>Consumer adoption of our ADAS and autonomous driving solutions.</w:t>
      </w:r>
      <w:r>
        <w:rPr>
          <w:rFonts w:ascii="Times New Roman;Times;serif" w:hAnsi="Times New Roman;Times;serif"/>
          <w:sz w:val="20"/>
        </w:rPr>
        <w:t xml:space="preserve"> Our financial performance is in part driven by public 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b/>
          <w:i/>
          <w:sz w:val="20"/>
        </w:rPr>
        <w:t>Solution mix, pricing, and product costs.</w:t>
      </w:r>
      <w:r>
        <w:rPr>
          <w:rFonts w:ascii="Times New Roman;Times;serif" w:hAnsi="Times New Roman;Times;serif"/>
          <w:sz w:val="20"/>
        </w:rPr>
        <w:t xml:space="preserve"> Solution mix is among the most important factors affecting our revenue and gross margin, 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w:t>
      </w:r>
      <w:r>
        <w:rPr>
          <w:rFonts w:ascii="Times New Roman;Times;serif" w:hAnsi="Times New Roman;Times;serif"/>
          <w:sz w:val="15"/>
        </w:rPr>
        <w:t>TM</w:t>
      </w:r>
      <w:r>
        <w:rPr>
          <w:rFonts w:ascii="Times New Roman;Times;serif" w:hAnsi="Times New Roman;Times;serif"/>
          <w:sz w:val="20"/>
        </w:rPr>
        <w:t xml:space="preserve">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180"/>
        <w:ind w:left="0" w:right="0" w:firstLine="360"/>
        <w:jc w:val="both"/>
        <w:rPr>
          <w:rFonts w:ascii="Times New Roman;Times;serif" w:hAnsi="Times New Roman;Times;serif"/>
          <w:sz w:val="20"/>
        </w:rPr>
      </w:pPr>
      <w:r>
        <w:rPr>
          <w:rFonts w:ascii="Times New Roman;Times;serif" w:hAnsi="Times New Roman;Times;serif"/>
          <w:sz w:val="20"/>
        </w:rPr>
        <w:t>Average selling price (“ASP”)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delivering full system solutions consisting of higher-function products such as SuperVision</w:t>
      </w:r>
      <w:r>
        <w:rPr>
          <w:rFonts w:ascii="Times New Roman;Times;serif" w:hAnsi="Times New Roman;Times;serif"/>
          <w:sz w:val="15"/>
        </w:rPr>
        <w:t>TM</w:t>
      </w:r>
      <w:r>
        <w:rPr>
          <w:rFonts w:ascii="Times New Roman;Times;serif" w:hAnsi="Times New Roman;Times;serif"/>
          <w:sz w:val="20"/>
        </w:rPr>
        <w:t xml:space="preserve"> which carry significantly higher prices as compared to our single EyeQ</w:t>
      </w:r>
      <w:r>
        <w:rPr>
          <w:rFonts w:ascii="Times New Roman;Times;serif" w:hAnsi="Times New Roman;Times;serif"/>
          <w:sz w:val="15"/>
        </w:rPr>
        <w:t>TM</w:t>
      </w:r>
      <w:r>
        <w:rPr>
          <w:rFonts w:ascii="Times New Roman;Times;serif" w:hAnsi="Times New Roman;Times;serif"/>
          <w:sz w:val="20"/>
        </w:rPr>
        <w:t xml:space="preserve"> SoC and cloud-enhanced ADAS products. We believe our differentiated and scalable solutions consistently enhanced by additional features can enable us to maintain or increase overall ASPs over time, as SuperVision</w:t>
      </w:r>
      <w:r>
        <w:rPr>
          <w:rFonts w:ascii="Times New Roman;Times;serif" w:hAnsi="Times New Roman;Times;serif"/>
          <w:sz w:val="15"/>
        </w:rPr>
        <w:t>TM</w:t>
      </w:r>
      <w:r>
        <w:rPr>
          <w:rFonts w:ascii="Times New Roman;Times;serif" w:hAnsi="Times New Roman;Times;serif"/>
          <w:sz w:val="20"/>
        </w:rPr>
        <w:t xml:space="preserve"> and other advanced solutions become a larger portion of our product mix.</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in 2022 and 2023 as a result of supply chain shortages, including the global semiconductor shortage, and inflationary pressures. While we were largely successful in increasing our ASPs to reflect these cost increases, we experienced a reduction in percentage gross margin,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Quanta Computer and other suppliers on a continuous basis to manage material costs, increase yields and improve manufacturing, assembly, and test costs.</w:t>
      </w:r>
    </w:p>
    <w:p>
      <w:pPr>
        <w:pStyle w:val="TextBody"/>
        <w:bidi w:val="0"/>
        <w:spacing w:lineRule="auto" w:line="240" w:before="0" w:after="180"/>
        <w:ind w:left="0" w:right="0" w:firstLine="360"/>
        <w:jc w:val="both"/>
        <w:rPr>
          <w:rFonts w:ascii="Times New Roman;Times;serif" w:hAnsi="Times New Roman;Times;serif"/>
          <w:sz w:val="20"/>
        </w:rPr>
      </w:pPr>
      <w:r>
        <w:rPr>
          <w:rFonts w:ascii="Times New Roman;Times;serif" w:hAnsi="Times New Roman;Times;serif"/>
          <w:b/>
          <w:i/>
          <w:sz w:val="20"/>
        </w:rPr>
        <w:t>Supply and manufacturing capacity.</w:t>
      </w:r>
      <w:r>
        <w:rPr>
          <w:rFonts w:ascii="Times New Roman;Times;serif" w:hAnsi="Times New Roman;Times;serif"/>
          <w:sz w:val="20"/>
        </w:rPr>
        <w:t xml:space="preserve"> Our solutions are dependent on the global semiconductor supply chain. The continued and 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During 2021 and 2022, the semiconductor industry experienced widespread shortages of substrates and other components and available foundry manufacturing capacity. We entered 2022 with significantly lower inventories of our EyeQ</w:t>
      </w:r>
      <w:r>
        <w:rPr>
          <w:rFonts w:ascii="Times New Roman;Times;serif" w:hAnsi="Times New Roman;Times;serif"/>
          <w:sz w:val="15"/>
        </w:rPr>
        <w:t>TM</w:t>
      </w:r>
      <w:r>
        <w:rPr>
          <w:rFonts w:ascii="Times New Roman;Times;serif" w:hAnsi="Times New Roman;Times;serif"/>
          <w:sz w:val="20"/>
        </w:rPr>
        <w:t xml:space="preserve"> SoCs on our balance sheet as a result of the limited supply during 2021. Further, STMicroelectronics, our sole supplier of EyeQ</w:t>
      </w:r>
      <w:r>
        <w:rPr>
          <w:rFonts w:ascii="Times New Roman;Times;serif" w:hAnsi="Times New Roman;Times;serif"/>
          <w:sz w:val="15"/>
        </w:rPr>
        <w:t>TM</w:t>
      </w:r>
      <w:r>
        <w:rPr>
          <w:rFonts w:ascii="Times New Roman;Times;serif" w:hAnsi="Times New Roman;Times;serif"/>
          <w:sz w:val="20"/>
        </w:rPr>
        <w:t xml:space="preserve"> SoCs, was not able to meet our demand for EyeQ</w:t>
      </w:r>
      <w:r>
        <w:rPr>
          <w:rFonts w:ascii="Times New Roman;Times;serif" w:hAnsi="Times New Roman;Times;serif"/>
          <w:sz w:val="15"/>
        </w:rPr>
        <w:t>TM</w:t>
      </w:r>
      <w:r>
        <w:rPr>
          <w:rFonts w:ascii="Times New Roman;Times;serif" w:hAnsi="Times New Roman;Times;serif"/>
          <w:sz w:val="20"/>
        </w:rPr>
        <w:t xml:space="preserve"> SoCs during 2022, causing further a significant reduction in our company-owned inventory level. Starting in late 2022 and early 2023, such supply chain disruptions, raw material shortages, and manufacturing limitations abated and during 2023, we successfully increased levels of EyeQ</w:t>
      </w:r>
      <w:r>
        <w:rPr>
          <w:rFonts w:ascii="Times New Roman;Times;serif" w:hAnsi="Times New Roman;Times;serif"/>
          <w:sz w:val="15"/>
        </w:rPr>
        <w:t>TM</w:t>
      </w:r>
      <w:r>
        <w:rPr>
          <w:rFonts w:ascii="Times New Roman;Times;serif" w:hAnsi="Times New Roman;Times;serif"/>
          <w:sz w:val="20"/>
        </w:rPr>
        <w:t xml:space="preserve">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w:t>
      </w:r>
      <w:r>
        <w:rPr>
          <w:rFonts w:ascii="Times New Roman;Times;serif" w:hAnsi="Times New Roman;Times;serif"/>
          <w:sz w:val="15"/>
        </w:rPr>
        <w:t>TM</w:t>
      </w:r>
      <w:r>
        <w:rPr>
          <w:rFonts w:ascii="Times New Roman;Times;serif" w:hAnsi="Times New Roman;Times;serif"/>
          <w:sz w:val="20"/>
        </w:rPr>
        <w:t xml:space="preserve"> SoCs or SuperVision</w:t>
      </w:r>
      <w:r>
        <w:rPr>
          <w:rFonts w:ascii="Times New Roman;Times;serif" w:hAnsi="Times New Roman;Times;serif"/>
          <w:sz w:val="15"/>
        </w:rPr>
        <w:t>TM</w:t>
      </w:r>
      <w:r>
        <w:rPr>
          <w:rFonts w:ascii="Times New Roman;Times;serif" w:hAnsi="Times New Roman;Times;serif"/>
          <w:sz w:val="20"/>
        </w:rPr>
        <w:t xml:space="preserve"> ECUs on hand. As a result, we are substantially reliant on timely shipments of EyeQ</w:t>
      </w:r>
      <w:r>
        <w:rPr>
          <w:rFonts w:ascii="Times New Roman;Times;serif" w:hAnsi="Times New Roman;Times;serif"/>
          <w:sz w:val="15"/>
        </w:rPr>
        <w:t>TM</w:t>
      </w:r>
      <w:r>
        <w:rPr>
          <w:rFonts w:ascii="Times New Roman;Times;serif" w:hAnsi="Times New Roman;Times;serif"/>
          <w:sz w:val="20"/>
        </w:rPr>
        <w:t xml:space="preserve"> SoCs from STMicroelectronics and ECUs from Quanta Computer (or other suppliers) to fulfill customer orders and if such a shortfall of chips of ECUs were to occur, we may be unable to offset future supply constraints through the use of inventory on hand. Our results of operations in the three and six months ended June 29, 2024 have not been impacted by any shortfall of chips.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 </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b/>
          <w:i/>
          <w:sz w:val="20"/>
        </w:rPr>
        <w:t xml:space="preserve">Public company expenses. </w:t>
      </w:r>
      <w:r>
        <w:rPr>
          <w:rFonts w:ascii="Times New Roman;Times;serif" w:hAnsi="Times New Roman;Times;serif"/>
          <w:sz w:val="20"/>
        </w:rPr>
        <w:t>As a recently public company, we have implemented and will continue to implement additional procedures and processes for the purpose of addressing the standards and requirements applicable to public companies. In particular, we expect our accounting, legal and personnel-related expenses to increase as we continue to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will reflect the impact of these expenses. We also expect the costs of our insurance, including directors’ and officers’ insurance and insurance coverage for AV activity, to increase as a result of higher premiums.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in connection with the Mobileye IPO, we established an equity incentive plan for purposes of granting share-based compensation awards to certain members of our senior management, to our non-employee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 Segment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We currently derive substantially all of our revenue from our commercially deployed ADAS solutions including our Premium ADAS solutions. We generate the majority of our revenue from the sale of our EyeQ</w:t>
      </w:r>
      <w:r>
        <w:rPr>
          <w:rFonts w:ascii="Times New Roman;Times;serif" w:hAnsi="Times New Roman;Times;serif"/>
          <w:sz w:val="15"/>
        </w:rPr>
        <w:t>TM</w:t>
      </w:r>
      <w:r>
        <w:rPr>
          <w:rFonts w:ascii="Times New Roman;Times;serif" w:hAnsi="Times New Roman;Times;serif"/>
          <w:sz w:val="20"/>
        </w:rPr>
        <w:t xml:space="preserve">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EyeQ</w:t>
      </w:r>
      <w:r>
        <w:rPr>
          <w:rFonts w:ascii="Times New Roman;Times;serif" w:hAnsi="Times New Roman;Times;serif"/>
          <w:sz w:val="15"/>
        </w:rPr>
        <w:t>TM</w:t>
      </w:r>
      <w:r>
        <w:rPr>
          <w:rFonts w:ascii="Times New Roman;Times;serif" w:hAnsi="Times New Roman;Times;serif"/>
          <w:sz w:val="20"/>
        </w:rPr>
        <w:t xml:space="preserve"> SoC sales represented approximately 86% and 92% of our revenue for the three months ended June 29, 2024 and July 1, 2023, respectively, and 81% and 90% of our revenue in the six months ended June 29, 2024 and July 1, 2023, respectively. Sales of our SuperVision™ product represented the majority of the remainder of our revenue for the three and six months ended June 29, 2024 and also for the three and six months ended July 1, 2023. Revenue from the sale of our EyeQ</w:t>
      </w:r>
      <w:r>
        <w:rPr>
          <w:rFonts w:ascii="Times New Roman;Times;serif" w:hAnsi="Times New Roman;Times;serif"/>
          <w:sz w:val="15"/>
        </w:rPr>
        <w:t>TM</w:t>
      </w:r>
      <w:r>
        <w:rPr>
          <w:rFonts w:ascii="Times New Roman;Times;serif" w:hAnsi="Times New Roman;Times;serif"/>
          <w:sz w:val="20"/>
        </w:rPr>
        <w:t xml:space="preserve"> products and SuperVision™ products is recognized at the time of product shipment from our facilities, as determined by the agreed-upon shipping terms. Our sales to any single Tier 1 automotive supplier typically cover more than one OEM and more than one production program from any OEM.</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Cost of revenue consists primarily of expenses associated with the manufacturing cost of our EyeQ</w:t>
      </w:r>
      <w:r>
        <w:rPr>
          <w:rFonts w:ascii="Times New Roman;Times;serif" w:hAnsi="Times New Roman;Times;serif"/>
          <w:sz w:val="15"/>
        </w:rPr>
        <w:t>TM</w:t>
      </w:r>
      <w:r>
        <w:rPr>
          <w:rFonts w:ascii="Times New Roman;Times;serif" w:hAnsi="Times New Roman;Times;serif"/>
          <w:sz w:val="20"/>
        </w:rPr>
        <w:t xml:space="preserve"> SoCs and our SuperVision™ product, and amortization of acquired intangible assets, identified as developed technology. Additional costs are royalty fees for the intellectual property that is included in the EyeQ</w:t>
      </w:r>
      <w:r>
        <w:rPr>
          <w:rFonts w:ascii="Times New Roman;Times;serif" w:hAnsi="Times New Roman;Times;serif"/>
          <w:sz w:val="15"/>
        </w:rPr>
        <w:t>TM</w:t>
      </w:r>
      <w:r>
        <w:rPr>
          <w:rFonts w:ascii="Times New Roman;Times;serif" w:hAnsi="Times New Roman;Times;serif"/>
          <w:sz w:val="20"/>
        </w:rPr>
        <w:t xml:space="preserve"> SoC, personnel-related expenses, logistics and insurance costs and allocated overhead costs. As we develop and sell full systems that include hardware beyond EyeQ</w:t>
      </w:r>
      <w:r>
        <w:rPr>
          <w:rFonts w:ascii="Times New Roman;Times;serif" w:hAnsi="Times New Roman;Times;serif"/>
          <w:sz w:val="15"/>
        </w:rPr>
        <w:t>TM</w:t>
      </w:r>
      <w:r>
        <w:rPr>
          <w:rFonts w:ascii="Times New Roman;Times;serif" w:hAnsi="Times New Roman;Times;serif"/>
          <w:sz w:val="20"/>
        </w:rPr>
        <w:t xml:space="preserve"> SoCs, we expect that our gross margin will decrease because of the greater hardware content included in our solutions. However, as a result of a higher expected selling price for such systems, we expect our gross profit per unit will increase on a dollar basis in future periods.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Research and Development Expenses,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primarily consist of expenses related to personnel related expenses, including share-based compensation, facilities, equipment and supplies for research and development activities, materials, parts and other prototype development, cloud computing services, consulting, and other professional services, including data labeling, quality assurance within the development programs, and allocated overhead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enter into best-efforts nonrefundable non-recurring engineering (“NRE”)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In the near term, we expect that our research and development expenses will increase compared to 2023, also as a percentage of total revenue, mainly due to additional research and development headcount and higher direct expenses that we expect to incur in connection with the development of our new EyeQ</w:t>
      </w:r>
      <w:r>
        <w:rPr>
          <w:rFonts w:ascii="Times New Roman;Times;serif" w:hAnsi="Times New Roman;Times;serif"/>
          <w:sz w:val="15"/>
        </w:rPr>
        <w:t>TM</w:t>
      </w:r>
      <w:r>
        <w:rPr>
          <w:rFonts w:ascii="Times New Roman;Times;serif" w:hAnsi="Times New Roman;Times;serif"/>
          <w:sz w:val="20"/>
        </w:rPr>
        <w:t xml:space="preserve"> SoC generations, Premium Driver-Assist offerings and the productization of our AV solutions and active sensor suite.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and marketing expenses consist primarily of expenses associated with the amortization of acquired intangible assets, comprised of customer relationships and brands, personnel-related expenses, including share-based compensation, of our sales force, as well as marketing expenses and allocated overhead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increase our sales and marketing expenses as we continue our efforts to increase market awareness of the benefits of our solutions, but we expect sales and marketing expenses to decrease as a percentage of total revenue as our business grows.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of personnel-related expenses, including share-based compensation of our executive, insurance costs, as well as legal and accounting fees, litigation expenses, and fees for professional and contract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our general and administrative expenses to increase moderately in absolute dollars but to decrease as a percentage of total revenue as our business grows. The expected increase is mainly associated with the costs related to being a public company, including the need to hire more personnel to support compliance with SEC rules and regulations as well as increased premiums for directors’ and officers’ insurance and the increased use of share-based compensation for general and administrative personnel.</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Other Financial Income (Expense), net</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financial income (expense), net, consists primarily of income related to investments in money market funds, as well as income from short term deposits and fluctuations in value due to foreign exchange differences between our monetary assets and liabilities denominated in New Israeli Shekels and to a much lesser extent, the Euro, the Chinese Yuan, the Japanese Yen, and other currencies. </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Benefit (provision) for Income Taxes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 xml:space="preserve">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 In addition, the OECD announced an Inclusive Framework on Base Erosion and Profit Shifting including Pillar Two Model Rules defining the global minimum tax in 2021,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We are continuing to evaluate the impacts of enacted legislation and pending legislation to enact Pillar Two Model Rules in the non-US tax jurisdictions we operate in. </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During the periods presented in our condensed consolidated financial statements, certain components of our business operations were included in the consolidated U.S. tax return filed by Intel. We also file certain foreign income tax returns on a separate basis, distinct from Intel. The income tax provision included in our condensed consolidated financial statements has been calculated using the separate return method as if we had filed our own tax returns. We present tax loss and tax credit carry-forward amounts that have not been utilized by Intel only to the extent such tax attributes can be claimed as a benefit consistent with our separate income tax return method approach. The use of the separate return method may result in differences between our income tax provision compared to Intel’s consolidated income tax provision.</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from which we have not benefited due to a valuation allowance position. If warranted, based on the assessment of verifiable evidence in support of the realization of the deferred tax assets, the valuation allowances may be released, resulting in a tax benefit.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periods presented in our condensed consolidated financial statements primarily relate to U.S. branch deferred tax assets not currently expected to be realized given that we have sustained recent losses based on the separate return method.</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 xml:space="preserve">Certain net operating losses and tax credit carry-forward tax attributes generated by the Company that have been utilized as part of Intel’s consolidated income tax return filings, but have not been utilized by the Company under the separate return method approach, have been reflected in these condensed consolidated financial statements because the Company will recognize a benefit based on the separate return method when determined to be realizable.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our results of operations in dollars and as a percentage of revenue for the periods indicated:</w:t>
      </w:r>
    </w:p>
    <w:tbl>
      <w:tblPr>
        <w:tblW w:w="10205" w:type="dxa"/>
        <w:jc w:val="left"/>
        <w:tblInd w:w="0" w:type="dxa"/>
        <w:tblLayout w:type="fixed"/>
        <w:tblCellMar>
          <w:top w:w="0" w:type="dxa"/>
          <w:left w:w="0" w:type="dxa"/>
          <w:bottom w:w="0" w:type="dxa"/>
          <w:right w:w="0" w:type="dxa"/>
        </w:tblCellMar>
      </w:tblPr>
      <w:tblGrid>
        <w:gridCol w:w="1605"/>
        <w:gridCol w:w="326"/>
        <w:gridCol w:w="230"/>
        <w:gridCol w:w="461"/>
        <w:gridCol w:w="326"/>
        <w:gridCol w:w="721"/>
        <w:gridCol w:w="326"/>
        <w:gridCol w:w="230"/>
        <w:gridCol w:w="461"/>
        <w:gridCol w:w="326"/>
        <w:gridCol w:w="721"/>
        <w:gridCol w:w="301"/>
        <w:gridCol w:w="211"/>
        <w:gridCol w:w="491"/>
        <w:gridCol w:w="326"/>
        <w:gridCol w:w="721"/>
        <w:gridCol w:w="326"/>
        <w:gridCol w:w="211"/>
        <w:gridCol w:w="491"/>
        <w:gridCol w:w="326"/>
        <w:gridCol w:w="721"/>
        <w:gridCol w:w="347"/>
      </w:tblGrid>
      <w:tr>
        <w:trPr/>
        <w:tc>
          <w:tcPr>
            <w:tcW w:w="1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019175" cy="175260"/>
                      <wp:effectExtent l="0" t="0" r="0" b="0"/>
                      <wp:wrapNone/>
                      <wp:docPr id="340" name="Frame340"/>
                      <a:graphic xmlns:a="http://schemas.openxmlformats.org/drawingml/2006/main">
                        <a:graphicData uri="http://schemas.microsoft.com/office/word/2010/wordprocessingShape">
                          <wps:wsp>
                            <wps:cNvSpPr txBox="1"/>
                            <wps:spPr>
                              <a:xfrm>
                                <a:off x="0" y="0"/>
                                <a:ext cx="1019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46050" cy="175260"/>
                      <wp:effectExtent l="0" t="0" r="0" b="0"/>
                      <wp:wrapNone/>
                      <wp:docPr id="342" name="Frame34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92735" cy="175260"/>
                      <wp:effectExtent l="0" t="0" r="0" b="0"/>
                      <wp:wrapNone/>
                      <wp:docPr id="343" name="Frame343"/>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57835" cy="175260"/>
                      <wp:effectExtent l="0" t="0" r="0" b="0"/>
                      <wp:wrapNone/>
                      <wp:docPr id="345" name="Frame34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46050" cy="175260"/>
                      <wp:effectExtent l="0" t="0" r="0" b="0"/>
                      <wp:wrapNone/>
                      <wp:docPr id="347" name="Frame34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92735" cy="175260"/>
                      <wp:effectExtent l="0" t="0" r="0" b="0"/>
                      <wp:wrapNone/>
                      <wp:docPr id="348" name="Frame348"/>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57835" cy="175260"/>
                      <wp:effectExtent l="0" t="0" r="0" b="0"/>
                      <wp:wrapNone/>
                      <wp:docPr id="350" name="Frame35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91135" cy="175260"/>
                      <wp:effectExtent l="0" t="0" r="0" b="0"/>
                      <wp:wrapNone/>
                      <wp:docPr id="351" name="Frame351"/>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11785" cy="175260"/>
                      <wp:effectExtent l="0" t="0" r="0" b="0"/>
                      <wp:wrapNone/>
                      <wp:docPr id="353" name="Frame353"/>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57835" cy="175260"/>
                      <wp:effectExtent l="0" t="0" r="0" b="0"/>
                      <wp:wrapNone/>
                      <wp:docPr id="355" name="Frame35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11785" cy="175260"/>
                      <wp:effectExtent l="0" t="0" r="0" b="0"/>
                      <wp:wrapNone/>
                      <wp:docPr id="358" name="Frame358"/>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57835" cy="175260"/>
                      <wp:effectExtent l="0" t="0" r="0" b="0"/>
                      <wp:wrapNone/>
                      <wp:docPr id="360" name="Frame36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20345" cy="175260"/>
                      <wp:effectExtent l="0" t="0" r="0" b="0"/>
                      <wp:wrapNone/>
                      <wp:docPr id="361" name="Frame361"/>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02"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01" w:type="dxa"/>
            <w:tcBorders/>
            <w:vAlign w:val="center"/>
          </w:tcPr>
          <w:p>
            <w:pPr>
              <w:pStyle w:val="TableContents"/>
              <w:bidi w:val="0"/>
              <w:spacing w:before="0" w:after="1"/>
              <w:ind w:left="0" w:right="0" w:hanging="0"/>
              <w:jc w:val="left"/>
              <w:rPr/>
            </w:pPr>
            <w:r>
              <w:rPr/>
              <w:t>​</w:t>
            </w:r>
          </w:p>
        </w:tc>
        <w:tc>
          <w:tcPr>
            <w:tcW w:w="382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7" w:type="dxa"/>
            <w:tcBorders/>
            <w:vAlign w:val="center"/>
          </w:tcPr>
          <w:p>
            <w:pPr>
              <w:pStyle w:val="TableContents"/>
              <w:bidi w:val="0"/>
              <w:spacing w:before="0" w:after="1"/>
              <w:ind w:left="0" w:right="0" w:hanging="0"/>
              <w:jc w:val="left"/>
              <w:rPr/>
            </w:pPr>
            <w:r>
              <w:rPr/>
              <w:t>​</w:t>
            </w:r>
          </w:p>
        </w:tc>
      </w:tr>
      <w:tr>
        <w:trPr/>
        <w:tc>
          <w:tcPr>
            <w:tcW w:w="16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3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vAlign w:val="center"/>
          </w:tcPr>
          <w:p>
            <w:pPr>
              <w:pStyle w:val="TableContents"/>
              <w:bidi w:val="0"/>
              <w:spacing w:before="0" w:after="1"/>
              <w:ind w:left="0" w:right="0" w:hanging="0"/>
              <w:jc w:val="left"/>
              <w:rPr/>
            </w:pPr>
            <w:r>
              <w:rPr/>
              <w:t>​</w:t>
            </w:r>
          </w:p>
        </w:tc>
        <w:tc>
          <w:tcPr>
            <w:tcW w:w="173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2023</w:t>
            </w:r>
          </w:p>
        </w:tc>
        <w:tc>
          <w:tcPr>
            <w:tcW w:w="301" w:type="dxa"/>
            <w:tcBorders/>
            <w:vAlign w:val="center"/>
          </w:tcPr>
          <w:p>
            <w:pPr>
              <w:pStyle w:val="TableContents"/>
              <w:bidi w:val="0"/>
              <w:spacing w:before="0" w:after="1"/>
              <w:ind w:left="0" w:right="0" w:hanging="0"/>
              <w:jc w:val="left"/>
              <w:rPr/>
            </w:pPr>
            <w:r>
              <w:rPr/>
              <w:t>​</w:t>
            </w:r>
          </w:p>
        </w:tc>
        <w:tc>
          <w:tcPr>
            <w:tcW w:w="17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vAlign w:val="center"/>
          </w:tcPr>
          <w:p>
            <w:pPr>
              <w:pStyle w:val="TableContents"/>
              <w:bidi w:val="0"/>
              <w:spacing w:before="0" w:after="1"/>
              <w:ind w:left="0" w:right="0" w:hanging="0"/>
              <w:jc w:val="left"/>
              <w:rPr/>
            </w:pPr>
            <w:r>
              <w:rPr/>
              <w:t>​</w:t>
            </w:r>
          </w:p>
        </w:tc>
        <w:tc>
          <w:tcPr>
            <w:tcW w:w="17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2023</w:t>
            </w:r>
          </w:p>
        </w:tc>
        <w:tc>
          <w:tcPr>
            <w:tcW w:w="347" w:type="dxa"/>
            <w:tcBorders/>
            <w:vAlign w:val="center"/>
          </w:tcPr>
          <w:p>
            <w:pPr>
              <w:pStyle w:val="TableContents"/>
              <w:bidi w:val="0"/>
              <w:spacing w:before="0" w:after="1"/>
              <w:ind w:left="0" w:right="0" w:hanging="0"/>
              <w:jc w:val="center"/>
              <w:rPr/>
            </w:pPr>
            <w:r>
              <w:rPr/>
              <w:t> </w:t>
            </w:r>
          </w:p>
        </w:tc>
      </w:tr>
      <w:tr>
        <w:trPr/>
        <w:tc>
          <w:tcPr>
            <w:tcW w:w="16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0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7" w:type="dxa"/>
            <w:tcBorders/>
            <w:vAlign w:val="center"/>
          </w:tcPr>
          <w:p>
            <w:pPr>
              <w:pStyle w:val="TableContents"/>
              <w:bidi w:val="0"/>
              <w:spacing w:before="0" w:after="1"/>
              <w:ind w:left="0" w:right="0" w:hanging="0"/>
              <w:jc w:val="center"/>
              <w:rPr/>
            </w:pPr>
            <w:r>
              <w:rPr/>
              <w:t> </w:t>
            </w:r>
          </w:p>
        </w:tc>
      </w:tr>
      <w:tr>
        <w:trPr/>
        <w:tc>
          <w:tcPr>
            <w:tcW w:w="160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01" w:type="dxa"/>
            <w:tcBorders/>
            <w:vAlign w:val="center"/>
          </w:tcPr>
          <w:p>
            <w:pPr>
              <w:pStyle w:val="TableContents"/>
              <w:bidi w:val="0"/>
              <w:spacing w:before="0" w:after="1"/>
              <w:ind w:left="0" w:right="0" w:hanging="0"/>
              <w:jc w:val="left"/>
              <w:rPr/>
            </w:pPr>
            <w:r>
              <w:rPr/>
              <w:t>​</w:t>
            </w:r>
          </w:p>
        </w:tc>
        <w:tc>
          <w:tcPr>
            <w:tcW w:w="7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1"/>
              <w:ind w:left="0" w:right="0" w:hanging="0"/>
              <w:jc w:val="left"/>
              <w:rPr/>
            </w:pPr>
            <w:r>
              <w:rPr/>
              <w:t>    </w:t>
            </w:r>
          </w:p>
        </w:tc>
        <w:tc>
          <w:tcPr>
            <w:tcW w:w="7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7" w:type="dxa"/>
            <w:tcBorders/>
            <w:vAlign w:val="center"/>
          </w:tcPr>
          <w:p>
            <w:pPr>
              <w:pStyle w:val="TableContents"/>
              <w:bidi w:val="0"/>
              <w:spacing w:before="0" w:after="1"/>
              <w:ind w:left="0" w:right="0" w:hanging="0"/>
              <w:jc w:val="center"/>
              <w:rPr/>
            </w:pPr>
            <w:r>
              <w:rPr/>
              <w:t> </w:t>
            </w:r>
          </w:p>
        </w:tc>
      </w:tr>
      <w:tr>
        <w:trPr/>
        <w:tc>
          <w:tcPr>
            <w:tcW w:w="1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0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209</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224</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431</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0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r>
      <w:tr>
        <w:trPr/>
        <w:tc>
          <w:tcPr>
            <w:tcW w:w="1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4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4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0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303</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w:t>
            </w:r>
          </w:p>
        </w:tc>
        <w:tc>
          <w:tcPr>
            <w:tcW w:w="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257</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w:t>
            </w:r>
          </w:p>
        </w:tc>
        <w:tc>
          <w:tcPr>
            <w:tcW w:w="3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595</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w:t>
            </w:r>
          </w:p>
        </w:tc>
        <w:tc>
          <w:tcPr>
            <w:tcW w:w="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545</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w:t>
            </w:r>
          </w:p>
        </w:tc>
        <w:tc>
          <w:tcPr>
            <w:tcW w:w="34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60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(332)</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financial income (expense), net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0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Income (loss) before income taxes </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(302)</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Benefit (provision) for income taxes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0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(304)</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tbl>
      <w:tblPr>
        <w:tblW w:w="5582" w:type="dxa"/>
        <w:jc w:val="left"/>
        <w:tblInd w:w="0" w:type="dxa"/>
        <w:tblLayout w:type="fixed"/>
        <w:tblCellMar>
          <w:top w:w="0" w:type="dxa"/>
          <w:left w:w="0" w:type="dxa"/>
          <w:bottom w:w="0" w:type="dxa"/>
          <w:right w:w="0" w:type="dxa"/>
        </w:tblCellMar>
      </w:tblPr>
      <w:tblGrid>
        <w:gridCol w:w="346"/>
        <w:gridCol w:w="52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amortization of acquired intangible assets, as follows:</w:t>
            </w:r>
          </w:p>
        </w:tc>
      </w:tr>
    </w:tbl>
    <w:tbl>
      <w:tblPr>
        <w:tblW w:w="9780" w:type="dxa"/>
        <w:jc w:val="left"/>
        <w:tblInd w:w="0" w:type="dxa"/>
        <w:tblLayout w:type="fixed"/>
        <w:tblCellMar>
          <w:top w:w="0" w:type="dxa"/>
          <w:left w:w="0" w:type="dxa"/>
          <w:bottom w:w="0" w:type="dxa"/>
          <w:right w:w="0" w:type="dxa"/>
        </w:tblCellMar>
      </w:tblPr>
      <w:tblGrid>
        <w:gridCol w:w="4171"/>
        <w:gridCol w:w="326"/>
        <w:gridCol w:w="375"/>
        <w:gridCol w:w="750"/>
        <w:gridCol w:w="326"/>
        <w:gridCol w:w="335"/>
        <w:gridCol w:w="670"/>
        <w:gridCol w:w="326"/>
        <w:gridCol w:w="375"/>
        <w:gridCol w:w="750"/>
        <w:gridCol w:w="326"/>
        <w:gridCol w:w="300"/>
        <w:gridCol w:w="750"/>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648585" cy="175260"/>
                      <wp:effectExtent l="0" t="0" r="0" b="0"/>
                      <wp:wrapNone/>
                      <wp:docPr id="362" name="Frame362"/>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38125" cy="175260"/>
                      <wp:effectExtent l="0" t="0" r="0" b="0"/>
                      <wp:wrapNone/>
                      <wp:docPr id="364" name="Frame36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76250" cy="175260"/>
                      <wp:effectExtent l="0" t="0" r="0" b="0"/>
                      <wp:wrapNone/>
                      <wp:docPr id="365" name="Frame365"/>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2725" cy="175260"/>
                      <wp:effectExtent l="0" t="0" r="0" b="0"/>
                      <wp:wrapNone/>
                      <wp:docPr id="367" name="Frame36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25450" cy="175260"/>
                      <wp:effectExtent l="0" t="0" r="0" b="0"/>
                      <wp:wrapNone/>
                      <wp:docPr id="368" name="Frame368"/>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38125" cy="175260"/>
                      <wp:effectExtent l="0" t="0" r="0" b="0"/>
                      <wp:wrapNone/>
                      <wp:docPr id="370" name="Frame37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76250" cy="175260"/>
                      <wp:effectExtent l="0" t="0" r="0" b="0"/>
                      <wp:wrapNone/>
                      <wp:docPr id="371" name="Frame371"/>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90500" cy="175260"/>
                      <wp:effectExtent l="0" t="0" r="0" b="0"/>
                      <wp:wrapNone/>
                      <wp:docPr id="373" name="Frame373"/>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76250" cy="175260"/>
                      <wp:effectExtent l="0" t="0" r="0" b="0"/>
                      <wp:wrapNone/>
                      <wp:docPr id="374" name="Frame374"/>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1"/>
              <w:ind w:left="0" w:right="0" w:hanging="0"/>
              <w:jc w:val="left"/>
              <w:rPr/>
            </w:pPr>
            <w:r>
              <w:rPr/>
              <w:t>​</w:t>
            </w:r>
          </w:p>
        </w:tc>
        <w:tc>
          <w:tcPr>
            <w:tcW w:w="250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17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vAlign w:val="center"/>
          </w:tcPr>
          <w:p>
            <w:pPr>
              <w:pStyle w:val="TableContents"/>
              <w:bidi w:val="0"/>
              <w:spacing w:before="0" w:after="1"/>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2023</w:t>
            </w:r>
          </w:p>
        </w:tc>
        <w:tc>
          <w:tcPr>
            <w:tcW w:w="32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vAlign w:val="center"/>
          </w:tcPr>
          <w:p>
            <w:pPr>
              <w:pStyle w:val="TableContents"/>
              <w:bidi w:val="0"/>
              <w:spacing w:before="0" w:after="1"/>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2023</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1"/>
              <w:ind w:left="0" w:right="0" w:hanging="0"/>
              <w:jc w:val="righ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4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1"/>
              <w:ind w:left="0" w:right="0" w:hanging="0"/>
              <w:jc w:val="righ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amortization of acquired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222</w:t>
            </w:r>
          </w:p>
        </w:tc>
        <w:tc>
          <w:tcPr>
            <w:tcW w:w="326" w:type="dxa"/>
            <w:tcBorders/>
            <w:shd w:fill="CCEEFF" w:val="clear"/>
            <w:vAlign w:val="center"/>
          </w:tcPr>
          <w:p>
            <w:pPr>
              <w:pStyle w:val="TableContents"/>
              <w:bidi w:val="0"/>
              <w:spacing w:before="0" w:after="1"/>
              <w:ind w:left="0" w:right="0" w:hanging="0"/>
              <w:jc w:val="righ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251</w:t>
            </w:r>
          </w:p>
        </w:tc>
      </w:tr>
    </w:tbl>
    <w:p>
      <w:pPr>
        <w:pStyle w:val="TextBody"/>
        <w:bidi w:val="0"/>
        <w:spacing w:before="0" w:after="240"/>
        <w:ind w:left="0" w:right="0" w:hanging="0"/>
        <w:jc w:val="both"/>
        <w:rPr/>
      </w:pPr>
      <w:r>
        <w:rPr/>
        <w:t>​</w:t>
      </w:r>
    </w:p>
    <w:tbl>
      <w:tblPr>
        <w:tblW w:w="5027" w:type="dxa"/>
        <w:jc w:val="left"/>
        <w:tblInd w:w="0" w:type="dxa"/>
        <w:tblLayout w:type="fixed"/>
        <w:tblCellMar>
          <w:top w:w="0" w:type="dxa"/>
          <w:left w:w="0" w:type="dxa"/>
          <w:bottom w:w="0" w:type="dxa"/>
          <w:right w:w="0" w:type="dxa"/>
        </w:tblCellMar>
      </w:tblPr>
      <w:tblGrid>
        <w:gridCol w:w="346"/>
        <w:gridCol w:w="468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share-based compensation expense, as follows:</w:t>
            </w:r>
          </w:p>
        </w:tc>
      </w:tr>
    </w:tbl>
    <w:tbl>
      <w:tblPr>
        <w:tblW w:w="8494" w:type="dxa"/>
        <w:jc w:val="left"/>
        <w:tblInd w:w="0" w:type="dxa"/>
        <w:tblLayout w:type="fixed"/>
        <w:tblCellMar>
          <w:top w:w="0" w:type="dxa"/>
          <w:left w:w="0" w:type="dxa"/>
          <w:bottom w:w="0" w:type="dxa"/>
          <w:right w:w="0" w:type="dxa"/>
        </w:tblCellMar>
      </w:tblPr>
      <w:tblGrid>
        <w:gridCol w:w="2851"/>
        <w:gridCol w:w="326"/>
        <w:gridCol w:w="425"/>
        <w:gridCol w:w="700"/>
        <w:gridCol w:w="360"/>
        <w:gridCol w:w="400"/>
        <w:gridCol w:w="605"/>
        <w:gridCol w:w="326"/>
        <w:gridCol w:w="375"/>
        <w:gridCol w:w="750"/>
        <w:gridCol w:w="326"/>
        <w:gridCol w:w="300"/>
        <w:gridCol w:w="750"/>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810385" cy="175260"/>
                      <wp:effectExtent l="0" t="0" r="0" b="0"/>
                      <wp:wrapNone/>
                      <wp:docPr id="375" name="Frame375"/>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69875" cy="175260"/>
                      <wp:effectExtent l="0" t="0" r="0" b="0"/>
                      <wp:wrapNone/>
                      <wp:docPr id="377" name="Frame377"/>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44500" cy="175260"/>
                      <wp:effectExtent l="0" t="0" r="0" b="0"/>
                      <wp:wrapNone/>
                      <wp:docPr id="378" name="Frame378"/>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28600" cy="175260"/>
                      <wp:effectExtent l="0" t="0" r="0" b="0"/>
                      <wp:wrapNone/>
                      <wp:docPr id="379" name="Frame37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54000" cy="175260"/>
                      <wp:effectExtent l="0" t="0" r="0" b="0"/>
                      <wp:wrapNone/>
                      <wp:docPr id="380" name="Frame380"/>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84175" cy="175260"/>
                      <wp:effectExtent l="0" t="0" r="0" b="0"/>
                      <wp:wrapNone/>
                      <wp:docPr id="381" name="Frame381"/>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38125" cy="175260"/>
                      <wp:effectExtent l="0" t="0" r="0" b="0"/>
                      <wp:wrapNone/>
                      <wp:docPr id="383" name="Frame38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76250" cy="175260"/>
                      <wp:effectExtent l="0" t="0" r="0" b="0"/>
                      <wp:wrapNone/>
                      <wp:docPr id="384" name="Frame384"/>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90500" cy="175260"/>
                      <wp:effectExtent l="0" t="0" r="0" b="0"/>
                      <wp:wrapNone/>
                      <wp:docPr id="386" name="Frame386"/>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76250" cy="175260"/>
                      <wp:effectExtent l="0" t="0" r="0" b="0"/>
                      <wp:wrapNone/>
                      <wp:docPr id="387" name="Frame387"/>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5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60"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2023</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vAlign w:val="center"/>
          </w:tcPr>
          <w:p>
            <w:pPr>
              <w:pStyle w:val="TableContents"/>
              <w:bidi w:val="0"/>
              <w:spacing w:before="0" w:after="0"/>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2023</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0" w:type="dxa"/>
            <w:tcBorders/>
            <w:shd w:fill="CCEEFF" w:val="clear"/>
            <w:vAlign w:val="center"/>
          </w:tcPr>
          <w:p>
            <w:pPr>
              <w:pStyle w:val="TableContents"/>
              <w:bidi w:val="0"/>
              <w:spacing w:before="0" w:after="0"/>
              <w:ind w:left="0" w:right="0" w:hanging="0"/>
              <w:jc w:val="left"/>
              <w:rPr/>
            </w:pPr>
            <w:r>
              <w:rPr/>
              <w:t> </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righ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righ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60"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right"/>
              <w:rPr/>
            </w:pPr>
            <w:r>
              <w:rPr/>
              <w:t>​</w:t>
            </w:r>
          </w:p>
        </w:tc>
        <w:tc>
          <w:tcPr>
            <w:tcW w:w="300"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left"/>
              <w:rPr/>
            </w:pPr>
            <w:r>
              <w:rPr/>
              <w:t> </w:t>
            </w:r>
          </w:p>
        </w:tc>
        <w:tc>
          <w:tcPr>
            <w:tcW w:w="40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righ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righ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 </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60" w:type="dxa"/>
            <w:tcBorders/>
            <w:vAlign w:val="center"/>
          </w:tcPr>
          <w:p>
            <w:pPr>
              <w:pStyle w:val="TableContents"/>
              <w:bidi w:val="0"/>
              <w:spacing w:before="0" w:after="0"/>
              <w:ind w:left="0" w:right="0" w:hanging="0"/>
              <w:jc w:val="left"/>
              <w:rPr/>
            </w:pPr>
            <w:r>
              <w:rPr/>
              <w:t> </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righ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righ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w:t>
            </w:r>
          </w:p>
        </w:tc>
        <w:tc>
          <w:tcPr>
            <w:tcW w:w="360"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w:t>
            </w:r>
          </w:p>
        </w:tc>
        <w:tc>
          <w:tcPr>
            <w:tcW w:w="326" w:type="dxa"/>
            <w:tcBorders/>
            <w:shd w:fill="CCEEFF" w:val="clear"/>
            <w:vAlign w:val="center"/>
          </w:tcPr>
          <w:p>
            <w:pPr>
              <w:pStyle w:val="TableContents"/>
              <w:bidi w:val="0"/>
              <w:spacing w:before="0" w:after="0"/>
              <w:ind w:left="0" w:right="0" w:hanging="0"/>
              <w:jc w:val="righ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w:t>
            </w:r>
          </w:p>
        </w:tc>
        <w:tc>
          <w:tcPr>
            <w:tcW w:w="326" w:type="dxa"/>
            <w:tcBorders/>
            <w:shd w:fill="CCEEFF" w:val="clear"/>
            <w:vAlign w:val="center"/>
          </w:tcPr>
          <w:p>
            <w:pPr>
              <w:pStyle w:val="TableContents"/>
              <w:bidi w:val="0"/>
              <w:spacing w:before="0" w:after="0"/>
              <w:ind w:left="0" w:right="0" w:hanging="0"/>
              <w:jc w:val="righ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 xml:space="preserve">Comparison of the three and six months ended June 29, 2024 and July 1, 2023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40" w:before="0" w:after="200"/>
        <w:ind w:left="0" w:right="0" w:firstLine="360"/>
        <w:jc w:val="both"/>
        <w:rPr>
          <w:rFonts w:ascii="Times New Roman;Times;serif" w:hAnsi="Times New Roman;Times;serif"/>
          <w:sz w:val="20"/>
        </w:rPr>
      </w:pPr>
      <w:r>
        <w:rPr>
          <w:rFonts w:ascii="Times New Roman;Times;serif" w:hAnsi="Times New Roman;Times;serif"/>
          <w:sz w:val="20"/>
        </w:rPr>
        <w:t>In the three months ended June 29, 2024, revenue decreased by $15 million, or 3%, compared to the three months ended July 1, 2023. This decrease in revenue was primarily due to a decrease of $40 million or 10% in EyeQ</w:t>
      </w:r>
      <w:r>
        <w:rPr>
          <w:rFonts w:ascii="Times New Roman;Times;serif" w:hAnsi="Times New Roman;Times;serif"/>
          <w:sz w:val="15"/>
        </w:rPr>
        <w:t>TM</w:t>
      </w:r>
      <w:r>
        <w:rPr>
          <w:rFonts w:ascii="Times New Roman;Times;serif" w:hAnsi="Times New Roman;Times;serif"/>
          <w:sz w:val="20"/>
        </w:rPr>
        <w:t xml:space="preserve"> SoC revenue mostly attributable to a 9% reduction in volume resulting from the usage of the remaining excess inventory at our previously accumulated Tier 1 customers to satisfy demand. This was mostly offset by an increase of $25 million in SuperVision</w:t>
      </w:r>
      <w:r>
        <w:rPr>
          <w:rFonts w:ascii="Times New Roman;Times;serif" w:hAnsi="Times New Roman;Times;serif"/>
          <w:sz w:val="15"/>
        </w:rPr>
        <w:t>TM</w:t>
      </w:r>
      <w:r>
        <w:rPr>
          <w:rFonts w:ascii="Times New Roman;Times;serif" w:hAnsi="Times New Roman;Times;serif"/>
          <w:sz w:val="20"/>
        </w:rPr>
        <w:t xml:space="preserve"> related revenue. Average System Price, calculated as the sum of revenue related to EyeQ</w:t>
      </w:r>
      <w:r>
        <w:rPr>
          <w:rFonts w:ascii="Times New Roman;Times;serif" w:hAnsi="Times New Roman;Times;serif"/>
          <w:sz w:val="15"/>
        </w:rPr>
        <w:t>TM</w:t>
      </w:r>
      <w:r>
        <w:rPr>
          <w:rFonts w:ascii="Times New Roman;Times;serif" w:hAnsi="Times New Roman;Times;serif"/>
          <w:sz w:val="20"/>
        </w:rPr>
        <w:t xml:space="preserve"> and SuperVision</w:t>
      </w:r>
      <w:r>
        <w:rPr>
          <w:rFonts w:ascii="Times New Roman;Times;serif" w:hAnsi="Times New Roman;Times;serif"/>
          <w:sz w:val="15"/>
        </w:rPr>
        <w:t>TM</w:t>
      </w:r>
      <w:r>
        <w:rPr>
          <w:rFonts w:ascii="Times New Roman;Times;serif" w:hAnsi="Times New Roman;Times;serif"/>
          <w:sz w:val="20"/>
        </w:rPr>
        <w:t xml:space="preserve"> systems divided by the number of systems delivered, increased by 5%, due to the higher percentage of SuperVision</w:t>
      </w:r>
      <w:r>
        <w:rPr>
          <w:rFonts w:ascii="Times New Roman;Times;serif" w:hAnsi="Times New Roman;Times;serif"/>
          <w:sz w:val="15"/>
        </w:rPr>
        <w:t>TM</w:t>
      </w:r>
      <w:r>
        <w:rPr>
          <w:rFonts w:ascii="Times New Roman;Times;serif" w:hAnsi="Times New Roman;Times;serif"/>
          <w:sz w:val="20"/>
        </w:rPr>
        <w:t xml:space="preserve"> related revenue as compared to the second quarter of 2023.</w:t>
      </w:r>
    </w:p>
    <w:p>
      <w:pPr>
        <w:pStyle w:val="TextBody"/>
        <w:bidi w:val="0"/>
        <w:spacing w:lineRule="auto" w:line="240" w:before="0" w:after="200"/>
        <w:ind w:left="0" w:right="0" w:firstLine="360"/>
        <w:jc w:val="both"/>
        <w:rPr>
          <w:rFonts w:ascii="Times New Roman;Times;serif" w:hAnsi="Times New Roman;Times;serif"/>
          <w:sz w:val="20"/>
        </w:rPr>
      </w:pPr>
      <w:r>
        <w:rPr>
          <w:rFonts w:ascii="Times New Roman;Times;serif" w:hAnsi="Times New Roman;Times;serif"/>
          <w:sz w:val="20"/>
        </w:rPr>
        <w:t>In the six months ended June 29, 2024, revenue decreased by $234 million, or 26%, compared to the six months ended July 1, 2023. This decrease was primarily due to a decrease of $274 million, or 33%, in EyeQ</w:t>
      </w:r>
      <w:r>
        <w:rPr>
          <w:rFonts w:ascii="Times New Roman;Times;serif" w:hAnsi="Times New Roman;Times;serif"/>
          <w:sz w:val="15"/>
        </w:rPr>
        <w:t>TM</w:t>
      </w:r>
      <w:r>
        <w:rPr>
          <w:rFonts w:ascii="Times New Roman;Times;serif" w:hAnsi="Times New Roman;Times;serif"/>
          <w:sz w:val="20"/>
        </w:rPr>
        <w:t xml:space="preserve"> SoC revenue attributable to a 32% decrease in volume resulting from the usage of meaningful excess inventory previously accumulated at our Tier 1 customers to satisfy demand. This was partially offset by an increase of $39 million in SuperVision</w:t>
      </w:r>
      <w:r>
        <w:rPr>
          <w:rFonts w:ascii="Times New Roman;Times;serif" w:hAnsi="Times New Roman;Times;serif"/>
          <w:sz w:val="15"/>
        </w:rPr>
        <w:t>TM</w:t>
      </w:r>
      <w:r>
        <w:rPr>
          <w:rFonts w:ascii="Times New Roman;Times;serif" w:hAnsi="Times New Roman;Times;serif"/>
          <w:sz w:val="20"/>
        </w:rPr>
        <w:t xml:space="preserve"> related revenue. Average System Price, calculated as the sum of revenue related to EyeQ</w:t>
      </w:r>
      <w:r>
        <w:rPr>
          <w:rFonts w:ascii="Times New Roman;Times;serif" w:hAnsi="Times New Roman;Times;serif"/>
          <w:sz w:val="15"/>
        </w:rPr>
        <w:t>TM</w:t>
      </w:r>
      <w:r>
        <w:rPr>
          <w:rFonts w:ascii="Times New Roman;Times;serif" w:hAnsi="Times New Roman;Times;serif"/>
          <w:sz w:val="20"/>
        </w:rPr>
        <w:t xml:space="preserve"> and SuperVision</w:t>
      </w:r>
      <w:r>
        <w:rPr>
          <w:rFonts w:ascii="Times New Roman;Times;serif" w:hAnsi="Times New Roman;Times;serif"/>
          <w:sz w:val="15"/>
        </w:rPr>
        <w:t>TM</w:t>
      </w:r>
      <w:r>
        <w:rPr>
          <w:rFonts w:ascii="Times New Roman;Times;serif" w:hAnsi="Times New Roman;Times;serif"/>
          <w:sz w:val="20"/>
        </w:rPr>
        <w:t xml:space="preserve"> systems divided by the number of systems delivered, increased by 7%, due to the higher percentage of SuperVision</w:t>
      </w:r>
      <w:r>
        <w:rPr>
          <w:rFonts w:ascii="Times New Roman;Times;serif" w:hAnsi="Times New Roman;Times;serif"/>
          <w:sz w:val="15"/>
        </w:rPr>
        <w:t>TM</w:t>
      </w:r>
      <w:r>
        <w:rPr>
          <w:rFonts w:ascii="Times New Roman;Times;serif" w:hAnsi="Times New Roman;Times;serif"/>
          <w:sz w:val="20"/>
        </w:rPr>
        <w:t xml:space="preserve"> related revenue as compared to the first half of 2023.</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lineRule="auto" w:line="240" w:before="0" w:after="200"/>
        <w:ind w:left="0" w:right="0" w:firstLine="360"/>
        <w:jc w:val="both"/>
        <w:rPr>
          <w:rFonts w:ascii="Times New Roman;Times;serif" w:hAnsi="Times New Roman;Times;serif"/>
          <w:sz w:val="20"/>
        </w:rPr>
      </w:pPr>
      <w:r>
        <w:rPr>
          <w:rFonts w:ascii="Times New Roman;Times;serif" w:hAnsi="Times New Roman;Times;serif"/>
          <w:sz w:val="20"/>
        </w:rPr>
        <w:t>In the three months ended June 29, 2024, our cost of revenue remained flat compared to the three months ended July 1, 2023. This is due to an increase of $11 million in manufacturing costs, mainly resulting from an increase in sales of SuperVision</w:t>
      </w:r>
      <w:r>
        <w:rPr>
          <w:rFonts w:ascii="Times New Roman;Times;serif" w:hAnsi="Times New Roman;Times;serif"/>
          <w:sz w:val="15"/>
        </w:rPr>
        <w:t>TM</w:t>
      </w:r>
      <w:r>
        <w:rPr>
          <w:rFonts w:ascii="Times New Roman;Times;serif" w:hAnsi="Times New Roman;Times;serif"/>
          <w:sz w:val="20"/>
        </w:rPr>
        <w:t xml:space="preserve"> systems, mostly offset by a reduction of $7 million in amortization of intangible assets. </w:t>
      </w:r>
    </w:p>
    <w:p>
      <w:pPr>
        <w:pStyle w:val="TextBody"/>
        <w:bidi w:val="0"/>
        <w:spacing w:lineRule="auto" w:line="240" w:before="0" w:after="200"/>
        <w:ind w:left="0" w:right="0" w:firstLine="360"/>
        <w:jc w:val="both"/>
        <w:rPr>
          <w:rFonts w:ascii="Times New Roman;Times;serif" w:hAnsi="Times New Roman;Times;serif"/>
          <w:sz w:val="20"/>
        </w:rPr>
      </w:pPr>
      <w:r>
        <w:rPr>
          <w:rFonts w:ascii="Times New Roman;Times;serif" w:hAnsi="Times New Roman;Times;serif"/>
          <w:sz w:val="20"/>
        </w:rPr>
        <w:t>In the six months ended June 29, 2024, our cost of revenue decreased by $66 million, or 14%, compared to the six months ended July 1, 2023. This decrease was primarily due to a net decrease of $33 million in manufacturing costs mainly resulting from the reduction in sales of EyeQ</w:t>
      </w:r>
      <w:r>
        <w:rPr>
          <w:rFonts w:ascii="Times New Roman;Times;serif" w:hAnsi="Times New Roman;Times;serif"/>
          <w:sz w:val="15"/>
        </w:rPr>
        <w:t>TM</w:t>
      </w:r>
      <w:r>
        <w:rPr>
          <w:rFonts w:ascii="Times New Roman;Times;serif" w:hAnsi="Times New Roman;Times;serif"/>
          <w:sz w:val="20"/>
        </w:rPr>
        <w:t xml:space="preserve"> SoC offset by the increase in sales of SuperVision</w:t>
      </w:r>
      <w:r>
        <w:rPr>
          <w:rFonts w:ascii="Times New Roman;Times;serif" w:hAnsi="Times New Roman;Times;serif"/>
          <w:sz w:val="15"/>
        </w:rPr>
        <w:t>TM</w:t>
      </w:r>
      <w:r>
        <w:rPr>
          <w:rFonts w:ascii="Times New Roman;Times;serif" w:hAnsi="Times New Roman;Times;serif"/>
          <w:sz w:val="20"/>
        </w:rPr>
        <w:t xml:space="preserve"> systems, as well as a decrease of $29 million in amortization of intangible assets.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Gross Profit and Margin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In the three months ended June 29 2024, our gross profit decreased by $15 million, or 7% compared to the three months ended July 1, 2023.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the six months ended June 29 2024, our gross profit decreased by $168 million, or 39%, compared to the six months ended July 1, 2023.</w:t>
      </w:r>
    </w:p>
    <w:p>
      <w:pPr>
        <w:pStyle w:val="TextBody"/>
        <w:bidi w:val="0"/>
        <w:spacing w:lineRule="auto" w:line="240" w:before="0" w:after="200"/>
        <w:ind w:left="0" w:right="0" w:firstLine="360"/>
        <w:jc w:val="both"/>
        <w:rPr>
          <w:rFonts w:ascii="Times New Roman;Times;serif" w:hAnsi="Times New Roman;Times;serif"/>
          <w:sz w:val="20"/>
        </w:rPr>
      </w:pPr>
      <w:r>
        <w:rPr>
          <w:rFonts w:ascii="Times New Roman;Times;serif" w:hAnsi="Times New Roman;Times;serif"/>
          <w:sz w:val="20"/>
        </w:rPr>
        <w:t>The gross profit decrease in both periods was mainly driven by the decrease in sales of EyeQ</w:t>
      </w:r>
      <w:r>
        <w:rPr>
          <w:rFonts w:ascii="Times New Roman;Times;serif" w:hAnsi="Times New Roman;Times;serif"/>
          <w:sz w:val="15"/>
        </w:rPr>
        <w:t>TM</w:t>
      </w:r>
      <w:r>
        <w:rPr>
          <w:rFonts w:ascii="Times New Roman;Times;serif" w:hAnsi="Times New Roman;Times;serif"/>
          <w:sz w:val="20"/>
        </w:rPr>
        <w:t xml:space="preserve"> systems, attributable to the usage of meaningful inventory at our Tier 1 customers to satisfy demand. </w:t>
      </w:r>
    </w:p>
    <w:p>
      <w:pPr>
        <w:pStyle w:val="TextBody"/>
        <w:bidi w:val="0"/>
        <w:spacing w:lineRule="auto" w:line="240" w:before="0" w:after="200"/>
        <w:ind w:left="0" w:right="0" w:firstLine="360"/>
        <w:jc w:val="both"/>
        <w:rPr>
          <w:rFonts w:ascii="Times New Roman;Times;serif" w:hAnsi="Times New Roman;Times;serif"/>
          <w:sz w:val="20"/>
        </w:rPr>
      </w:pPr>
      <w:r>
        <w:rPr>
          <w:rFonts w:ascii="Times New Roman;Times;serif" w:hAnsi="Times New Roman;Times;serif"/>
          <w:sz w:val="20"/>
        </w:rPr>
        <w:t>In the three months ended June 29 2024, our gross margin has decreased to 48% compared to 49% in the three months ended July 1, 2023. This decrease was primarily due to the increase in the percentage of revenue attributable to SuperVision</w:t>
      </w:r>
      <w:r>
        <w:rPr>
          <w:rFonts w:ascii="Times New Roman;Times;serif" w:hAnsi="Times New Roman;Times;serif"/>
          <w:sz w:val="15"/>
        </w:rPr>
        <w:t>TM</w:t>
      </w:r>
      <w:r>
        <w:rPr>
          <w:rFonts w:ascii="Times New Roman;Times;serif" w:hAnsi="Times New Roman;Times;serif"/>
          <w:sz w:val="20"/>
        </w:rPr>
        <w:t>. In addition, there was an increase in the average cost of our EyeQ</w:t>
      </w:r>
      <w:r>
        <w:rPr>
          <w:rFonts w:ascii="Times New Roman;Times;serif" w:hAnsi="Times New Roman;Times;serif"/>
          <w:sz w:val="15"/>
        </w:rPr>
        <w:t>TM</w:t>
      </w:r>
      <w:r>
        <w:rPr>
          <w:rFonts w:ascii="Times New Roman;Times;serif" w:hAnsi="Times New Roman;Times;serif"/>
          <w:sz w:val="20"/>
        </w:rPr>
        <w:t xml:space="preserve"> SoC compared to the second quarter of 2023 since we entered 2023 with an opening balance of EyeQ</w:t>
      </w:r>
      <w:r>
        <w:rPr>
          <w:rFonts w:ascii="Times New Roman;Times;serif" w:hAnsi="Times New Roman;Times;serif"/>
          <w:sz w:val="15"/>
        </w:rPr>
        <w:t>TM</w:t>
      </w:r>
      <w:r>
        <w:rPr>
          <w:rFonts w:ascii="Times New Roman;Times;serif" w:hAnsi="Times New Roman;Times;serif"/>
          <w:sz w:val="20"/>
        </w:rPr>
        <w:t xml:space="preserve"> SoC inventory that we previously acquired at lower-than-current prices. These were offset by the impact of the lower cost attributable to amortization of intangible assets as a percentage of revenue. </w:t>
      </w:r>
    </w:p>
    <w:p>
      <w:pPr>
        <w:pStyle w:val="TextBody"/>
        <w:bidi w:val="0"/>
        <w:spacing w:lineRule="auto" w:line="240" w:before="0" w:after="200"/>
        <w:ind w:left="0" w:right="0" w:firstLine="360"/>
        <w:jc w:val="both"/>
        <w:rPr>
          <w:rFonts w:ascii="Times New Roman;Times;serif" w:hAnsi="Times New Roman;Times;serif"/>
          <w:sz w:val="20"/>
        </w:rPr>
      </w:pPr>
      <w:r>
        <w:rPr>
          <w:rFonts w:ascii="Times New Roman;Times;serif" w:hAnsi="Times New Roman;Times;serif"/>
          <w:sz w:val="20"/>
        </w:rPr>
        <w:t>In the six months ended June 29, 2024, our gross margin has decreased by 8% to 39% compared to 47% in the six months ended July 1, 2023. This was mainly due to the increase in the percentage of revenue attributable to SuperVision</w:t>
      </w:r>
      <w:r>
        <w:rPr>
          <w:rFonts w:ascii="Times New Roman;Times;serif" w:hAnsi="Times New Roman;Times;serif"/>
          <w:sz w:val="15"/>
        </w:rPr>
        <w:t>TM</w:t>
      </w:r>
      <w:r>
        <w:rPr>
          <w:rFonts w:ascii="Times New Roman;Times;serif" w:hAnsi="Times New Roman;Times;serif"/>
          <w:sz w:val="20"/>
        </w:rPr>
        <w:t>, as well as a higher impact of amortization of intangible assets as a percentage of revenue. In addition, there was an increase in the average cost of our EyeQ</w:t>
      </w:r>
      <w:r>
        <w:rPr>
          <w:rFonts w:ascii="Times New Roman;Times;serif" w:hAnsi="Times New Roman;Times;serif"/>
          <w:sz w:val="15"/>
        </w:rPr>
        <w:t>TM</w:t>
      </w:r>
      <w:r>
        <w:rPr>
          <w:rFonts w:ascii="Times New Roman;Times;serif" w:hAnsi="Times New Roman;Times;serif"/>
          <w:sz w:val="20"/>
        </w:rPr>
        <w:t xml:space="preserve"> SoC compared to the first half of 2023 since we entered 2023 with an opening balance of EyeQ</w:t>
      </w:r>
      <w:r>
        <w:rPr>
          <w:rFonts w:ascii="Times New Roman;Times;serif" w:hAnsi="Times New Roman;Times;serif"/>
          <w:sz w:val="15"/>
        </w:rPr>
        <w:t>TM</w:t>
      </w:r>
      <w:r>
        <w:rPr>
          <w:rFonts w:ascii="Times New Roman;Times;serif" w:hAnsi="Times New Roman;Times;serif"/>
          <w:sz w:val="20"/>
        </w:rPr>
        <w:t xml:space="preserve"> SoC inventory that we previously acquired at lower-than-current prices.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Research and Development Expenses, net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net, in the three months ended June 29, 2024, increased by $45 million, or 21%, compared to the three months ended July 1, 2023. This increase was primarily due to an increase in payroll and related expenses, resulting from an increase in average research and development headcount of 367 employees, including an increase in share-based compensation, which was partially offset by the depreciation of the New Israeli Shekel against the USD and military duty reserve refunds from the state of Israel. In addition, there was an increase related to investments attributable to new product development and cloud computing services and also an increase in depreciation costs associated with the new campus and additional sites.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net, in the six months ended June 29, 2024 increased by $53 million, or 12%, compared to the six months ended July 1, 2023. This increase was due to an increase in payroll and related expenses, resulting from an increase in average research and development headcount of 362 employees, including an increase in share-based compensation, which was partially offset by the depreciation of the New Israeli Shekel against the USD and military duty reserve refunds from the state of Israel. In addition, there was an increase related to investments attributable to new product development and cloud computing services that was partially offset by higher NRE reimbursements.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and marketing expenses in the three months ended June 29, 2024 decreased by $1 million, or 5%, compared to the three months ended July 1,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and marketing expenses in the six months ended June 29, 2024 remained flat compared to the six months ended July 1, 2023.</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in the three months ended June 29, 2024 increased by $2 million, or 12%, compared to the three months ended July 1, 2023. This increase was mainly due to an increase in corporate expenses.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 the six months ended June 29, 2024 decreased by $3, or 8%, compared to the six months ended July 1, 2023. This decrease was mainly due to a decrease in share-based compensation expenses.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Other Financial Income (expense),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Other financial income, net, in the three months ended June 29, 2024 decreased by $2 million, or 13%, compared to the three months ended July 1, 2023. This decrease was mainly due to exchange rate differences and fair value revaluation related to equity investments.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financial income, net, in the six months ended June 29, 2024 increased by $7 million, or 30%, compared to the six months ended July 1, 2023. This increase was mainly due to interest earned on investment in money market funds, as well as short term bank deposits.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Benefit (Provision) for 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three months ended June 29, 2024 provision for income tax decreased by $5 million, compared to the three months ended July 1, 2023. This decrease was mainly driven by a higher loss before income taxes in the three months ended June 29, 2024 compared to prior year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six months ended June 29, 2024, provision for income tax decreased by $14 million, compared to the six months ended July 1, 2023. This decrease was mainly due to a higher loss before income taxes in the six months ended June 29, 2024 compared to prior year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have sufficient sources of funding to meet our business requirements and plans for the next 12 months and in the longer term. Cash generated by operations is our primary source of liquidity for funding our strategic business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primary uses of funds have been for funding increases in headcount in our research and development departments, investments attributable to new product development, as well as for funding our capital expenditures. Our capital expenditures have related mainly to the construction of our new sites and campus, data storage and other research and development projects related equipment and were $46 million and $58 million for the six months ended June 29, 2024 and July 1, 2023, respectively. </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fund our cash requirements in the ordinary course of business, we anticipate that we will continue to primarily rely on operating cash flows, supplemented by our total cash and cash equivalents. We expect our total capital expenditures for 2024 to be slightly above our total capital expenditures in 2023, mainly due to investments in equipment related to the development of our next generation products. Our future capital requirements will depend on many factors, including our growth rate and the timing and extent of operating expenses.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certain consolidated statements of cash flow data:</w:t>
      </w:r>
    </w:p>
    <w:tbl>
      <w:tblPr>
        <w:tblW w:w="8543" w:type="dxa"/>
        <w:jc w:val="left"/>
        <w:tblInd w:w="0" w:type="dxa"/>
        <w:tblLayout w:type="fixed"/>
        <w:tblCellMar>
          <w:top w:w="0" w:type="dxa"/>
          <w:left w:w="0" w:type="dxa"/>
          <w:bottom w:w="0" w:type="dxa"/>
          <w:right w:w="0" w:type="dxa"/>
        </w:tblCellMar>
      </w:tblPr>
      <w:tblGrid>
        <w:gridCol w:w="5716"/>
        <w:gridCol w:w="326"/>
        <w:gridCol w:w="367"/>
        <w:gridCol w:w="758"/>
        <w:gridCol w:w="326"/>
        <w:gridCol w:w="300"/>
        <w:gridCol w:w="750"/>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3629660" cy="175260"/>
                      <wp:effectExtent l="0" t="0" r="0" b="0"/>
                      <wp:wrapNone/>
                      <wp:docPr id="388" name="Frame388"/>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33045" cy="175260"/>
                      <wp:effectExtent l="0" t="0" r="0" b="0"/>
                      <wp:wrapNone/>
                      <wp:docPr id="390" name="Frame390"/>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81330" cy="175260"/>
                      <wp:effectExtent l="0" t="0" r="0" b="0"/>
                      <wp:wrapNone/>
                      <wp:docPr id="391" name="Frame391"/>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90500" cy="175260"/>
                      <wp:effectExtent l="0" t="0" r="0" b="0"/>
                      <wp:wrapNone/>
                      <wp:docPr id="393" name="Frame393"/>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76250" cy="175260"/>
                      <wp:effectExtent l="0" t="0" r="0" b="0"/>
                      <wp:wrapNone/>
                      <wp:docPr id="394" name="Frame394"/>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vAlign w:val="center"/>
          </w:tcPr>
          <w:p>
            <w:pPr>
              <w:pStyle w:val="TableContents"/>
              <w:bidi w:val="0"/>
              <w:spacing w:before="0" w:after="0"/>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six months ended June 29, 2024 compared to the six months ended July 1, 2023, the $127 million decrease in cash provided by operating activities was mainly due to an increase of $197 million in net loss, partially offset by the decrease in trade accounts receivable due to reduction in revenue.</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the six months ended June 29, 2024 was $64 million, consisting of capital expenditures and purchases of debt and equity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in the six months ended July 1, 2023 was $58 million consisting of capital expenditures.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in the six months ended June 29, 2024 and the six months ended July 1, 2023 was $11 million and $12 million, respectively, consisting of share-based compensation recharge payments made to Intel.</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Liability in respect of employee rights upon retirement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majority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Severance pay liability decreased from $56 million as of December 30, 2023, to $55 million as of June 29, 2024, reflecting mainly the impact of fluctuations in value due to foreign exchange differences between New Israeli Shekel and USD.</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Lease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lease agreements for vehicles and offices. We lease office space in various locations in Israel and around the world including USA, Germany and China. All leases are operating leases with fixed payment terms where some of the leases include annual increases to lease payments based on an index or a rate. Lease liabilities, representing the present value of future lease payments, have increased from $51 million as of December 30, 2023 to $52 million as of June 29, 2024, reflecting mainly new lease contracts and amendments to existing agreements, partially offset by the progress in lease payments for existing arrangements.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Indebtedness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several bank guarantees aggregating approximately $12 million as of June 29, 2024 (denominated in New Israeli Shekels) mainly in connection with lease agreements and import of vehicles.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condensed consolidated financial statements and related notes included elsewhere in this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excluding items that neither relate to the ordinary course of business nor reflect our underlying business performance, such as the amortization of intangible assets,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non-GAAP financial measures reflect adjustments for amortization charges for our acquisition-related intangible assets, share-based compensation expense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Adjusted Gross Profit and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Set forth below is the reconciliation of gross profit to Adjusted Gross Profit and the calculations of gross margin and Adjusted Gross Margin:</w:t>
      </w:r>
    </w:p>
    <w:tbl>
      <w:tblPr>
        <w:tblW w:w="10205" w:type="dxa"/>
        <w:jc w:val="left"/>
        <w:tblInd w:w="0" w:type="dxa"/>
        <w:tblLayout w:type="fixed"/>
        <w:tblCellMar>
          <w:top w:w="0" w:type="dxa"/>
          <w:left w:w="0" w:type="dxa"/>
          <w:bottom w:w="0" w:type="dxa"/>
          <w:right w:w="0" w:type="dxa"/>
        </w:tblCellMar>
      </w:tblPr>
      <w:tblGrid>
        <w:gridCol w:w="1261"/>
        <w:gridCol w:w="326"/>
        <w:gridCol w:w="211"/>
        <w:gridCol w:w="691"/>
        <w:gridCol w:w="326"/>
        <w:gridCol w:w="721"/>
        <w:gridCol w:w="391"/>
        <w:gridCol w:w="230"/>
        <w:gridCol w:w="461"/>
        <w:gridCol w:w="326"/>
        <w:gridCol w:w="721"/>
        <w:gridCol w:w="326"/>
        <w:gridCol w:w="230"/>
        <w:gridCol w:w="461"/>
        <w:gridCol w:w="326"/>
        <w:gridCol w:w="721"/>
        <w:gridCol w:w="391"/>
        <w:gridCol w:w="230"/>
        <w:gridCol w:w="461"/>
        <w:gridCol w:w="326"/>
        <w:gridCol w:w="721"/>
        <w:gridCol w:w="347"/>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800735" cy="175260"/>
                      <wp:effectExtent l="0" t="0" r="0" b="0"/>
                      <wp:wrapNone/>
                      <wp:docPr id="395" name="Frame39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38785" cy="175260"/>
                      <wp:effectExtent l="0" t="0" r="0" b="0"/>
                      <wp:wrapNone/>
                      <wp:docPr id="398" name="Frame3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57835" cy="175260"/>
                      <wp:effectExtent l="0" t="0" r="0" b="0"/>
                      <wp:wrapNone/>
                      <wp:docPr id="400" name="Frame40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48285" cy="175260"/>
                      <wp:effectExtent l="0" t="0" r="0" b="0"/>
                      <wp:wrapNone/>
                      <wp:docPr id="401" name="Frame40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46050" cy="175260"/>
                      <wp:effectExtent l="0" t="0" r="0" b="0"/>
                      <wp:wrapNone/>
                      <wp:docPr id="402" name="Frame40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92735" cy="175260"/>
                      <wp:effectExtent l="0" t="0" r="0" b="0"/>
                      <wp:wrapNone/>
                      <wp:docPr id="403" name="Frame403"/>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57835" cy="175260"/>
                      <wp:effectExtent l="0" t="0" r="0" b="0"/>
                      <wp:wrapNone/>
                      <wp:docPr id="405" name="Frame40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46050" cy="175260"/>
                      <wp:effectExtent l="0" t="0" r="0" b="0"/>
                      <wp:wrapNone/>
                      <wp:docPr id="407" name="Frame40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92735" cy="175260"/>
                      <wp:effectExtent l="0" t="0" r="0" b="0"/>
                      <wp:wrapNone/>
                      <wp:docPr id="408" name="Frame408"/>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4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57835" cy="175260"/>
                      <wp:effectExtent l="0" t="0" r="0" b="0"/>
                      <wp:wrapNone/>
                      <wp:docPr id="410" name="Frame41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48285" cy="175260"/>
                      <wp:effectExtent l="0" t="0" r="0" b="0"/>
                      <wp:wrapNone/>
                      <wp:docPr id="411" name="Frame41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46050" cy="175260"/>
                      <wp:effectExtent l="0" t="0" r="0" b="0"/>
                      <wp:wrapNone/>
                      <wp:docPr id="412" name="Frame41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92735" cy="175260"/>
                      <wp:effectExtent l="0" t="0" r="0" b="0"/>
                      <wp:wrapNone/>
                      <wp:docPr id="413" name="Frame413"/>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457835" cy="175260"/>
                      <wp:effectExtent l="0" t="0" r="0" b="0"/>
                      <wp:wrapNone/>
                      <wp:docPr id="415" name="Frame41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20345" cy="175260"/>
                      <wp:effectExtent l="0" t="0" r="0" b="0"/>
                      <wp:wrapNone/>
                      <wp:docPr id="416" name="Frame416"/>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78"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3867"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7"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91" w:type="dxa"/>
            <w:tcBorders/>
            <w:vAlign w:val="center"/>
          </w:tcPr>
          <w:p>
            <w:pPr>
              <w:pStyle w:val="TableContents"/>
              <w:bidi w:val="0"/>
              <w:spacing w:before="0" w:after="0"/>
              <w:ind w:left="0" w:right="0" w:hanging="0"/>
              <w:jc w:val="left"/>
              <w:rPr/>
            </w:pPr>
            <w:r>
              <w:rPr/>
              <w:t>​</w:t>
            </w:r>
          </w:p>
        </w:tc>
        <w:tc>
          <w:tcPr>
            <w:tcW w:w="17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2023</w:t>
            </w:r>
          </w:p>
        </w:tc>
        <w:tc>
          <w:tcPr>
            <w:tcW w:w="326" w:type="dxa"/>
            <w:tcBorders/>
            <w:vAlign w:val="center"/>
          </w:tcPr>
          <w:p>
            <w:pPr>
              <w:pStyle w:val="TableContents"/>
              <w:bidi w:val="0"/>
              <w:spacing w:before="0" w:after="0"/>
              <w:ind w:left="0" w:right="0" w:hanging="0"/>
              <w:jc w:val="left"/>
              <w:rPr/>
            </w:pPr>
            <w:r>
              <w:rPr/>
              <w:t>​</w:t>
            </w:r>
          </w:p>
        </w:tc>
        <w:tc>
          <w:tcPr>
            <w:tcW w:w="17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91" w:type="dxa"/>
            <w:tcBorders/>
            <w:vAlign w:val="center"/>
          </w:tcPr>
          <w:p>
            <w:pPr>
              <w:pStyle w:val="TableContents"/>
              <w:bidi w:val="0"/>
              <w:spacing w:before="0" w:after="0"/>
              <w:ind w:left="0" w:right="0" w:hanging="0"/>
              <w:jc w:val="left"/>
              <w:rPr/>
            </w:pPr>
            <w:r>
              <w:rPr/>
              <w:t>​</w:t>
            </w:r>
          </w:p>
        </w:tc>
        <w:tc>
          <w:tcPr>
            <w:tcW w:w="17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2023</w:t>
            </w:r>
          </w:p>
        </w:tc>
        <w:tc>
          <w:tcPr>
            <w:tcW w:w="347"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47" w:type="dxa"/>
            <w:tcBorders/>
            <w:vAlign w:val="center"/>
          </w:tcPr>
          <w:p>
            <w:pPr>
              <w:pStyle w:val="TableContents"/>
              <w:bidi w:val="0"/>
              <w:spacing w:before="0" w:after="0"/>
              <w:ind w:left="0" w:right="0" w:hanging="0"/>
              <w:jc w:val="center"/>
              <w:rPr/>
            </w:pPr>
            <w:r>
              <w:rPr/>
              <w:t> </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and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Amortization of acquired 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Share-based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gross profit and margin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326</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w:t>
            </w:r>
          </w:p>
        </w:tc>
        <w:tc>
          <w:tcPr>
            <w:tcW w:w="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452</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650</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w:t>
            </w:r>
          </w:p>
        </w:tc>
        <w:tc>
          <w:tcPr>
            <w:tcW w:w="3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Our Gross Margin (gross profit as a percentage of revenue) and Adjusted Gross Margin (adjusted gross profit as a percentage of revenue) reflect the high value-added nature of our solutions. As we develop and sell full systems that include hardware beyond EyeQ</w:t>
      </w:r>
      <w:r>
        <w:rPr>
          <w:rFonts w:ascii="Times New Roman;Times;serif" w:hAnsi="Times New Roman;Times;serif"/>
          <w:sz w:val="15"/>
        </w:rPr>
        <w:t>TM</w:t>
      </w:r>
      <w:r>
        <w:rPr>
          <w:rFonts w:ascii="Times New Roman;Times;serif" w:hAnsi="Times New Roman;Times;serif"/>
          <w:sz w:val="20"/>
        </w:rPr>
        <w:t xml:space="preserve">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Our Adjusted Gross Margin decreased from 72% for the three months ended July 1, 2023 to 69% for the three months ended June 29, 2024 and from 71% for the six months ended July 1, 2023 to 67% for the six months ended June 29, 2024. The decrease in both periods was primarily due to the increase in the percentage of revenue attributable to SuperVision</w:t>
      </w:r>
      <w:r>
        <w:rPr>
          <w:rFonts w:ascii="Times New Roman;Times;serif" w:hAnsi="Times New Roman;Times;serif"/>
          <w:sz w:val="15"/>
        </w:rPr>
        <w:t>TM</w:t>
      </w:r>
      <w:r>
        <w:rPr>
          <w:rFonts w:ascii="Times New Roman;Times;serif" w:hAnsi="Times New Roman;Times;serif"/>
          <w:sz w:val="20"/>
        </w:rPr>
        <w:t>. In addition there was an increase in the cost of our EyeQ</w:t>
      </w:r>
      <w:r>
        <w:rPr>
          <w:rFonts w:ascii="Times New Roman;Times;serif" w:hAnsi="Times New Roman;Times;serif"/>
          <w:sz w:val="15"/>
        </w:rPr>
        <w:t>TM</w:t>
      </w:r>
      <w:r>
        <w:rPr>
          <w:rFonts w:ascii="Times New Roman;Times;serif" w:hAnsi="Times New Roman;Times;serif"/>
          <w:sz w:val="20"/>
        </w:rPr>
        <w:t xml:space="preserve"> SoCs compared to the second quarter of 2023 since we entered 2023 with an opening balance of EyeQ</w:t>
      </w:r>
      <w:r>
        <w:rPr>
          <w:rFonts w:ascii="Times New Roman;Times;serif" w:hAnsi="Times New Roman;Times;serif"/>
          <w:sz w:val="15"/>
        </w:rPr>
        <w:t>TM</w:t>
      </w:r>
      <w:r>
        <w:rPr>
          <w:rFonts w:ascii="Times New Roman;Times;serif" w:hAnsi="Times New Roman;Times;serif"/>
          <w:sz w:val="20"/>
        </w:rPr>
        <w:t xml:space="preserve"> SoC inventory that we previously acquired at lower-than-current prices.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Adjusted Operating Income (Loss) and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Operating Income (loss) as operating income (loss) presented in accordance with GAAP, adjusted to exclude amortization of acquisition related intangibles, and share-based compensation expenses. Operating margin is calculated as operating income (loss) divided by total revenue, and Adjusted Operating Margin is calculated as Adjusted Operating Income (Loss) divided by total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Set forth below is the reconciliation of operating income (loss) to Adjusted Operating Income (Loss) and the calculations of Operating Margin and Adjusted Operating Margin:</w:t>
      </w:r>
    </w:p>
    <w:tbl>
      <w:tblPr>
        <w:tblW w:w="10205" w:type="dxa"/>
        <w:jc w:val="left"/>
        <w:tblInd w:w="0" w:type="dxa"/>
        <w:tblLayout w:type="fixed"/>
        <w:tblCellMar>
          <w:top w:w="0" w:type="dxa"/>
          <w:left w:w="0" w:type="dxa"/>
          <w:bottom w:w="0" w:type="dxa"/>
          <w:right w:w="0" w:type="dxa"/>
        </w:tblCellMar>
      </w:tblPr>
      <w:tblGrid>
        <w:gridCol w:w="1484"/>
        <w:gridCol w:w="326"/>
        <w:gridCol w:w="230"/>
        <w:gridCol w:w="461"/>
        <w:gridCol w:w="326"/>
        <w:gridCol w:w="753"/>
        <w:gridCol w:w="326"/>
        <w:gridCol w:w="230"/>
        <w:gridCol w:w="461"/>
        <w:gridCol w:w="326"/>
        <w:gridCol w:w="753"/>
        <w:gridCol w:w="301"/>
        <w:gridCol w:w="211"/>
        <w:gridCol w:w="485"/>
        <w:gridCol w:w="326"/>
        <w:gridCol w:w="753"/>
        <w:gridCol w:w="326"/>
        <w:gridCol w:w="211"/>
        <w:gridCol w:w="485"/>
        <w:gridCol w:w="326"/>
        <w:gridCol w:w="753"/>
        <w:gridCol w:w="352"/>
      </w:tblGrid>
      <w:tr>
        <w:trPr/>
        <w:tc>
          <w:tcPr>
            <w:tcW w:w="1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942340" cy="175260"/>
                      <wp:effectExtent l="0" t="0" r="0" b="0"/>
                      <wp:wrapNone/>
                      <wp:docPr id="417" name="Frame417"/>
                      <a:graphic xmlns:a="http://schemas.openxmlformats.org/drawingml/2006/main">
                        <a:graphicData uri="http://schemas.microsoft.com/office/word/2010/wordprocessingShape">
                          <wps:wsp>
                            <wps:cNvSpPr txBox="1"/>
                            <wps:spPr>
                              <a:xfrm>
                                <a:off x="0" y="0"/>
                                <a:ext cx="942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46050" cy="175260"/>
                      <wp:effectExtent l="0" t="0" r="0" b="0"/>
                      <wp:wrapNone/>
                      <wp:docPr id="419" name="Frame41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92735" cy="175260"/>
                      <wp:effectExtent l="0" t="0" r="0" b="0"/>
                      <wp:wrapNone/>
                      <wp:docPr id="420" name="Frame420"/>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78155" cy="175260"/>
                      <wp:effectExtent l="0" t="0" r="0" b="0"/>
                      <wp:wrapNone/>
                      <wp:docPr id="422" name="Frame422"/>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23" name="Frame4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46050" cy="175260"/>
                      <wp:effectExtent l="0" t="0" r="0" b="0"/>
                      <wp:wrapNone/>
                      <wp:docPr id="424" name="Frame42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92735" cy="175260"/>
                      <wp:effectExtent l="0" t="0" r="0" b="0"/>
                      <wp:wrapNone/>
                      <wp:docPr id="425" name="Frame425"/>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7010" cy="175260"/>
                      <wp:effectExtent l="0" t="0" r="0" b="0"/>
                      <wp:wrapNone/>
                      <wp:docPr id="426" name="Frame4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478155" cy="175260"/>
                      <wp:effectExtent l="0" t="0" r="0" b="0"/>
                      <wp:wrapNone/>
                      <wp:docPr id="427" name="Frame427"/>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91135" cy="175260"/>
                      <wp:effectExtent l="0" t="0" r="0" b="0"/>
                      <wp:wrapNone/>
                      <wp:docPr id="428" name="Frame42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307975" cy="175260"/>
                      <wp:effectExtent l="0" t="0" r="0" b="0"/>
                      <wp:wrapNone/>
                      <wp:docPr id="430" name="Frame430"/>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78155" cy="175260"/>
                      <wp:effectExtent l="0" t="0" r="0" b="0"/>
                      <wp:wrapNone/>
                      <wp:docPr id="432" name="Frame432"/>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307975" cy="175260"/>
                      <wp:effectExtent l="0" t="0" r="0" b="0"/>
                      <wp:wrapNone/>
                      <wp:docPr id="435" name="Frame435"/>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78155" cy="175260"/>
                      <wp:effectExtent l="0" t="0" r="0" b="0"/>
                      <wp:wrapNone/>
                      <wp:docPr id="437" name="Frame437"/>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23520" cy="175260"/>
                      <wp:effectExtent l="0" t="0" r="0" b="0"/>
                      <wp:wrapNone/>
                      <wp:docPr id="438" name="Frame43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66"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01" w:type="dxa"/>
            <w:tcBorders/>
            <w:vAlign w:val="center"/>
          </w:tcPr>
          <w:p>
            <w:pPr>
              <w:pStyle w:val="TableContents"/>
              <w:bidi w:val="0"/>
              <w:spacing w:before="0" w:after="0"/>
              <w:ind w:left="0" w:right="0" w:hanging="0"/>
              <w:jc w:val="left"/>
              <w:rPr/>
            </w:pPr>
            <w:r>
              <w:rPr/>
              <w:t>​</w:t>
            </w:r>
          </w:p>
        </w:tc>
        <w:tc>
          <w:tcPr>
            <w:tcW w:w="3876"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52" w:type="dxa"/>
            <w:tcBorders/>
            <w:vAlign w:val="center"/>
          </w:tcPr>
          <w:p>
            <w:pPr>
              <w:pStyle w:val="TableContents"/>
              <w:bidi w:val="0"/>
              <w:spacing w:before="0" w:after="0"/>
              <w:ind w:left="0" w:right="0" w:hanging="0"/>
              <w:jc w:val="left"/>
              <w:rPr/>
            </w:pPr>
            <w:r>
              <w:rPr/>
              <w:t>​</w:t>
            </w:r>
          </w:p>
        </w:tc>
      </w:tr>
      <w:tr>
        <w:trPr/>
        <w:tc>
          <w:tcPr>
            <w:tcW w:w="14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7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vAlign w:val="center"/>
          </w:tcPr>
          <w:p>
            <w:pPr>
              <w:pStyle w:val="TableContents"/>
              <w:bidi w:val="0"/>
              <w:spacing w:before="0" w:after="0"/>
              <w:ind w:left="0" w:right="0" w:hanging="0"/>
              <w:jc w:val="left"/>
              <w:rPr/>
            </w:pPr>
            <w:r>
              <w:rPr/>
              <w:t>​</w:t>
            </w:r>
          </w:p>
        </w:tc>
        <w:tc>
          <w:tcPr>
            <w:tcW w:w="177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2023</w:t>
            </w:r>
          </w:p>
        </w:tc>
        <w:tc>
          <w:tcPr>
            <w:tcW w:w="301" w:type="dxa"/>
            <w:tcBorders/>
            <w:vAlign w:val="center"/>
          </w:tcPr>
          <w:p>
            <w:pPr>
              <w:pStyle w:val="TableContents"/>
              <w:bidi w:val="0"/>
              <w:spacing w:before="0" w:after="0"/>
              <w:ind w:left="0" w:right="0" w:hanging="0"/>
              <w:jc w:val="left"/>
              <w:rPr/>
            </w:pPr>
            <w:r>
              <w:rPr/>
              <w:t>​</w:t>
            </w:r>
          </w:p>
        </w:tc>
        <w:tc>
          <w:tcPr>
            <w:tcW w:w="177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vAlign w:val="center"/>
          </w:tcPr>
          <w:p>
            <w:pPr>
              <w:pStyle w:val="TableContents"/>
              <w:bidi w:val="0"/>
              <w:spacing w:before="0" w:after="0"/>
              <w:ind w:left="0" w:right="0" w:hanging="0"/>
              <w:jc w:val="left"/>
              <w:rPr/>
            </w:pPr>
            <w:r>
              <w:rPr/>
              <w:t>​</w:t>
            </w:r>
          </w:p>
        </w:tc>
        <w:tc>
          <w:tcPr>
            <w:tcW w:w="177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2023</w:t>
            </w:r>
          </w:p>
        </w:tc>
        <w:tc>
          <w:tcPr>
            <w:tcW w:w="352" w:type="dxa"/>
            <w:tcBorders/>
            <w:vAlign w:val="center"/>
          </w:tcPr>
          <w:p>
            <w:pPr>
              <w:pStyle w:val="TableContents"/>
              <w:bidi w:val="0"/>
              <w:spacing w:before="0" w:after="0"/>
              <w:ind w:left="0" w:right="0" w:hanging="0"/>
              <w:jc w:val="left"/>
              <w:rPr/>
            </w:pPr>
            <w:r>
              <w:rPr/>
              <w:t>​</w:t>
            </w:r>
          </w:p>
        </w:tc>
      </w:tr>
      <w:tr>
        <w:trPr/>
        <w:tc>
          <w:tcPr>
            <w:tcW w:w="148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01" w:type="dxa"/>
            <w:tcBorders/>
            <w:vAlign w:val="center"/>
          </w:tcPr>
          <w:p>
            <w:pPr>
              <w:pStyle w:val="TableContents"/>
              <w:bidi w:val="0"/>
              <w:spacing w:before="0" w:after="0"/>
              <w:ind w:left="0" w:right="0" w:hanging="0"/>
              <w:jc w:val="left"/>
              <w:rPr/>
            </w:pPr>
            <w:r>
              <w:rPr/>
              <w:t>​</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26" w:type="dxa"/>
            <w:tcBorders/>
            <w:vAlign w:val="center"/>
          </w:tcPr>
          <w:p>
            <w:pPr>
              <w:pStyle w:val="TableContents"/>
              <w:bidi w:val="0"/>
              <w:spacing w:before="0" w:after="0"/>
              <w:ind w:left="0" w:right="0" w:hanging="0"/>
              <w:jc w:val="left"/>
              <w:rPr/>
            </w:pPr>
            <w:r>
              <w:rPr/>
              <w:t>    </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52" w:type="dxa"/>
            <w:tcBorders/>
            <w:vAlign w:val="center"/>
          </w:tcPr>
          <w:p>
            <w:pPr>
              <w:pStyle w:val="TableContents"/>
              <w:bidi w:val="0"/>
              <w:spacing w:before="0" w:after="0"/>
              <w:ind w:left="0" w:right="0" w:hanging="0"/>
              <w:jc w:val="left"/>
              <w:rPr/>
            </w:pPr>
            <w:r>
              <w:rPr/>
              <w:t>​</w:t>
            </w:r>
          </w:p>
        </w:tc>
      </w:tr>
      <w:tr>
        <w:trPr/>
        <w:tc>
          <w:tcPr>
            <w:tcW w:w="1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 and operating margin</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0"/>
              <w:ind w:left="0" w:right="0" w:hanging="0"/>
              <w:jc w:val="left"/>
              <w:rPr/>
            </w:pPr>
            <w:r>
              <w:rPr/>
              <w:t> </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0"/>
              <w:ind w:left="0" w:right="0" w:hanging="0"/>
              <w:jc w:val="left"/>
              <w:rPr/>
            </w:pPr>
            <w:r>
              <w:rPr/>
              <w:t> </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26" w:type="dxa"/>
            <w:tcBorders/>
            <w:shd w:fill="CCEEFF" w:val="clear"/>
            <w:vAlign w:val="center"/>
          </w:tcPr>
          <w:p>
            <w:pPr>
              <w:pStyle w:val="TableContents"/>
              <w:bidi w:val="0"/>
              <w:spacing w:before="0" w:after="0"/>
              <w:ind w:left="0" w:right="0" w:hanging="0"/>
              <w:jc w:val="left"/>
              <w:rPr/>
            </w:pPr>
            <w:r>
              <w:rPr/>
              <w:t> </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shd w:fill="CCEEFF" w:val="clear"/>
            <w:vAlign w:val="center"/>
          </w:tcPr>
          <w:p>
            <w:pPr>
              <w:pStyle w:val="TableContents"/>
              <w:bidi w:val="0"/>
              <w:spacing w:before="0" w:after="0"/>
              <w:ind w:left="0" w:right="0" w:hanging="0"/>
              <w:jc w:val="left"/>
              <w:rPr/>
            </w:pPr>
            <w:r>
              <w:rPr/>
              <w:t> </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Amortization of acquired intangible assets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Share-based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0"/>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shd w:fill="CCEEFF" w:val="clear"/>
            <w:vAlign w:val="center"/>
          </w:tcPr>
          <w:p>
            <w:pPr>
              <w:pStyle w:val="TableContents"/>
              <w:bidi w:val="0"/>
              <w:spacing w:before="0" w:after="0"/>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operating income and margin</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w:t>
            </w:r>
          </w:p>
        </w:tc>
        <w:tc>
          <w:tcPr>
            <w:tcW w:w="326" w:type="dxa"/>
            <w:tcBorders/>
            <w:vAlign w:val="center"/>
          </w:tcPr>
          <w:p>
            <w:pPr>
              <w:pStyle w:val="TableContents"/>
              <w:bidi w:val="0"/>
              <w:spacing w:before="0" w:after="0"/>
              <w:ind w:left="0" w:right="0" w:hanging="0"/>
              <w:jc w:val="left"/>
              <w:rPr/>
            </w:pPr>
            <w:r>
              <w:rPr/>
              <w:t> </w:t>
            </w:r>
          </w:p>
        </w:tc>
        <w:tc>
          <w:tcPr>
            <w:tcW w:w="7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w:t>
            </w:r>
          </w:p>
        </w:tc>
        <w:tc>
          <w:tcPr>
            <w:tcW w:w="326" w:type="dxa"/>
            <w:tcBorders/>
            <w:vAlign w:val="center"/>
          </w:tcPr>
          <w:p>
            <w:pPr>
              <w:pStyle w:val="TableContents"/>
              <w:bidi w:val="0"/>
              <w:spacing w:before="0" w:after="0"/>
              <w:ind w:left="0" w:right="0" w:hanging="0"/>
              <w:jc w:val="left"/>
              <w:rPr/>
            </w:pPr>
            <w:r>
              <w:rPr/>
              <w:t> </w:t>
            </w:r>
          </w:p>
        </w:tc>
        <w:tc>
          <w:tcPr>
            <w:tcW w:w="7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c>
          <w:tcPr>
            <w:tcW w:w="326" w:type="dxa"/>
            <w:tcBorders/>
            <w:vAlign w:val="center"/>
          </w:tcPr>
          <w:p>
            <w:pPr>
              <w:pStyle w:val="TableContents"/>
              <w:bidi w:val="0"/>
              <w:spacing w:before="0" w:after="0"/>
              <w:ind w:left="0" w:right="0" w:hanging="0"/>
              <w:jc w:val="left"/>
              <w:rPr/>
            </w:pPr>
            <w:r>
              <w:rPr/>
              <w:t> </w:t>
            </w:r>
          </w:p>
        </w:tc>
        <w:tc>
          <w:tcPr>
            <w:tcW w:w="7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c>
          <w:tcPr>
            <w:tcW w:w="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264</w:t>
            </w:r>
          </w:p>
        </w:tc>
        <w:tc>
          <w:tcPr>
            <w:tcW w:w="326" w:type="dxa"/>
            <w:tcBorders/>
            <w:vAlign w:val="center"/>
          </w:tcPr>
          <w:p>
            <w:pPr>
              <w:pStyle w:val="TableContents"/>
              <w:bidi w:val="0"/>
              <w:spacing w:before="0" w:after="0"/>
              <w:ind w:left="0" w:right="0" w:hanging="0"/>
              <w:jc w:val="left"/>
              <w:rPr/>
            </w:pPr>
            <w:r>
              <w:rPr/>
              <w:t> </w:t>
            </w:r>
          </w:p>
        </w:tc>
        <w:tc>
          <w:tcPr>
            <w:tcW w:w="7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w:t>
            </w:r>
          </w:p>
        </w:tc>
        <w:tc>
          <w:tcPr>
            <w:tcW w:w="35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18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months ended June 29, 2024 ended with an operating loss of $(94) million compared to a $(33) million operating loss in the three months ended July 1, 2023. The increase in operating loss was mainly due to an increase in operating expenses including share based compensation expenses and a slight decrease in revenue, partially offset by lower amortization expenses. The six months ended June 29, 2024 ended with an operating loss higher by $218 million compared to the six months ended July 1, 2023, mainly due to lower revenue and higher operating expenses partially offset by lower amortization.</w:t>
      </w:r>
    </w:p>
    <w:p>
      <w:pPr>
        <w:pStyle w:val="TextBody"/>
        <w:bidi w:val="0"/>
        <w:spacing w:before="0" w:after="18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Adjusted Operating Income decreased by $61 million in the three months ended June 29, 2024 compared to the three months ended July 1, 2023, mainly due to an increase in operating expenses and a slight reduction in revenue. Our Adjusted Operating Income decreased by $250 million in the six months ended June 29, 2024 compared to the six months ended July 1, 2023. The decrease was primarily due to higher operating expenses on an unusually low revenue base.</w:t>
      </w:r>
    </w:p>
    <w:p>
      <w:pPr>
        <w:pStyle w:val="TextBody"/>
        <w:bidi w:val="0"/>
        <w:spacing w:before="0" w:after="18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Adjusted Operating Margin decreased from 31% for the three months ended July 1, 2023 to 18% for the three months ended June 29, 2024 mainly due to higher operating expenses on a similar revenue base, in addition to the lower Adjusted Gross Margin. Our Adjusted Operating Margin decreased from 29% for the six months ended July 1, 2023 to 2% for the six months ended June 29, 2024. The decrease is mainly due to higher operating expenses on an unusually low revenue base, in addition to the lower Adjusted Gross Margin.</w:t>
      </w:r>
    </w:p>
    <w:p>
      <w:pPr>
        <w:pStyle w:val="TextBody"/>
        <w:bidi w:val="0"/>
        <w:spacing w:before="0" w:after="180"/>
        <w:ind w:left="0" w:right="0" w:firstLine="360"/>
        <w:jc w:val="left"/>
        <w:rPr>
          <w:rFonts w:ascii="Times New Roman;Times;serif" w:hAnsi="Times New Roman;Times;serif"/>
          <w:b/>
          <w:i/>
          <w:sz w:val="20"/>
        </w:rPr>
      </w:pPr>
      <w:r>
        <w:rPr>
          <w:rFonts w:ascii="Times New Roman;Times;serif" w:hAnsi="Times New Roman;Times;serif"/>
          <w:b/>
          <w:i/>
          <w:sz w:val="20"/>
        </w:rPr>
        <w:t>Adjusted Net Income (Loss)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define Adjusted Net Income (Loss) as net income (loss) presented in accordance with GAAP, adjusted to exclude amortization of acquisition related intangibles and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Set forth below is the reconciliation of net income (loss) to Adjusted Net Income (Loss):</w:t>
      </w:r>
    </w:p>
    <w:tbl>
      <w:tblPr>
        <w:tblW w:w="10205" w:type="dxa"/>
        <w:jc w:val="left"/>
        <w:tblInd w:w="0" w:type="dxa"/>
        <w:tblLayout w:type="fixed"/>
        <w:tblCellMar>
          <w:top w:w="0" w:type="dxa"/>
          <w:left w:w="0" w:type="dxa"/>
          <w:bottom w:w="0" w:type="dxa"/>
          <w:right w:w="0" w:type="dxa"/>
        </w:tblCellMar>
      </w:tblPr>
      <w:tblGrid>
        <w:gridCol w:w="1469"/>
        <w:gridCol w:w="326"/>
        <w:gridCol w:w="230"/>
        <w:gridCol w:w="461"/>
        <w:gridCol w:w="326"/>
        <w:gridCol w:w="751"/>
        <w:gridCol w:w="326"/>
        <w:gridCol w:w="230"/>
        <w:gridCol w:w="461"/>
        <w:gridCol w:w="326"/>
        <w:gridCol w:w="751"/>
        <w:gridCol w:w="326"/>
        <w:gridCol w:w="211"/>
        <w:gridCol w:w="485"/>
        <w:gridCol w:w="326"/>
        <w:gridCol w:w="751"/>
        <w:gridCol w:w="326"/>
        <w:gridCol w:w="211"/>
        <w:gridCol w:w="485"/>
        <w:gridCol w:w="326"/>
        <w:gridCol w:w="751"/>
        <w:gridCol w:w="350"/>
      </w:tblGrid>
      <w:tr>
        <w:trPr/>
        <w:tc>
          <w:tcPr>
            <w:tcW w:w="1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932815" cy="175260"/>
                      <wp:effectExtent l="0" t="0" r="0" b="0"/>
                      <wp:wrapNone/>
                      <wp:docPr id="439" name="Frame439"/>
                      <a:graphic xmlns:a="http://schemas.openxmlformats.org/drawingml/2006/main">
                        <a:graphicData uri="http://schemas.microsoft.com/office/word/2010/wordprocessingShape">
                          <wps:wsp>
                            <wps:cNvSpPr txBox="1"/>
                            <wps:spPr>
                              <a:xfrm>
                                <a:off x="0" y="0"/>
                                <a:ext cx="932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46050" cy="175260"/>
                      <wp:effectExtent l="0" t="0" r="0" b="0"/>
                      <wp:wrapNone/>
                      <wp:docPr id="441" name="Frame44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92735" cy="175260"/>
                      <wp:effectExtent l="0" t="0" r="0" b="0"/>
                      <wp:wrapNone/>
                      <wp:docPr id="442" name="Frame442"/>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76885" cy="175260"/>
                      <wp:effectExtent l="0" t="0" r="0" b="0"/>
                      <wp:wrapNone/>
                      <wp:docPr id="444" name="Frame44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46050" cy="175260"/>
                      <wp:effectExtent l="0" t="0" r="0" b="0"/>
                      <wp:wrapNone/>
                      <wp:docPr id="446" name="Frame44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92735" cy="175260"/>
                      <wp:effectExtent l="0" t="0" r="0" b="0"/>
                      <wp:wrapNone/>
                      <wp:docPr id="447" name="Frame447"/>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76885" cy="175260"/>
                      <wp:effectExtent l="0" t="0" r="0" b="0"/>
                      <wp:wrapNone/>
                      <wp:docPr id="449" name="Frame44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1" name="Frame4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307975" cy="175260"/>
                      <wp:effectExtent l="0" t="0" r="0" b="0"/>
                      <wp:wrapNone/>
                      <wp:docPr id="452" name="Frame452"/>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76885" cy="175260"/>
                      <wp:effectExtent l="0" t="0" r="0" b="0"/>
                      <wp:wrapNone/>
                      <wp:docPr id="454" name="Frame45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33985" cy="175260"/>
                      <wp:effectExtent l="0" t="0" r="0" b="0"/>
                      <wp:wrapNone/>
                      <wp:docPr id="456" name="Frame4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307975" cy="175260"/>
                      <wp:effectExtent l="0" t="0" r="0" b="0"/>
                      <wp:wrapNone/>
                      <wp:docPr id="457" name="Frame457"/>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8" name="Frame4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76885" cy="175260"/>
                      <wp:effectExtent l="0" t="0" r="0" b="0"/>
                      <wp:wrapNone/>
                      <wp:docPr id="459" name="Frame45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22250" cy="175260"/>
                      <wp:effectExtent l="0" t="0" r="0" b="0"/>
                      <wp:wrapNone/>
                      <wp:docPr id="460" name="Frame460"/>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6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387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50" w:type="dxa"/>
            <w:tcBorders/>
            <w:vAlign w:val="center"/>
          </w:tcPr>
          <w:p>
            <w:pPr>
              <w:pStyle w:val="TableContents"/>
              <w:bidi w:val="0"/>
              <w:spacing w:before="0" w:after="0"/>
              <w:ind w:left="0" w:right="0" w:hanging="0"/>
              <w:jc w:val="center"/>
              <w:rPr/>
            </w:pPr>
            <w:r>
              <w:rPr/>
              <w:t>​</w:t>
            </w:r>
          </w:p>
        </w:tc>
      </w:tr>
      <w:tr>
        <w:trPr/>
        <w:tc>
          <w:tcPr>
            <w:tcW w:w="14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6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vAlign w:val="center"/>
          </w:tcPr>
          <w:p>
            <w:pPr>
              <w:pStyle w:val="TableContents"/>
              <w:bidi w:val="0"/>
              <w:spacing w:before="0" w:after="0"/>
              <w:ind w:left="0" w:right="0" w:hanging="0"/>
              <w:jc w:val="left"/>
              <w:rPr/>
            </w:pPr>
            <w:r>
              <w:rPr/>
              <w:t>​</w:t>
            </w:r>
          </w:p>
        </w:tc>
        <w:tc>
          <w:tcPr>
            <w:tcW w:w="176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2023</w:t>
            </w:r>
          </w:p>
        </w:tc>
        <w:tc>
          <w:tcPr>
            <w:tcW w:w="326" w:type="dxa"/>
            <w:tcBorders/>
            <w:vAlign w:val="center"/>
          </w:tcPr>
          <w:p>
            <w:pPr>
              <w:pStyle w:val="TableContents"/>
              <w:bidi w:val="0"/>
              <w:spacing w:before="0" w:after="0"/>
              <w:ind w:left="0" w:right="0" w:hanging="0"/>
              <w:jc w:val="left"/>
              <w:rPr/>
            </w:pPr>
            <w:r>
              <w:rPr/>
              <w:t>​</w:t>
            </w:r>
          </w:p>
        </w:tc>
        <w:tc>
          <w:tcPr>
            <w:tcW w:w="17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2023</w:t>
            </w:r>
          </w:p>
        </w:tc>
        <w:tc>
          <w:tcPr>
            <w:tcW w:w="350" w:type="dxa"/>
            <w:tcBorders/>
            <w:vAlign w:val="center"/>
          </w:tcPr>
          <w:p>
            <w:pPr>
              <w:pStyle w:val="TableContents"/>
              <w:bidi w:val="0"/>
              <w:spacing w:before="0" w:after="0"/>
              <w:ind w:left="0" w:right="0" w:hanging="0"/>
              <w:jc w:val="center"/>
              <w:rPr/>
            </w:pPr>
            <w:r>
              <w:rPr/>
              <w:t>​</w:t>
            </w:r>
          </w:p>
        </w:tc>
      </w:tr>
      <w:tr>
        <w:trPr/>
        <w:tc>
          <w:tcPr>
            <w:tcW w:w="146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26" w:type="dxa"/>
            <w:tcBorders/>
            <w:vAlign w:val="center"/>
          </w:tcPr>
          <w:p>
            <w:pPr>
              <w:pStyle w:val="TableContents"/>
              <w:bidi w:val="0"/>
              <w:spacing w:before="0" w:after="0"/>
              <w:ind w:left="0" w:right="0" w:hanging="0"/>
              <w:jc w:val="left"/>
              <w:rPr/>
            </w:pPr>
            <w:r>
              <w:rPr/>
              <w:t>    </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26" w:type="dxa"/>
            <w:tcBorders/>
            <w:vAlign w:val="center"/>
          </w:tcPr>
          <w:p>
            <w:pPr>
              <w:pStyle w:val="TableContents"/>
              <w:bidi w:val="0"/>
              <w:spacing w:before="0" w:after="0"/>
              <w:ind w:left="0" w:right="0" w:hanging="0"/>
              <w:jc w:val="left"/>
              <w:rPr/>
            </w:pPr>
            <w:r>
              <w:rPr/>
              <w:t>    </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50" w:type="dxa"/>
            <w:tcBorders/>
            <w:vAlign w:val="center"/>
          </w:tcPr>
          <w:p>
            <w:pPr>
              <w:pStyle w:val="TableContents"/>
              <w:bidi w:val="0"/>
              <w:spacing w:before="0" w:after="0"/>
              <w:ind w:left="0" w:right="0" w:hanging="0"/>
              <w:jc w:val="left"/>
              <w:rPr/>
            </w:pPr>
            <w:r>
              <w:rPr/>
              <w:t>​</w:t>
            </w:r>
          </w:p>
        </w:tc>
      </w:tr>
      <w:tr>
        <w:trPr/>
        <w:tc>
          <w:tcPr>
            <w:tcW w:w="14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6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Amortization of acquired intangible assets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6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Share-based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6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Income tax effects</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6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w:t>
            </w:r>
          </w:p>
        </w:tc>
        <w:tc>
          <w:tcPr>
            <w:tcW w:w="326" w:type="dxa"/>
            <w:tcBorders/>
            <w:shd w:fill="CCEEFF" w:val="clear"/>
            <w:vAlign w:val="center"/>
          </w:tcPr>
          <w:p>
            <w:pPr>
              <w:pStyle w:val="TableContents"/>
              <w:bidi w:val="0"/>
              <w:spacing w:before="0" w:after="0"/>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net loss increased by $58 million in the three months ended June 29, 2024, compared to the three months ended July 1, 2023, primarily due to lower revenue and higher operating expenses, including share based compensation, offset by lower amortization expenses. Our net loss increased by $197 million in the six months ended June 29, 2024, compared to the six months ended July 1, 2023 primarily due to lower revenue and higher operating expenses partially offset by lower amortization and an increase in other financial income, net.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Adjusted Net Income decreased by $59 million in the three months ended June 29, 2024, compared to the three months ended July 1, 2023 mainly due to higher operating expense and lower revenue. Our adjusted net loss decreased by $229 million in the six months ended June 29, 2024, compared to the six months ended July 1, 2023. The decrease is primarily due to an unusually low revenue base and higher operating expenses, partially offset by an increase in other financial income.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unaudited condensed consolidated financial statements have been prepared in accordance with U.S. GAAP. The preparation of financial statements and related disclosures in conformity with U.S. generally accepted accounting principles and the Company’s discussion and analysis of its financial condition and operating results require the Company’s management to make judgments, assumptions and estimates that affect the amounts reported. We base our assumptions, estimates and judgments on historical experience, current trends and other factors that management believes to be relevant at the time the estimate was made.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Note 2, “Significant Accounting Policies” of the Notes to the condensed consolidated Financial Statements in Part I, Item 1 of this Form 10-Q and in the Notes to the Consolidated Financial Statements in Part II, Item 8 of the 2023 Annual Report on Form 10-K, as filed with the SEC on February 23, 2024 (the “2023 Form 10-K”) describe the significant accounting policies and methods used in the preparation of the Company’s condensed consolidated financial statements. There have been no material changes to the Company’s critical accounting estimates since the 2023 Form 10-K. As noted in the 2023 Form 10-K critical accounting policies, we regularly test our goodwill and intangible assets to make a judgment on whether facts and circumstances indicate that the carrying amount may not be recoverable and an impairment may be required. These reviews can be affected by various factors, including external factors such as industry and economic trends, and internal factors such as changes in our business strategy and our forecasts for specific product lines. As disclosed elsewhere in this report, recent industry and economic trends have adversely impacted our business and forecasts, and this could impact the results of our testing in the future if these trends continue.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report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Forward-looking statements contained in this report may include, but are not limited to, statements about:</w:t>
      </w:r>
    </w:p>
    <w:p>
      <w:pPr>
        <w:pStyle w:val="TextBody"/>
        <w:bidi w:val="0"/>
        <w:spacing w:before="0" w:after="240"/>
        <w:ind w:left="0" w:right="0" w:hanging="0"/>
        <w:jc w:val="both"/>
        <w:rPr/>
      </w:pPr>
      <w:r>
        <w:rPr/>
        <w:t>●</w:t>
      </w:r>
      <w:r>
        <w:rPr>
          <w:rFonts w:ascii="Times New Roman;Times;serif" w:hAnsi="Times New Roman;Times;serif"/>
          <w:sz w:val="20"/>
        </w:rPr>
        <w:t>future business, social and environmental performance, goals and measures;</w:t>
      </w:r>
    </w:p>
    <w:p>
      <w:pPr>
        <w:pStyle w:val="TextBody"/>
        <w:bidi w:val="0"/>
        <w:spacing w:before="0" w:after="240"/>
        <w:ind w:left="0" w:right="0" w:hanging="0"/>
        <w:jc w:val="both"/>
        <w:rPr/>
      </w:pPr>
      <w:r>
        <w:rPr/>
        <w:t>●</w:t>
      </w:r>
      <w:r>
        <w:rPr>
          <w:rFonts w:ascii="Times New Roman;Times;serif" w:hAnsi="Times New Roman;Times;serif"/>
          <w:sz w:val="20"/>
        </w:rPr>
        <w:t>our anticipated growth prospects and trends in markets and industries relevant to our business;</w:t>
      </w:r>
    </w:p>
    <w:p>
      <w:pPr>
        <w:pStyle w:val="TextBody"/>
        <w:bidi w:val="0"/>
        <w:spacing w:before="0" w:after="240"/>
        <w:ind w:left="0" w:right="0" w:hanging="0"/>
        <w:jc w:val="both"/>
        <w:rPr/>
      </w:pPr>
      <w:r>
        <w:rPr/>
        <w:t>●</w:t>
      </w:r>
      <w:r>
        <w:rPr>
          <w:rFonts w:ascii="Times New Roman;Times;serif" w:hAnsi="Times New Roman;Times;serif"/>
          <w:sz w:val="20"/>
        </w:rPr>
        <w:t>business and investment plans;</w:t>
      </w:r>
    </w:p>
    <w:p>
      <w:pPr>
        <w:pStyle w:val="TextBody"/>
        <w:bidi w:val="0"/>
        <w:spacing w:before="0" w:after="240"/>
        <w:ind w:left="0" w:right="0" w:hanging="0"/>
        <w:jc w:val="both"/>
        <w:rPr/>
      </w:pPr>
      <w:r>
        <w:rPr/>
        <w:t>●</w:t>
      </w:r>
      <w:r>
        <w:rPr>
          <w:rFonts w:ascii="Times New Roman;Times;serif" w:hAnsi="Times New Roman;Times;serif"/>
          <w:sz w:val="20"/>
        </w:rPr>
        <w:t>expectations about our ability to maintain or enhance our leadership position in the markets in which we participate;</w:t>
      </w:r>
    </w:p>
    <w:p>
      <w:pPr>
        <w:pStyle w:val="TextBody"/>
        <w:bidi w:val="0"/>
        <w:spacing w:before="0" w:after="240"/>
        <w:ind w:left="0" w:right="0" w:hanging="0"/>
        <w:jc w:val="both"/>
        <w:rPr/>
      </w:pPr>
      <w:r>
        <w:rPr/>
        <w:t>●</w:t>
      </w:r>
      <w:r>
        <w:rPr>
          <w:rFonts w:ascii="Times New Roman;Times;serif" w:hAnsi="Times New Roman;Times;serif"/>
          <w:sz w:val="20"/>
        </w:rPr>
        <w:t>future consumer demand and behavior, including expectations about excess inventory utilization by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r>
        <w:rPr>
          <w:rFonts w:ascii="Times New Roman;Times;serif" w:hAnsi="Times New Roman;Times;serif"/>
          <w:sz w:val="20"/>
        </w:rPr>
        <w:t>our ability to effectively compete in the markets in which we operate;</w:t>
      </w:r>
    </w:p>
    <w:p>
      <w:pPr>
        <w:pStyle w:val="TextBody"/>
        <w:bidi w:val="0"/>
        <w:spacing w:before="0" w:after="240"/>
        <w:ind w:left="0" w:right="0" w:hanging="0"/>
        <w:jc w:val="both"/>
        <w:rPr/>
      </w:pPr>
      <w:r>
        <w:rPr/>
        <w:t>●</w:t>
      </w:r>
      <w:r>
        <w:rPr>
          <w:rFonts w:ascii="Times New Roman;Times;serif" w:hAnsi="Times New Roman;Times;serif"/>
          <w:sz w:val="20"/>
        </w:rPr>
        <w:t>future products and technology, and the expected availability and benefits of such products and technology;</w:t>
      </w:r>
    </w:p>
    <w:p>
      <w:pPr>
        <w:pStyle w:val="TextBody"/>
        <w:bidi w:val="0"/>
        <w:spacing w:before="0" w:after="240"/>
        <w:ind w:left="0" w:right="0" w:hanging="0"/>
        <w:jc w:val="both"/>
        <w:rPr/>
      </w:pPr>
      <w:r>
        <w:rPr/>
        <w:t>●</w:t>
      </w:r>
      <w:r>
        <w:rPr>
          <w:rFonts w:ascii="Times New Roman;Times;serif" w:hAnsi="Times New Roman;Times;serif"/>
          <w:sz w:val="20"/>
        </w:rPr>
        <w:t>development of regulatory frameworks for current and future technology;</w:t>
      </w:r>
    </w:p>
    <w:p>
      <w:pPr>
        <w:pStyle w:val="TextBody"/>
        <w:bidi w:val="0"/>
        <w:spacing w:before="0" w:after="240"/>
        <w:ind w:left="0" w:right="0" w:hanging="0"/>
        <w:jc w:val="both"/>
        <w:rPr/>
      </w:pPr>
      <w:r>
        <w:rPr/>
        <w:t>●</w:t>
      </w:r>
      <w:r>
        <w:rPr>
          <w:rFonts w:ascii="Times New Roman;Times;serif" w:hAnsi="Times New Roman;Times;serif"/>
          <w:sz w:val="20"/>
        </w:rPr>
        <w:t>changes in regulation and trade policy, including increased tariffs, in regions in which we operate, including the U.S., Europe and China;</w:t>
      </w:r>
    </w:p>
    <w:p>
      <w:pPr>
        <w:pStyle w:val="TextBody"/>
        <w:bidi w:val="0"/>
        <w:spacing w:before="0" w:after="240"/>
        <w:ind w:left="0" w:right="0" w:hanging="0"/>
        <w:jc w:val="both"/>
        <w:rPr/>
      </w:pPr>
      <w:r>
        <w:rPr/>
        <w:t>●</w:t>
      </w:r>
      <w:r>
        <w:rPr>
          <w:rFonts w:ascii="Times New Roman;Times;serif" w:hAnsi="Times New Roman;Times;serif"/>
          <w:sz w:val="20"/>
        </w:rPr>
        <w:t>projected cost and pricing trends;</w:t>
      </w:r>
    </w:p>
    <w:p>
      <w:pPr>
        <w:pStyle w:val="TextBody"/>
        <w:bidi w:val="0"/>
        <w:spacing w:before="0" w:after="240"/>
        <w:ind w:left="0" w:right="0" w:hanging="0"/>
        <w:jc w:val="both"/>
        <w:rPr/>
      </w:pPr>
      <w:r>
        <w:rPr/>
        <w:t>●</w:t>
      </w:r>
      <w:r>
        <w:rPr>
          <w:rFonts w:ascii="Times New Roman;Times;serif" w:hAnsi="Times New Roman;Times;serif"/>
          <w:sz w:val="20"/>
        </w:rPr>
        <w:t>future production capacity and product supply;</w:t>
      </w:r>
    </w:p>
    <w:p>
      <w:pPr>
        <w:pStyle w:val="TextBody"/>
        <w:bidi w:val="0"/>
        <w:spacing w:before="0" w:after="240"/>
        <w:ind w:left="0" w:right="0" w:hanging="0"/>
        <w:jc w:val="both"/>
        <w:rPr/>
      </w:pPr>
      <w:r>
        <w:rPr/>
        <w:t>●</w:t>
      </w:r>
      <w:r>
        <w:rPr>
          <w:rFonts w:ascii="Times New Roman;Times;serif" w:hAnsi="Times New Roman;Times;serif"/>
          <w:sz w:val="20"/>
        </w:rPr>
        <w:t>potential future benefits and competitive advantages associated with our technologies and architecture and the data we have accumulated;</w:t>
      </w:r>
    </w:p>
    <w:p>
      <w:pPr>
        <w:pStyle w:val="TextBody"/>
        <w:bidi w:val="0"/>
        <w:spacing w:before="0" w:after="240"/>
        <w:ind w:left="0" w:right="0" w:hanging="0"/>
        <w:jc w:val="both"/>
        <w:rPr/>
      </w:pPr>
      <w:r>
        <w:rPr/>
        <w:t>●</w:t>
      </w:r>
      <w:r>
        <w:rPr>
          <w:rFonts w:ascii="Times New Roman;Times;serif" w:hAnsi="Times New Roman;Times;serif"/>
          <w:sz w:val="20"/>
        </w:rPr>
        <w:t>the future purchase, use and availability of products, components and services supplied by third parties, including third-party IP and manufacturing services;</w:t>
      </w:r>
    </w:p>
    <w:p>
      <w:pPr>
        <w:pStyle w:val="TextBody"/>
        <w:bidi w:val="0"/>
        <w:spacing w:before="0" w:after="240"/>
        <w:ind w:left="0" w:right="0" w:hanging="0"/>
        <w:jc w:val="both"/>
        <w:rPr/>
      </w:pPr>
      <w:r>
        <w:rPr/>
        <w:t>●</w:t>
      </w:r>
      <w:r>
        <w:rPr>
          <w:rFonts w:ascii="Times New Roman;Times;serif" w:hAnsi="Times New Roman;Times;serif"/>
          <w:sz w:val="20"/>
        </w:rPr>
        <w:t>uncertain events or assumptions, including statements relating to our estimated vehicle production and market opportunity, potential production volumes associated with design wins and other characterizations of future events or circumstances;</w:t>
      </w:r>
    </w:p>
    <w:p>
      <w:pPr>
        <w:pStyle w:val="TextBody"/>
        <w:bidi w:val="0"/>
        <w:spacing w:before="0" w:after="240"/>
        <w:ind w:left="0" w:right="0" w:hanging="0"/>
        <w:jc w:val="both"/>
        <w:rPr/>
      </w:pPr>
      <w:r>
        <w:rPr/>
        <w:t>●</w:t>
      </w:r>
      <w:r>
        <w:rPr>
          <w:rFonts w:ascii="Times New Roman;Times;serif" w:hAnsi="Times New Roman;Times;serif"/>
          <w:sz w:val="20"/>
        </w:rPr>
        <w:t>effects of the COVID-19 pandemic and responses to future pandemics;</w:t>
      </w:r>
    </w:p>
    <w:p>
      <w:pPr>
        <w:pStyle w:val="TextBody"/>
        <w:bidi w:val="0"/>
        <w:spacing w:before="0" w:after="240"/>
        <w:ind w:left="0" w:right="0" w:hanging="0"/>
        <w:jc w:val="both"/>
        <w:rPr/>
      </w:pPr>
      <w:r>
        <w:rPr/>
        <w:t>●</w:t>
      </w:r>
      <w:r>
        <w:rPr>
          <w:rFonts w:ascii="Times New Roman;Times;serif" w:hAnsi="Times New Roman;Times;serif"/>
          <w:sz w:val="20"/>
        </w:rPr>
        <w:t>availability, uses, sufficiency and cost of capital and capital resources, including expected returns to stockholders such as dividends, and the expected timing of future dividends;</w:t>
      </w:r>
    </w:p>
    <w:p>
      <w:pPr>
        <w:pStyle w:val="TextBody"/>
        <w:bidi w:val="0"/>
        <w:spacing w:before="0" w:after="240"/>
        <w:ind w:left="0" w:right="0" w:hanging="0"/>
        <w:jc w:val="both"/>
        <w:rPr/>
      </w:pPr>
      <w:r>
        <w:rPr/>
        <w:t>●</w:t>
      </w:r>
      <w:r>
        <w:rPr>
          <w:rFonts w:ascii="Times New Roman;Times;serif" w:hAnsi="Times New Roman;Times;serif"/>
          <w:sz w:val="20"/>
        </w:rPr>
        <w:t xml:space="preserve">tax- and accounting-related expectations; </w:t>
      </w:r>
    </w:p>
    <w:p>
      <w:pPr>
        <w:pStyle w:val="TextBody"/>
        <w:bidi w:val="0"/>
        <w:spacing w:before="0" w:after="240"/>
        <w:ind w:left="0" w:right="0" w:hanging="0"/>
        <w:jc w:val="both"/>
        <w:rPr/>
      </w:pPr>
      <w:r>
        <w:rPr/>
        <w:t>●</w:t>
      </w:r>
      <w:r>
        <w:rPr>
          <w:rFonts w:ascii="Times New Roman;Times;serif" w:hAnsi="Times New Roman;Times;serif"/>
          <w:sz w:val="20"/>
        </w:rPr>
        <w:t>adverse conditions in Israel, including in connection with the Israeli military operations in response to the October 7, 2023 terrorist attacks, which may affect our operations and may limit our ability to produce and sell our solutions;</w:t>
      </w:r>
    </w:p>
    <w:p>
      <w:pPr>
        <w:pStyle w:val="TextBody"/>
        <w:bidi w:val="0"/>
        <w:spacing w:before="0" w:after="240"/>
        <w:ind w:left="0" w:right="0" w:hanging="0"/>
        <w:jc w:val="both"/>
        <w:rPr/>
      </w:pPr>
      <w:r>
        <w:rPr/>
        <w:t>●</w:t>
      </w:r>
      <w:r>
        <w:rPr>
          <w:rFonts w:ascii="Times New Roman;Times;serif" w:hAnsi="Times New Roman;Times;serif"/>
          <w:sz w:val="20"/>
        </w:rPr>
        <w:t>any disruption in our operations by the obligations of our personnel to perform military service as a result of current or future military actions involving Israel; and</w:t>
      </w:r>
    </w:p>
    <w:p>
      <w:pPr>
        <w:pStyle w:val="TextBody"/>
        <w:bidi w:val="0"/>
        <w:ind w:left="0" w:right="0" w:hanging="0"/>
        <w:jc w:val="both"/>
        <w:rPr/>
      </w:pPr>
      <w:r>
        <w:rPr/>
        <w:t>●</w:t>
      </w:r>
      <w:r>
        <w:rPr>
          <w:rFonts w:ascii="Times New Roman;Times;serif" w:hAnsi="Times New Roman;Times;serif"/>
          <w:sz w:val="20"/>
        </w:rPr>
        <w:t>other statements described in this report and under the sections entitled “Risk Factors,” “Management’s Discussion and Analysis of Financial Condition and Results of Operations” and “Business,” in our 2023 Form 10-K.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risk factors discussed under the section entitled “Risk Factors” included in our 2023 Form 10-K could cause our results to differ materially from those expressed in the forward-looking statements made in this Quarterly Report on Form 10-Q. There also may be other risks that are currently unknown to us or that we are unable to predict at this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56" w:name="Item3QuantitativeandQualitativeDisclosur"/>
      <w:bookmarkStart w:id="1357" w:name="_2398475c_893e_4cea_9627_e331da535f3c"/>
      <w:bookmarkEnd w:id="1356"/>
      <w:bookmarkEnd w:id="1357"/>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There were no material changes to the information on market risk disclosure from our 2023 Form 10 - 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investments in money market funds, U.S. government bonds and short term deposits are subject to market risk due to changes in interest rates, which may affect our interest income and fair market value of our investments. To minimize this risk, we invest in highly liquid short term U.S. government bonds and in institutional investors money market funds, which consist of high-grade securities. Our short term deposits are redeemable upon demand and held in banks domiciled in the U.S. and Europe, as well as in Israel. As of June 29, 2024 and December 30, 2023, our investment in money market funds was $927 million and $932 million, respectively; our U.S. government bonds were $10 million and $0 million, respectively; and our short term deposits were $224 million and $222 million,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primary objectives of our investments in money market funds, U.S. government bonds and short term deposits is to fund our cash requirements in the ordinary course of business and preserve principal. We do not enter into investments for trading or speculative purposes.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Foreign Currency Exchange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condensed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 </w:t>
      </w:r>
    </w:p>
    <w:p>
      <w:pPr>
        <w:pStyle w:val="TextBody"/>
        <w:bidi w:val="0"/>
        <w:spacing w:before="0" w:after="240"/>
        <w:ind w:left="0" w:right="0" w:firstLine="360"/>
        <w:jc w:val="both"/>
        <w:rPr>
          <w:rFonts w:ascii="Times New Roman;Times;serif" w:hAnsi="Times New Roman;Times;serif"/>
          <w:sz w:val="20"/>
        </w:rPr>
      </w:pPr>
      <w:bookmarkStart w:id="1358" w:name="_Hlk173531700"/>
      <w:bookmarkEnd w:id="1358"/>
      <w:r>
        <w:rPr>
          <w:rFonts w:ascii="Times New Roman;Times;serif" w:hAnsi="Times New Roman;Times;serif"/>
          <w:sz w:val="20"/>
        </w:rPr>
        <w:t>We have attempted to minimize foreign currency risk, primarily by entering into a hedging services agreement with Intel during 2021. Intel centrally hedges its forecast cash flow exposure to the U.S. dollar / New Israeli Shekel exchange rates, and according to the agreement, we have been entitled to a certain allocation of the gains and losses arising from the execution of the hedging contracts. During the fourth quarter of 2022, we de-designated the remaining cash flow hedges for forecasted operating expenses denominated in ILS and will no longer be participating in Intel’s corporate hedging program. We plan to reassess what, if any, hedging arrangements we will have in subsequent fiscal years.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the New Israeli Shekel had strengthened by 10% against the U.S. dollar, it would have decreased our cash flows by approximately $32 million in the six months ended June 29, 2024. If the New Israeli Shekel had strengthened by 10% against the U.S. dollar, it would have decreased our cash flows by approximately $14 million in the six months ended July 1, 2023. This exposure to U.S. dollar / New Israeli Shekel exchange rates in comparative period results from the three months ended July 1, 2023, since in the first quarter of 2023 we were still affected by the hedging program with Intel and therefore the effect of the exchange rates would not have had a material impact on our cash flows.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59" w:name="Item4ControlsandProcedures_574241"/>
      <w:bookmarkStart w:id="1360" w:name="_b2e411d8_99d8_4b88_b799_944b5b95c5c1"/>
      <w:bookmarkEnd w:id="1359"/>
      <w:bookmarkEnd w:id="1360"/>
      <w:r>
        <w:rPr>
          <w:rFonts w:ascii="Times New Roman;Times;serif" w:hAnsi="Times New Roman;Times;serif"/>
          <w:b/>
          <w:sz w:val="20"/>
        </w:rPr>
        <w:t>Item 4. Controls and Procedures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Securities Exchange Act of 1934, as amended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the Company’s internal control over financial reporting that occurred during the three months ended June 29, 2024 that have materially affected, or are reasonably likely to materially affect, our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61" w:name="PARTIIOTHERINFORMATION_796665"/>
      <w:bookmarkStart w:id="1362" w:name="_5ef8a308_b8e5_4a4e_87b2_50c12b0ca669"/>
      <w:bookmarkEnd w:id="1361"/>
      <w:bookmarkEnd w:id="1362"/>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363" w:name="Item1LegalProceedings_436997"/>
      <w:bookmarkEnd w:id="1363"/>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An adverse outcome in certain of these proceedings could have a material adverse effect on our business, financial condition and results of operations, and could cause the market value of our common stock to decline.</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Legal Actions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Class Action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Securities Litigation. On January 16, 2024, a putative class action captioned McAuliffe v. Mobileye Global Inc., et al., 1:24-CV-00310 (S.D.N.Y.), was filed in the United States District Court for the Southern District of New York against Mobileye and certain of its current and former officers, asserting violations of Sections 10(b) and 20(a) of the Securities Exchange Act of 1934 in connection with defendants’ alleged misstatements and omissions concerning the build-up of excess inventory by certain Tier 1 Mobileye customers. The complaint seeks unspecified damages and other relief on behalf of all persons and entities who purchased or otherwise acquired Mobileye securities between January 26, 2023 and January 3,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12, 2024, the court consolidated the McAuliffe case with a substantively identical case, Le v. Mobileye Global Inc., et al., 1:24-CV-01390 (S.D.N.Y.), appointed a lead plaintiff, and set an initial schedule for the consolidated case. We intend to defend the matter vigorously. No provision was recorded in the financial statements as of June 29, 2024.</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Derivative Action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a nominal defendant. On July 9th, this derivative action was consolidated with the derivative action originally filed on April 12, 2024 and the consolidated derivative action was stayed by the court pending resolution of the anticipated motion to dismiss in the consolidated securities action. We intend to defend the derivative claims vigorously. No provision for the consolidated derivative action was recorded in the financial statements as of June 29, 2024.</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Patent Litigation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26, 2024, Facet Technology Corp. (“Facet”) sued Mobileye in the U.S. District Court for the Eastern District of Texas for allegedly infringing two patents. Captioned Facet Technology Corp. v. Mobileye Global, Inc., the complaint alleges that certain Mobileye products directly and indirectly infringe both patents. The complaint seeks unspecified damages, a permanent injunction, and attorneys’ fees and costs. We have moved to dismiss the complaint for improper venue and await a ruling. In the meantime, we intend to defend the matter vigorously. No provision was recorded in the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64" w:name="Item1ARiskFactors_542062"/>
      <w:bookmarkStart w:id="1365" w:name="_b272422e_24cf_49a1_ab0e_726a099d2ccc"/>
      <w:bookmarkEnd w:id="1364"/>
      <w:bookmarkEnd w:id="1365"/>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have been no material changes to the risk factors as disclosed in our 2023 Form 10-K. The risks described in the section entitled “Item 1A. Risk Factors” in our 2023 Form 10-K could materially and adversely affect our business, financial condition, and results of operations, and the trading price of our Class A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Refer also to the other information set forth elsewhere herein, including the sections entitled “Forward-Looking Statements”, “Management’s Discussion and Analysis of Financial Condition and Results of Operations,” and our Consolidated Condensed Financial Statements and related Notes thereto.</w:t>
      </w:r>
    </w:p>
    <w:p>
      <w:pPr>
        <w:pStyle w:val="TextBody"/>
        <w:bidi w:val="0"/>
        <w:spacing w:before="0" w:after="240"/>
        <w:ind w:left="0" w:right="0" w:hanging="0"/>
        <w:jc w:val="left"/>
        <w:rPr>
          <w:rFonts w:ascii="Times New Roman;Times;serif" w:hAnsi="Times New Roman;Times;serif"/>
          <w:b/>
          <w:sz w:val="20"/>
        </w:rPr>
      </w:pPr>
      <w:bookmarkStart w:id="1366" w:name="Item2UnregisteredSalesofEquitySecurities"/>
      <w:bookmarkStart w:id="1367" w:name="_7dd0c739_5415_4d56_8ec2_9202b581f3df"/>
      <w:bookmarkEnd w:id="1366"/>
      <w:bookmarkEnd w:id="1367"/>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Recent Sale of Unregistered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sales of unregistered equity securities during the three months ended June 29, 2024.</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Issuer Purchases of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368" w:name="Item3DefaultsUponSeniorSecurities_197938"/>
      <w:bookmarkStart w:id="1369" w:name="_1f9fa988_52c4_4fa9_9ecf_c61ec871f738"/>
      <w:bookmarkEnd w:id="1368"/>
      <w:bookmarkEnd w:id="1369"/>
      <w:r>
        <w:rPr>
          <w:rFonts w:ascii="Times New Roman;Times;serif" w:hAnsi="Times New Roman;Times;serif"/>
          <w:b/>
          <w:sz w:val="20"/>
        </w:rPr>
        <w:t>Item 3. Defaults Upon Senior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370" w:name="Item4MineSafetyDisclosures_560402"/>
      <w:bookmarkStart w:id="1371" w:name="_902620ba_8188_4f49_a2ab_69f57a447141"/>
      <w:bookmarkEnd w:id="1370"/>
      <w:bookmarkEnd w:id="1371"/>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372" w:name="Item5OtherInformation_30350"/>
      <w:bookmarkStart w:id="1373" w:name="_f79a3298_0196_42b6_90b4_6fb679206e9e"/>
      <w:bookmarkEnd w:id="1372"/>
      <w:bookmarkEnd w:id="1373"/>
      <w:r>
        <w:rPr>
          <w:rFonts w:ascii="Times New Roman;Times;serif" w:hAnsi="Times New Roman;Times;serif"/>
          <w:b/>
          <w:sz w:val="20"/>
        </w:rPr>
        <w:t>Item 5. Other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374" w:name="Item6Exhibits_915444"/>
      <w:bookmarkStart w:id="1375" w:name="_e9d05ee0_61f9_42dc_8c37_8409dea9cb05"/>
      <w:bookmarkEnd w:id="1374"/>
      <w:bookmarkEnd w:id="1375"/>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499"/>
        <w:gridCol w:w="326"/>
        <w:gridCol w:w="9380"/>
      </w:tblGrid>
      <w:tr>
        <w:trPr/>
        <w:tc>
          <w:tcPr>
            <w:tcW w:w="4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61" name="Frame4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956300" cy="175260"/>
                      <wp:effectExtent l="0" t="0" r="0" b="0"/>
                      <wp:wrapNone/>
                      <wp:docPr id="462" name="Frame462"/>
                      <a:graphic xmlns:a="http://schemas.openxmlformats.org/drawingml/2006/main">
                        <a:graphicData uri="http://schemas.microsoft.com/office/word/2010/wordprocessingShape">
                          <wps:wsp>
                            <wps:cNvSpPr txBox="1"/>
                            <wps:spPr>
                              <a:xfrm>
                                <a:off x="0" y="0"/>
                                <a:ext cx="5956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    </w:t>
            </w:r>
          </w:p>
        </w:tc>
        <w:tc>
          <w:tcPr>
            <w:tcW w:w="9380" w:type="dxa"/>
            <w:tcBorders/>
            <w:vAlign w:val="center"/>
          </w:tcPr>
          <w:p>
            <w:pPr>
              <w:pStyle w:val="TableContents"/>
              <w:bidi w:val="0"/>
              <w:spacing w:before="0" w:after="0"/>
              <w:ind w:left="0" w:right="0" w:hanging="0"/>
              <w:jc w:val="both"/>
              <w:rPr/>
            </w:pPr>
            <w:hyperlink w:anchor="mbly-20240629xex31d1.htm">
              <w:r>
                <w:rPr>
                  <w:rStyle w:val="InternetLink"/>
                  <w:rFonts w:ascii="Times New Roman;Times;serif" w:hAnsi="Times New Roman;Times;serif"/>
                  <w:b w:val="false"/>
                  <w:i w:val="false"/>
                  <w:caps w:val="false"/>
                  <w:smallCaps w:val="false"/>
                  <w:sz w:val="20"/>
                </w:rPr>
                <w:t>Certification of the Chief Executive Officer pursuant to Section 302 of the Sarbanes-Oxley Act of 2002.</w:t>
              </w:r>
            </w:hyperlink>
          </w:p>
        </w:tc>
      </w:tr>
      <w:tr>
        <w:trPr/>
        <w:tc>
          <w:tcPr>
            <w:tcW w:w="4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380" w:type="dxa"/>
            <w:tcBorders/>
            <w:vAlign w:val="center"/>
          </w:tcPr>
          <w:p>
            <w:pPr>
              <w:pStyle w:val="TableContents"/>
              <w:bidi w:val="0"/>
              <w:spacing w:before="0" w:after="0"/>
              <w:ind w:left="0" w:right="0" w:hanging="0"/>
              <w:jc w:val="both"/>
              <w:rPr/>
            </w:pPr>
            <w:hyperlink w:anchor="mbly-20240629xex31d2.htm">
              <w:r>
                <w:rPr>
                  <w:rStyle w:val="InternetLink"/>
                  <w:rFonts w:ascii="Times New Roman;Times;serif" w:hAnsi="Times New Roman;Times;serif"/>
                  <w:b w:val="false"/>
                  <w:i w:val="false"/>
                  <w:caps w:val="false"/>
                  <w:smallCaps w:val="false"/>
                  <w:sz w:val="20"/>
                </w:rPr>
                <w:t>Certification of the Chief Financial Officer pursuant to Section 302 of the Sarbanes-Oxley Act of 2002.</w:t>
              </w:r>
            </w:hyperlink>
          </w:p>
        </w:tc>
      </w:tr>
      <w:tr>
        <w:trPr/>
        <w:tc>
          <w:tcPr>
            <w:tcW w:w="4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380" w:type="dxa"/>
            <w:tcBorders/>
            <w:vAlign w:val="center"/>
          </w:tcPr>
          <w:p>
            <w:pPr>
              <w:pStyle w:val="TableContents"/>
              <w:bidi w:val="0"/>
              <w:spacing w:before="0" w:after="0"/>
              <w:ind w:left="0" w:right="0" w:hanging="0"/>
              <w:jc w:val="both"/>
              <w:rPr/>
            </w:pPr>
            <w:hyperlink w:anchor="mbly-20240629xex32d1.htm">
              <w:r>
                <w:rPr>
                  <w:rStyle w:val="InternetLink"/>
                  <w:rFonts w:ascii="Times New Roman;Times;serif" w:hAnsi="Times New Roman;Times;serif"/>
                  <w:b w:val="false"/>
                  <w:i w:val="false"/>
                  <w:caps w:val="false"/>
                  <w:smallCaps w:val="false"/>
                  <w:sz w:val="20"/>
                </w:rPr>
                <w:t>Certificate of the Chief Executive Officer of Mobileye Global Inc. pursuant to 18 U.S.C. § 1350 as adopted pursuant to Section 906 of the Sarbanes-Oxley Act of 2002.</w:t>
              </w:r>
            </w:hyperlink>
          </w:p>
        </w:tc>
      </w:tr>
      <w:tr>
        <w:trPr/>
        <w:tc>
          <w:tcPr>
            <w:tcW w:w="4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9380" w:type="dxa"/>
            <w:tcBorders/>
            <w:vAlign w:val="center"/>
          </w:tcPr>
          <w:p>
            <w:pPr>
              <w:pStyle w:val="TableContents"/>
              <w:bidi w:val="0"/>
              <w:spacing w:before="0" w:after="0"/>
              <w:ind w:left="0" w:right="0" w:hanging="0"/>
              <w:jc w:val="both"/>
              <w:rPr/>
            </w:pPr>
            <w:hyperlink w:anchor="mbly-20240629xex32d2.htm">
              <w:r>
                <w:rPr>
                  <w:rStyle w:val="InternetLink"/>
                  <w:rFonts w:ascii="Times New Roman;Times;serif" w:hAnsi="Times New Roman;Times;serif"/>
                  <w:b w:val="false"/>
                  <w:i w:val="false"/>
                  <w:caps w:val="false"/>
                  <w:smallCaps w:val="false"/>
                  <w:sz w:val="20"/>
                </w:rPr>
                <w:t>Certificate of the Chief Financial Officer of Mobileye Global Inc. pursuant to 18 U.S.C. § 1350 as adopted pursuant to Section 906 of the Sarbanes-Oxley Act of 2002.</w:t>
              </w:r>
            </w:hyperlink>
          </w:p>
        </w:tc>
      </w:tr>
      <w:tr>
        <w:trPr/>
        <w:tc>
          <w:tcPr>
            <w:tcW w:w="4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93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financial statements from Mobileye Global Inc.’s Quarterly Report on Form 10-Q for the three months ended June 29, 2024, filed with the Securities and Exchange Commission on August 7, 2024, formatted in iXBRL (Inline eXtensible Business Reporting Language): (i) the Consolidated Balance Sheets, (ii) the Consolidated Statements of Operations and Comprehensive Income (Loss), (iii) the Consolidated Statements of Changes in Equity, (iv) the Consolidated Statements of Cash Flows and (v) the Notes to Consolidated Financial Statements.</w:t>
            </w:r>
          </w:p>
        </w:tc>
      </w:tr>
      <w:tr>
        <w:trPr/>
        <w:tc>
          <w:tcPr>
            <w:tcW w:w="4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3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288"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1376" w:name="SIGNATURES_811601"/>
      <w:bookmarkStart w:id="1377" w:name="_e3cd33dd_c9dc_4541_970c_c90415fd1a2a"/>
      <w:bookmarkEnd w:id="1376"/>
      <w:bookmarkEnd w:id="1377"/>
      <w:r>
        <w:rPr>
          <w:rFonts w:ascii="Times New Roman;Times;serif" w:hAnsi="Times New Roman;Times;serif"/>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213" w:type="dxa"/>
        <w:jc w:val="left"/>
        <w:tblInd w:w="0" w:type="dxa"/>
        <w:tblLayout w:type="fixed"/>
        <w:tblCellMar>
          <w:top w:w="0" w:type="dxa"/>
          <w:left w:w="0" w:type="dxa"/>
          <w:bottom w:w="0" w:type="dxa"/>
          <w:right w:w="0" w:type="dxa"/>
        </w:tblCellMar>
      </w:tblPr>
      <w:tblGrid>
        <w:gridCol w:w="1846"/>
        <w:gridCol w:w="406"/>
        <w:gridCol w:w="3961"/>
      </w:tblGrid>
      <w:tr>
        <w:trPr/>
        <w:tc>
          <w:tcPr>
            <w:tcW w:w="1846" w:type="dxa"/>
            <w:tcBorders/>
            <w:vAlign w:val="center"/>
          </w:tcPr>
          <w:p>
            <w:pPr>
              <w:pStyle w:val="TableContents"/>
              <w:bidi w:val="0"/>
              <w:spacing w:before="0" w:after="0"/>
              <w:ind w:left="0" w:right="0" w:hanging="0"/>
              <w:jc w:val="left"/>
              <w:rPr/>
            </w:pPr>
            <w:r>
              <w:rPr/>
              <w:t>​</w:t>
            </w:r>
          </w:p>
        </w:tc>
        <w:tc>
          <w:tcPr>
            <w:tcW w:w="436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Mobileye Global Inc.</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2024</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Professor Amnon Shashua</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Professor Amnon Shashua</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 President and Director</w:t>
              <w:br/>
              <w:t>(Principal Executive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Moran Shemesh Rojansky</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Moran Shemesh Rojansky</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b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8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240"/>
        <w:ind w:left="0" w:right="0" w:hanging="0"/>
        <w:jc w:val="right"/>
        <w:rPr>
          <w:rFonts w:ascii="Times New Roman;Times;serif" w:hAnsi="Times New Roman;Times;serif"/>
          <w:b/>
          <w:sz w:val="20"/>
        </w:rPr>
      </w:pPr>
      <w:bookmarkStart w:id="1378" w:name="mbly-20240629xex31d1.htm"/>
      <w:bookmarkStart w:id="1379" w:name="ksmbly20240629xex31d1"/>
      <w:bookmarkEnd w:id="1378"/>
      <w:bookmarkEnd w:id="1379"/>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Professor </w:t>
      </w:r>
      <w:r>
        <w:rPr>
          <w:rFonts w:ascii="Times New Roman;Times;serif" w:hAnsi="Times New Roman;Times;serif"/>
          <w:color w:val="231F20"/>
          <w:sz w:val="20"/>
        </w:rPr>
        <w:t>Amnon Shashua</w:t>
      </w:r>
      <w:r>
        <w:rPr>
          <w:rFonts w:ascii="Times New Roman;Times;serif" w:hAnsi="Times New Roman;Times;serif"/>
          <w:sz w:val="20"/>
        </w:rPr>
        <w:t>, certify that:</w:t>
      </w:r>
    </w:p>
    <w:tbl>
      <w:tblPr>
        <w:tblW w:w="6468" w:type="dxa"/>
        <w:jc w:val="left"/>
        <w:tblInd w:w="0" w:type="dxa"/>
        <w:tblLayout w:type="fixed"/>
        <w:tblCellMar>
          <w:top w:w="0" w:type="dxa"/>
          <w:left w:w="0" w:type="dxa"/>
          <w:bottom w:w="0" w:type="dxa"/>
          <w:right w:w="0" w:type="dxa"/>
        </w:tblCellMar>
      </w:tblPr>
      <w:tblGrid>
        <w:gridCol w:w="23"/>
        <w:gridCol w:w="170"/>
        <w:gridCol w:w="6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Mobileye Global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7, 2024</w:t>
      </w:r>
    </w:p>
    <w:tbl>
      <w:tblPr>
        <w:tblW w:w="4491" w:type="dxa"/>
        <w:jc w:val="center"/>
        <w:tblInd w:w="0" w:type="dxa"/>
        <w:tblLayout w:type="fixed"/>
        <w:tblCellMar>
          <w:top w:w="0" w:type="dxa"/>
          <w:left w:w="0" w:type="dxa"/>
          <w:bottom w:w="0" w:type="dxa"/>
          <w:right w:w="0" w:type="dxa"/>
        </w:tblCellMar>
      </w:tblPr>
      <w:tblGrid>
        <w:gridCol w:w="124"/>
        <w:gridCol w:w="361"/>
        <w:gridCol w:w="4006"/>
      </w:tblGrid>
      <w:tr>
        <w:trPr/>
        <w:tc>
          <w:tcPr>
            <w:tcW w:w="12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Professor Amnon Shashua</w:t>
            </w:r>
          </w:p>
        </w:tc>
      </w:tr>
      <w:tr>
        <w:trPr/>
        <w:tc>
          <w:tcPr>
            <w:tcW w:w="12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0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Professor Amnon Shashua</w:t>
            </w:r>
          </w:p>
        </w:tc>
      </w:tr>
      <w:tr>
        <w:trPr/>
        <w:tc>
          <w:tcPr>
            <w:tcW w:w="12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Director</w:t>
            </w:r>
          </w:p>
        </w:tc>
      </w:tr>
      <w:tr>
        <w:trPr/>
        <w:tc>
          <w:tcPr>
            <w:tcW w:w="12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80" w:name="mbly-20240629xex31d2.htm"/>
      <w:bookmarkStart w:id="1381" w:name="ksmbly20240629xex31d2"/>
      <w:bookmarkEnd w:id="1380"/>
      <w:bookmarkEnd w:id="1381"/>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color w:val="231F20"/>
          <w:sz w:val="20"/>
        </w:rPr>
        <w:t>Moran Shemesh Rojansky</w:t>
      </w:r>
      <w:r>
        <w:rPr>
          <w:rFonts w:ascii="Times New Roman;Times;serif" w:hAnsi="Times New Roman;Times;serif"/>
          <w:sz w:val="20"/>
        </w:rPr>
        <w:t>, certify that:</w:t>
      </w:r>
    </w:p>
    <w:tbl>
      <w:tblPr>
        <w:tblW w:w="6468" w:type="dxa"/>
        <w:jc w:val="left"/>
        <w:tblInd w:w="0" w:type="dxa"/>
        <w:tblLayout w:type="fixed"/>
        <w:tblCellMar>
          <w:top w:w="0" w:type="dxa"/>
          <w:left w:w="0" w:type="dxa"/>
          <w:bottom w:w="0" w:type="dxa"/>
          <w:right w:w="0" w:type="dxa"/>
        </w:tblCellMar>
      </w:tblPr>
      <w:tblGrid>
        <w:gridCol w:w="23"/>
        <w:gridCol w:w="170"/>
        <w:gridCol w:w="6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Mobileye Global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7, 2024</w:t>
      </w:r>
    </w:p>
    <w:tbl>
      <w:tblPr>
        <w:tblW w:w="4251" w:type="dxa"/>
        <w:jc w:val="center"/>
        <w:tblInd w:w="0" w:type="dxa"/>
        <w:tblLayout w:type="fixed"/>
        <w:tblCellMar>
          <w:top w:w="0" w:type="dxa"/>
          <w:left w:w="0" w:type="dxa"/>
          <w:bottom w:w="0" w:type="dxa"/>
          <w:right w:w="0" w:type="dxa"/>
        </w:tblCellMar>
      </w:tblPr>
      <w:tblGrid>
        <w:gridCol w:w="124"/>
        <w:gridCol w:w="361"/>
        <w:gridCol w:w="3766"/>
      </w:tblGrid>
      <w:tr>
        <w:trPr/>
        <w:tc>
          <w:tcPr>
            <w:tcW w:w="12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Moran Shemesh Rojansky</w:t>
            </w:r>
          </w:p>
        </w:tc>
      </w:tr>
      <w:tr>
        <w:trPr/>
        <w:tc>
          <w:tcPr>
            <w:tcW w:w="12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Moran Shemesh Rojansky</w:t>
            </w:r>
          </w:p>
        </w:tc>
      </w:tr>
      <w:tr>
        <w:trPr/>
        <w:tc>
          <w:tcPr>
            <w:tcW w:w="12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color w:val="231F20"/>
              </w:rPr>
            </w:pPr>
            <w:r>
              <w:rPr>
                <w:color w:val="231F20"/>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82" w:name="mbly-20240629xex32d1.htm"/>
      <w:bookmarkStart w:id="1383" w:name="ksmbly20240629xex32d1"/>
      <w:bookmarkEnd w:id="1382"/>
      <w:bookmarkEnd w:id="1383"/>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Certificate of the Chief Executive Officer of Mobileye Global Inc. pursuant to 18 U.S.C. § 1350 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of Mobileye Global Inc. for the period ending June 29, 2024 as filed with the Securities and Exchange Commission on the date hereof (the “Report”), I, </w:t>
      </w:r>
      <w:r>
        <w:rPr>
          <w:rFonts w:ascii="Times New Roman;Times;serif" w:hAnsi="Times New Roman;Times;serif"/>
          <w:color w:val="231F20"/>
          <w:sz w:val="20"/>
        </w:rPr>
        <w:t>Professor Amnon Shashua</w:t>
      </w:r>
      <w:r>
        <w:rPr>
          <w:rFonts w:ascii="Times New Roman;Times;serif" w:hAnsi="Times New Roman;Times;serif"/>
          <w:sz w:val="20"/>
        </w:rPr>
        <w:t>, certify, pursuant to 18 U.S.C. § 1350, as adopted pursuant to §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Mobileye Global Inc.</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7, 2024</w:t>
      </w:r>
    </w:p>
    <w:tbl>
      <w:tblPr>
        <w:tblW w:w="4491" w:type="dxa"/>
        <w:jc w:val="center"/>
        <w:tblInd w:w="0" w:type="dxa"/>
        <w:tblLayout w:type="fixed"/>
        <w:tblCellMar>
          <w:top w:w="0" w:type="dxa"/>
          <w:left w:w="0" w:type="dxa"/>
          <w:bottom w:w="0" w:type="dxa"/>
          <w:right w:w="0" w:type="dxa"/>
        </w:tblCellMar>
      </w:tblPr>
      <w:tblGrid>
        <w:gridCol w:w="124"/>
        <w:gridCol w:w="361"/>
        <w:gridCol w:w="4006"/>
      </w:tblGrid>
      <w:tr>
        <w:trPr/>
        <w:tc>
          <w:tcPr>
            <w:tcW w:w="12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Professor Amnon Shashua</w:t>
            </w:r>
          </w:p>
        </w:tc>
      </w:tr>
      <w:tr>
        <w:trPr/>
        <w:tc>
          <w:tcPr>
            <w:tcW w:w="12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0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Professor Amnon Shashua</w:t>
            </w:r>
          </w:p>
        </w:tc>
      </w:tr>
      <w:tr>
        <w:trPr/>
        <w:tc>
          <w:tcPr>
            <w:tcW w:w="12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Director</w:t>
            </w:r>
          </w:p>
        </w:tc>
      </w:tr>
      <w:tr>
        <w:trPr/>
        <w:tc>
          <w:tcPr>
            <w:tcW w:w="12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384" w:name="mbly-20240629xex32d2.htm"/>
      <w:bookmarkStart w:id="1385" w:name="ksmbly20240629xex32d2"/>
      <w:bookmarkEnd w:id="1384"/>
      <w:bookmarkEnd w:id="1385"/>
      <w:r>
        <w:rPr>
          <w:rFonts w:ascii="Times New Roman;Times;serif" w:hAnsi="Times New Roman;Times;serif"/>
          <w:b/>
          <w:sz w:val="20"/>
        </w:rPr>
        <w:t>Exhibit 32.2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Certificate of the Chief Financial Officer of Mobileye Global Inc. pursuant to 18 U.S.C. § 1350 as adopted pursuant to Section 906 of the Sarbanes-Oxley Act of 2002.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of Mobileye Global Inc. for the period ending June 29, 2024 as filed with the Securities and Exchange Commission on the date hereof (the “Report”), I, </w:t>
      </w:r>
      <w:r>
        <w:rPr>
          <w:rFonts w:ascii="Times New Roman;Times;serif" w:hAnsi="Times New Roman;Times;serif"/>
          <w:color w:val="231F20"/>
          <w:sz w:val="20"/>
        </w:rPr>
        <w:t>Moran Shemesh Rojansky</w:t>
      </w:r>
      <w:r>
        <w:rPr>
          <w:rFonts w:ascii="Times New Roman;Times;serif" w:hAnsi="Times New Roman;Times;serif"/>
          <w:sz w:val="20"/>
        </w:rPr>
        <w:t>, certify, pursuant to 18 U.S.C. § 1350, as adopted pursuant to §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995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Mobileye Global Inc.</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August 7, 2024</w:t>
      </w:r>
    </w:p>
    <w:tbl>
      <w:tblPr>
        <w:tblW w:w="4251" w:type="dxa"/>
        <w:jc w:val="center"/>
        <w:tblInd w:w="0" w:type="dxa"/>
        <w:tblLayout w:type="fixed"/>
        <w:tblCellMar>
          <w:top w:w="0" w:type="dxa"/>
          <w:left w:w="0" w:type="dxa"/>
          <w:bottom w:w="0" w:type="dxa"/>
          <w:right w:w="0" w:type="dxa"/>
        </w:tblCellMar>
      </w:tblPr>
      <w:tblGrid>
        <w:gridCol w:w="124"/>
        <w:gridCol w:w="361"/>
        <w:gridCol w:w="3766"/>
      </w:tblGrid>
      <w:tr>
        <w:trPr/>
        <w:tc>
          <w:tcPr>
            <w:tcW w:w="12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Moran Shemesh Rojansky</w:t>
            </w:r>
          </w:p>
        </w:tc>
      </w:tr>
      <w:tr>
        <w:trPr/>
        <w:tc>
          <w:tcPr>
            <w:tcW w:w="12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Moran Shemesh Rojansky</w:t>
            </w:r>
          </w:p>
        </w:tc>
      </w:tr>
      <w:tr>
        <w:trPr/>
        <w:tc>
          <w:tcPr>
            <w:tcW w:w="12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color w:val="231F20"/>
              </w:rPr>
            </w:pPr>
            <w:r>
              <w:rPr>
                <w:color w:val="231F20"/>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23803</Words>
  <Characters>127993</Characters>
  <CharactersWithSpaces>153071</CharactersWithSpaces>
  <Paragraphs>5974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