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6" w:right="479" w:bottom="52"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w w:val="96"/>
              </w:rPr>
            </w:pPr>
            <w:hyperlink r:id="rId10">
              <w:r>
                <w:rPr>
                  <w:rFonts w:ascii="Arial" w:cs="Arial" w:eastAsia="Arial" w:hAnsi="Arial"/>
                  <w:sz w:val="24"/>
                  <w:szCs w:val="24"/>
                  <w:color w:val="0000EE"/>
                  <w:w w:val="96"/>
                </w:rPr>
                <w:t>General Atlantic (ME), L.P.</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660" w:type="dxa"/>
            <w:vAlign w:val="bottom"/>
            <w:tcBorders>
              <w:top w:val="single" w:sz="8" w:color="0000EE"/>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10/26/2022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Mobileye Global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MBLY</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458" w:lineRule="exact"/>
        <w:rPr>
          <w:sz w:val="24"/>
          <w:szCs w:val="24"/>
          <w:color w:val="auto"/>
        </w:rPr>
      </w:pPr>
    </w:p>
    <w:p>
      <w:pPr>
        <w:sectPr>
          <w:pgSz w:w="11900" w:h="16838" w:orient="portrait"/>
          <w:cols w:equalWidth="0" w:num="2">
            <w:col w:w="4720" w:space="280"/>
            <w:col w:w="5940"/>
          </w:cols>
          <w:pgMar w:left="480" w:top="236" w:right="479" w:bottom="52"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GENERAL ATLANTIC</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SERVICE CO., L.P.</w:t>
      </w:r>
    </w:p>
    <w:p>
      <w:pPr>
        <w:spacing w:after="0" w:line="62" w:lineRule="exact"/>
        <w:rPr>
          <w:sz w:val="24"/>
          <w:szCs w:val="24"/>
          <w:color w:val="auto"/>
        </w:rPr>
      </w:pPr>
    </w:p>
    <w:p>
      <w:pPr>
        <w:ind w:left="140" w:right="1577"/>
        <w:spacing w:after="0" w:line="269" w:lineRule="auto"/>
        <w:rPr>
          <w:sz w:val="20"/>
          <w:szCs w:val="20"/>
          <w:color w:val="auto"/>
        </w:rPr>
      </w:pPr>
      <w:r>
        <w:rPr>
          <w:rFonts w:ascii="Arial" w:cs="Arial" w:eastAsia="Arial" w:hAnsi="Arial"/>
          <w:sz w:val="20"/>
          <w:szCs w:val="20"/>
          <w:color w:val="0000FF"/>
        </w:rPr>
        <w:t>55 EAST 52ND STREET, 33RD FLOOR</w:t>
      </w:r>
    </w:p>
    <w:p>
      <w:pPr>
        <w:spacing w:after="0" w:line="28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right="1597"/>
        <w:spacing w:after="0"/>
        <w:rPr>
          <w:sz w:val="20"/>
          <w:szCs w:val="20"/>
          <w:color w:val="auto"/>
        </w:rPr>
      </w:pPr>
      <w:r>
        <w:rPr>
          <w:rFonts w:ascii="Arial" w:cs="Arial" w:eastAsia="Arial" w:hAnsi="Arial"/>
          <w:sz w:val="39"/>
          <w:szCs w:val="39"/>
          <w:color w:val="0000FF"/>
          <w:vertAlign w:val="superscript"/>
        </w:rPr>
        <w:t>NEW</w:t>
      </w:r>
      <w:r>
        <w:rPr>
          <w:rFonts w:ascii="Arial" w:cs="Arial" w:eastAsia="Arial" w:hAnsi="Arial"/>
          <w:sz w:val="20"/>
          <w:szCs w:val="20"/>
          <w:color w:val="0000FF"/>
        </w:rPr>
        <w:t xml:space="preserve"> NY 10055 YORK</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5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4"/>
          <w:szCs w:val="24"/>
          <w:color w:val="auto"/>
        </w:rPr>
      </w:pPr>
    </w:p>
    <w:p>
      <w:pPr>
        <w:ind w:left="451" w:right="32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460" w:lineRule="exact"/>
        <w:rPr>
          <w:sz w:val="24"/>
          <w:szCs w:val="24"/>
          <w:color w:val="auto"/>
        </w:rPr>
      </w:pPr>
    </w:p>
    <w:p>
      <w:pPr>
        <w:sectPr>
          <w:pgSz w:w="11900" w:h="16838" w:orient="portrait"/>
          <w:cols w:equalWidth="0" w:num="3">
            <w:col w:w="4277" w:space="720"/>
            <w:col w:w="3003" w:space="269"/>
            <w:col w:w="2671"/>
          </w:cols>
          <w:pgMar w:left="480" w:top="236" w:right="479" w:bottom="52" w:gutter="0" w:footer="0" w:header="0"/>
          <w:type w:val="continuous"/>
        </w:sectPr>
      </w:pPr>
    </w:p>
    <w:p>
      <w:pPr>
        <w:spacing w:after="0" w:line="20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gridSpan w:val="4"/>
          </w:tcPr>
          <w:p>
            <w:pPr>
              <w:ind w:left="80"/>
              <w:spacing w:after="0"/>
              <w:rPr>
                <w:sz w:val="20"/>
                <w:szCs w:val="20"/>
                <w:color w:val="auto"/>
              </w:rPr>
            </w:pPr>
            <w:r>
              <w:rPr>
                <w:rFonts w:ascii="Arial" w:cs="Arial" w:eastAsia="Arial" w:hAnsi="Arial"/>
                <w:sz w:val="20"/>
                <w:szCs w:val="20"/>
                <w:color w:val="0000FF"/>
              </w:rPr>
              <w:t>Class A common stock</w:t>
            </w:r>
            <w:r>
              <w:rPr>
                <w:rFonts w:ascii="Arial" w:cs="Arial" w:eastAsia="Arial" w:hAnsi="Arial"/>
                <w:sz w:val="25"/>
                <w:szCs w:val="25"/>
                <w:color w:val="008000"/>
                <w:vertAlign w:val="superscript"/>
              </w:rPr>
              <w:t>(1)</w:t>
            </w:r>
          </w:p>
        </w:tc>
        <w:tc>
          <w:tcPr>
            <w:tcW w:w="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ind w:left="460"/>
              <w:spacing w:after="0"/>
              <w:rPr>
                <w:sz w:val="20"/>
                <w:szCs w:val="20"/>
                <w:color w:val="auto"/>
              </w:rPr>
            </w:pPr>
            <w:r>
              <w:rPr>
                <w:rFonts w:ascii="Arial" w:cs="Arial" w:eastAsia="Arial" w:hAnsi="Arial"/>
                <w:sz w:val="20"/>
                <w:szCs w:val="20"/>
                <w:color w:val="0000FF"/>
              </w:rPr>
              <w:t>4,761,905</w:t>
            </w:r>
          </w:p>
        </w:tc>
        <w:tc>
          <w:tcPr>
            <w:tcW w:w="9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Arial" w:cs="Arial" w:eastAsia="Arial" w:hAnsi="Arial"/>
                <w:sz w:val="20"/>
                <w:szCs w:val="20"/>
                <w:color w:val="0000FF"/>
              </w:rPr>
              <w:t>I</w:t>
            </w:r>
          </w:p>
        </w:tc>
        <w:tc>
          <w:tcPr>
            <w:tcW w:w="3380" w:type="dxa"/>
            <w:vAlign w:val="bottom"/>
            <w:tcBorders>
              <w:bottom w:val="single" w:sz="8" w:color="2C2C2C"/>
            </w:tcBorders>
            <w:gridSpan w:val="4"/>
          </w:tcPr>
          <w:p>
            <w:pPr>
              <w:ind w:left="600"/>
              <w:spacing w:after="0"/>
              <w:rPr>
                <w:sz w:val="20"/>
                <w:szCs w:val="20"/>
                <w:color w:val="auto"/>
              </w:rPr>
            </w:pPr>
            <w:r>
              <w:rPr>
                <w:rFonts w:ascii="Arial" w:cs="Arial" w:eastAsia="Arial" w:hAnsi="Arial"/>
                <w:sz w:val="20"/>
                <w:szCs w:val="20"/>
                <w:color w:val="0000FF"/>
              </w:rPr>
              <w:t>See footnotes</w:t>
            </w:r>
            <w:r>
              <w:rPr>
                <w:rFonts w:ascii="Arial" w:cs="Arial" w:eastAsia="Arial" w:hAnsi="Arial"/>
                <w:sz w:val="25"/>
                <w:szCs w:val="25"/>
                <w:color w:val="008000"/>
                <w:vertAlign w:val="superscript"/>
              </w:rPr>
              <w:t>(2)(3)(4)</w:t>
            </w: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tcPr>
          <w:p>
            <w:pPr>
              <w:spacing w:after="0"/>
              <w:rPr>
                <w:sz w:val="22"/>
                <w:szCs w:val="22"/>
                <w:color w:val="auto"/>
              </w:rPr>
            </w:pPr>
          </w:p>
        </w:tc>
        <w:tc>
          <w:tcPr>
            <w:tcW w:w="14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10"/>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5720" w:type="dxa"/>
            <w:vAlign w:val="bottom"/>
            <w:gridSpan w:val="12"/>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gridSpan w:val="4"/>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gridSpan w:val="5"/>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gridSpan w:val="5"/>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gridSpan w:val="5"/>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540" w:type="dxa"/>
            <w:vAlign w:val="bottom"/>
          </w:tcPr>
          <w:p>
            <w:pPr>
              <w:spacing w:after="0"/>
              <w:rPr>
                <w:sz w:val="4"/>
                <w:szCs w:val="4"/>
                <w:color w:val="auto"/>
              </w:rPr>
            </w:pPr>
          </w:p>
        </w:tc>
        <w:tc>
          <w:tcPr>
            <w:tcW w:w="900" w:type="dxa"/>
            <w:vAlign w:val="bottom"/>
            <w:vMerge w:val="restart"/>
          </w:tcPr>
          <w:p>
            <w:pPr>
              <w:ind w:left="32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ind w:left="320"/>
              <w:spacing w:after="0" w:line="161"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4"/>
                <w:szCs w:val="14"/>
                <w:color w:val="auto"/>
              </w:rPr>
            </w:pPr>
          </w:p>
        </w:tc>
        <w:tc>
          <w:tcPr>
            <w:tcW w:w="900" w:type="dxa"/>
            <w:vAlign w:val="bottom"/>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5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32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660" w:type="dxa"/>
            <w:vAlign w:val="bottom"/>
            <w:tcBorders>
              <w:bottom w:val="single" w:sz="8" w:color="2C2C2C"/>
            </w:tcBorders>
            <w:gridSpan w:val="3"/>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4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20" w:type="dxa"/>
            <w:vAlign w:val="bottom"/>
            <w:tcBorders>
              <w:top w:val="single" w:sz="8" w:color="808080"/>
            </w:tcBorders>
          </w:tcPr>
          <w:p>
            <w:pPr>
              <w:spacing w:after="0"/>
              <w:rPr>
                <w:sz w:val="24"/>
                <w:szCs w:val="24"/>
                <w:color w:val="auto"/>
              </w:rPr>
            </w:pPr>
          </w:p>
        </w:tc>
        <w:tc>
          <w:tcPr>
            <w:tcW w:w="4100" w:type="dxa"/>
            <w:vAlign w:val="bottom"/>
            <w:tcBorders>
              <w:top w:val="single" w:sz="8" w:color="2C2C2C"/>
            </w:tcBorders>
            <w:gridSpan w:val="8"/>
          </w:tcPr>
          <w:p>
            <w:pPr>
              <w:ind w:left="80"/>
              <w:spacing w:after="0" w:line="281"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4"/>
                <w:szCs w:val="24"/>
                <w:color w:val="auto"/>
              </w:rPr>
            </w:pPr>
          </w:p>
        </w:tc>
        <w:tc>
          <w:tcPr>
            <w:tcW w:w="120" w:type="dxa"/>
            <w:vAlign w:val="bottom"/>
            <w:tcBorders>
              <w:top w:val="single" w:sz="8" w:color="2C2C2C"/>
            </w:tcBorders>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80" w:type="dxa"/>
            <w:vAlign w:val="bottom"/>
            <w:gridSpan w:val="6"/>
          </w:tcPr>
          <w:p>
            <w:pPr>
              <w:spacing w:after="0" w:line="249" w:lineRule="exact"/>
              <w:rPr>
                <w:rFonts w:ascii="Arial" w:cs="Arial" w:eastAsia="Arial" w:hAnsi="Arial"/>
                <w:sz w:val="24"/>
                <w:szCs w:val="24"/>
                <w:color w:val="0000EE"/>
              </w:rPr>
            </w:pPr>
            <w:hyperlink r:id="rId10">
              <w:r>
                <w:rPr>
                  <w:rFonts w:ascii="Arial" w:cs="Arial" w:eastAsia="Arial" w:hAnsi="Arial"/>
                  <w:sz w:val="24"/>
                  <w:szCs w:val="24"/>
                  <w:color w:val="0000EE"/>
                </w:rPr>
                <w:t>General Atlantic (ME), L.P.</w:t>
              </w:r>
            </w:hyperlink>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1440" w:type="dxa"/>
            <w:vAlign w:val="bottom"/>
            <w:tcBorders>
              <w:top w:val="single" w:sz="8" w:color="0000EE"/>
              <w:bottom w:val="single" w:sz="8" w:color="9A9A9A"/>
            </w:tcBorders>
          </w:tcPr>
          <w:p>
            <w:pPr>
              <w:spacing w:after="0"/>
              <w:rPr>
                <w:sz w:val="17"/>
                <w:szCs w:val="17"/>
                <w:color w:val="auto"/>
              </w:rPr>
            </w:pPr>
          </w:p>
        </w:tc>
        <w:tc>
          <w:tcPr>
            <w:tcW w:w="20" w:type="dxa"/>
            <w:vAlign w:val="bottom"/>
            <w:tcBorders>
              <w:top w:val="single" w:sz="8" w:color="0000EE"/>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440" w:type="dxa"/>
            <w:vAlign w:val="bottom"/>
          </w:tcPr>
          <w:p>
            <w:pPr>
              <w:ind w:left="180"/>
              <w:spacing w:after="0"/>
              <w:rPr>
                <w:sz w:val="20"/>
                <w:szCs w:val="20"/>
                <w:color w:val="auto"/>
              </w:rPr>
            </w:pPr>
            <w:r>
              <w:rPr>
                <w:rFonts w:ascii="Arial" w:cs="Arial" w:eastAsia="Arial" w:hAnsi="Arial"/>
                <w:sz w:val="15"/>
                <w:szCs w:val="15"/>
                <w:color w:val="auto"/>
              </w:rPr>
              <w:t>(First)</w:t>
            </w:r>
          </w:p>
        </w:tc>
        <w:tc>
          <w:tcPr>
            <w:tcW w:w="20" w:type="dxa"/>
            <w:vAlign w:val="bottom"/>
          </w:tcPr>
          <w:p>
            <w:pPr>
              <w:spacing w:after="0"/>
              <w:rPr>
                <w:sz w:val="24"/>
                <w:szCs w:val="24"/>
                <w:color w:val="auto"/>
              </w:rPr>
            </w:pPr>
          </w:p>
        </w:tc>
        <w:tc>
          <w:tcPr>
            <w:tcW w:w="1320" w:type="dxa"/>
            <w:vAlign w:val="bottom"/>
            <w:gridSpan w:val="3"/>
          </w:tcPr>
          <w:p>
            <w:pPr>
              <w:ind w:left="10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6"/>
          </w:tcPr>
          <w:p>
            <w:pPr>
              <w:spacing w:after="0"/>
              <w:rPr>
                <w:sz w:val="20"/>
                <w:szCs w:val="20"/>
                <w:color w:val="auto"/>
              </w:rPr>
            </w:pPr>
            <w:r>
              <w:rPr>
                <w:rFonts w:ascii="Arial" w:cs="Arial" w:eastAsia="Arial" w:hAnsi="Arial"/>
                <w:sz w:val="20"/>
                <w:szCs w:val="20"/>
                <w:color w:val="0000FF"/>
                <w:w w:val="94"/>
              </w:rPr>
              <w:t>C/O GENERAL ATLANTIC SERVICE CO., L.P.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6"/>
          </w:tcPr>
          <w:p>
            <w:pPr>
              <w:spacing w:after="0"/>
              <w:rPr>
                <w:sz w:val="20"/>
                <w:szCs w:val="20"/>
                <w:color w:val="auto"/>
              </w:rPr>
            </w:pPr>
            <w:r>
              <w:rPr>
                <w:rFonts w:ascii="Arial" w:cs="Arial" w:eastAsia="Arial" w:hAnsi="Arial"/>
                <w:sz w:val="20"/>
                <w:szCs w:val="20"/>
                <w:color w:val="0000FF"/>
              </w:rPr>
              <w:t>55 EAST 52ND STREET, 33RD FLOOR</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20"/>
                <w:szCs w:val="20"/>
                <w:color w:val="0000FF"/>
              </w:rPr>
              <w:t>NEW YORK</w:t>
            </w:r>
          </w:p>
        </w:tc>
        <w:tc>
          <w:tcPr>
            <w:tcW w:w="1440" w:type="dxa"/>
            <w:vAlign w:val="bottom"/>
          </w:tcPr>
          <w:p>
            <w:pPr>
              <w:ind w:left="180"/>
              <w:spacing w:after="0"/>
              <w:rPr>
                <w:sz w:val="20"/>
                <w:szCs w:val="20"/>
                <w:color w:val="auto"/>
              </w:rPr>
            </w:pPr>
            <w:r>
              <w:rPr>
                <w:rFonts w:ascii="Arial" w:cs="Arial" w:eastAsia="Arial" w:hAnsi="Arial"/>
                <w:sz w:val="20"/>
                <w:szCs w:val="20"/>
                <w:color w:val="0000FF"/>
              </w:rPr>
              <w:t>NY</w:t>
            </w:r>
          </w:p>
        </w:tc>
        <w:tc>
          <w:tcPr>
            <w:tcW w:w="760" w:type="dxa"/>
            <w:vAlign w:val="bottom"/>
            <w:gridSpan w:val="3"/>
          </w:tcPr>
          <w:p>
            <w:pPr>
              <w:ind w:left="120"/>
              <w:spacing w:after="0"/>
              <w:rPr>
                <w:sz w:val="20"/>
                <w:szCs w:val="20"/>
                <w:color w:val="auto"/>
              </w:rPr>
            </w:pPr>
            <w:r>
              <w:rPr>
                <w:rFonts w:ascii="Arial" w:cs="Arial" w:eastAsia="Arial" w:hAnsi="Arial"/>
                <w:sz w:val="20"/>
                <w:szCs w:val="20"/>
                <w:color w:val="0000FF"/>
              </w:rPr>
              <w:t>10055</w:t>
            </w: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gridSpan w:val="2"/>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1440" w:type="dxa"/>
            <w:vAlign w:val="bottom"/>
          </w:tcPr>
          <w:p>
            <w:pPr>
              <w:ind w:left="180"/>
              <w:spacing w:after="0"/>
              <w:rPr>
                <w:sz w:val="20"/>
                <w:szCs w:val="20"/>
                <w:color w:val="auto"/>
              </w:rPr>
            </w:pPr>
            <w:r>
              <w:rPr>
                <w:rFonts w:ascii="Arial" w:cs="Arial" w:eastAsia="Arial" w:hAnsi="Arial"/>
                <w:sz w:val="15"/>
                <w:szCs w:val="15"/>
                <w:color w:val="auto"/>
              </w:rPr>
              <w:t>(State)</w:t>
            </w:r>
          </w:p>
        </w:tc>
        <w:tc>
          <w:tcPr>
            <w:tcW w:w="20" w:type="dxa"/>
            <w:vAlign w:val="bottom"/>
          </w:tcPr>
          <w:p>
            <w:pPr>
              <w:spacing w:after="0"/>
              <w:rPr>
                <w:sz w:val="24"/>
                <w:szCs w:val="24"/>
                <w:color w:val="auto"/>
              </w:rPr>
            </w:pPr>
          </w:p>
        </w:tc>
        <w:tc>
          <w:tcPr>
            <w:tcW w:w="1320" w:type="dxa"/>
            <w:vAlign w:val="bottom"/>
            <w:gridSpan w:val="3"/>
          </w:tcPr>
          <w:p>
            <w:pPr>
              <w:ind w:left="10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660" w:type="dxa"/>
            <w:vAlign w:val="bottom"/>
            <w:tcBorders>
              <w:bottom w:val="single" w:sz="8" w:color="2C2C2C"/>
            </w:tcBorders>
            <w:gridSpan w:val="3"/>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4100" w:type="dxa"/>
            <w:vAlign w:val="bottom"/>
            <w:gridSpan w:val="8"/>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80" w:type="dxa"/>
            <w:vAlign w:val="bottom"/>
            <w:gridSpan w:val="6"/>
          </w:tcPr>
          <w:p>
            <w:pPr>
              <w:spacing w:after="0" w:line="249" w:lineRule="exact"/>
              <w:rPr>
                <w:rFonts w:ascii="Arial" w:cs="Arial" w:eastAsia="Arial" w:hAnsi="Arial"/>
                <w:sz w:val="24"/>
                <w:szCs w:val="24"/>
                <w:color w:val="0000EE"/>
              </w:rPr>
            </w:pPr>
            <w:hyperlink r:id="rId12">
              <w:r>
                <w:rPr>
                  <w:rFonts w:ascii="Arial" w:cs="Arial" w:eastAsia="Arial" w:hAnsi="Arial"/>
                  <w:sz w:val="24"/>
                  <w:szCs w:val="24"/>
                  <w:color w:val="0000EE"/>
                </w:rPr>
                <w:t>GAP COINVESTMENTS III, LLC</w:t>
              </w:r>
            </w:hyperlink>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1440" w:type="dxa"/>
            <w:vAlign w:val="bottom"/>
            <w:tcBorders>
              <w:top w:val="single" w:sz="8" w:color="0000EE"/>
              <w:bottom w:val="single" w:sz="8" w:color="9A9A9A"/>
            </w:tcBorders>
          </w:tcPr>
          <w:p>
            <w:pPr>
              <w:spacing w:after="0"/>
              <w:rPr>
                <w:sz w:val="17"/>
                <w:szCs w:val="17"/>
                <w:color w:val="auto"/>
              </w:rPr>
            </w:pPr>
          </w:p>
        </w:tc>
        <w:tc>
          <w:tcPr>
            <w:tcW w:w="20" w:type="dxa"/>
            <w:vAlign w:val="bottom"/>
            <w:tcBorders>
              <w:top w:val="single" w:sz="8" w:color="0000EE"/>
              <w:bottom w:val="single" w:sz="8" w:color="9A9A9A"/>
            </w:tcBorders>
          </w:tcPr>
          <w:p>
            <w:pPr>
              <w:spacing w:after="0"/>
              <w:rPr>
                <w:sz w:val="17"/>
                <w:szCs w:val="17"/>
                <w:color w:val="auto"/>
              </w:rPr>
            </w:pPr>
          </w:p>
        </w:tc>
        <w:tc>
          <w:tcPr>
            <w:tcW w:w="340" w:type="dxa"/>
            <w:vAlign w:val="bottom"/>
            <w:tcBorders>
              <w:top w:val="single" w:sz="8" w:color="0000EE"/>
              <w:bottom w:val="single" w:sz="8" w:color="9A9A9A"/>
            </w:tcBorders>
          </w:tcPr>
          <w:p>
            <w:pPr>
              <w:spacing w:after="0"/>
              <w:rPr>
                <w:sz w:val="17"/>
                <w:szCs w:val="17"/>
                <w:color w:val="auto"/>
              </w:rPr>
            </w:pPr>
          </w:p>
        </w:tc>
        <w:tc>
          <w:tcPr>
            <w:tcW w:w="400" w:type="dxa"/>
            <w:vAlign w:val="bottom"/>
            <w:tcBorders>
              <w:top w:val="single" w:sz="8" w:color="0000EE"/>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440" w:type="dxa"/>
            <w:vAlign w:val="bottom"/>
          </w:tcPr>
          <w:p>
            <w:pPr>
              <w:ind w:left="180"/>
              <w:spacing w:after="0"/>
              <w:rPr>
                <w:sz w:val="20"/>
                <w:szCs w:val="20"/>
                <w:color w:val="auto"/>
              </w:rPr>
            </w:pPr>
            <w:r>
              <w:rPr>
                <w:rFonts w:ascii="Arial" w:cs="Arial" w:eastAsia="Arial" w:hAnsi="Arial"/>
                <w:sz w:val="15"/>
                <w:szCs w:val="15"/>
                <w:color w:val="auto"/>
              </w:rPr>
              <w:t>(First)</w:t>
            </w:r>
          </w:p>
        </w:tc>
        <w:tc>
          <w:tcPr>
            <w:tcW w:w="20" w:type="dxa"/>
            <w:vAlign w:val="bottom"/>
          </w:tcPr>
          <w:p>
            <w:pPr>
              <w:spacing w:after="0"/>
              <w:rPr>
                <w:sz w:val="24"/>
                <w:szCs w:val="24"/>
                <w:color w:val="auto"/>
              </w:rPr>
            </w:pPr>
          </w:p>
        </w:tc>
        <w:tc>
          <w:tcPr>
            <w:tcW w:w="1320" w:type="dxa"/>
            <w:vAlign w:val="bottom"/>
            <w:gridSpan w:val="3"/>
          </w:tcPr>
          <w:p>
            <w:pPr>
              <w:ind w:left="10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C/O GENERAL ATLANTIC SERVICE CO., L.P.</w:t>
      </w:r>
    </w:p>
    <w:p>
      <w:pPr>
        <w:spacing w:after="0" w:line="70"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55 EAST 52ND STREET, 33RD FLOOR</w:t>
      </w:r>
    </w:p>
    <w:p>
      <w:pPr>
        <w:spacing w:after="0" w:line="334"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(Street)</w:t>
      </w:r>
    </w:p>
    <w:p>
      <w:pPr>
        <w:sectPr>
          <w:pgSz w:w="11900" w:h="16838" w:orient="portrait"/>
          <w:cols w:equalWidth="0" w:num="1">
            <w:col w:w="10940"/>
          </w:cols>
          <w:pgMar w:left="480" w:top="236" w:right="479" w:bottom="52" w:gutter="0" w:footer="0" w:header="0"/>
          <w:type w:val="continuous"/>
        </w:sectPr>
      </w:pPr>
    </w:p>
    <w:p>
      <w:pPr>
        <w:spacing w:after="0" w:line="29"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20"/>
          <w:szCs w:val="20"/>
          <w:color w:val="0000FF"/>
        </w:rPr>
        <w:t>NEW YORK</w:t>
      </w:r>
      <w:r>
        <w:rPr>
          <w:sz w:val="20"/>
          <w:szCs w:val="20"/>
          <w:color w:val="auto"/>
        </w:rPr>
        <w:tab/>
      </w:r>
      <w:r>
        <w:rPr>
          <w:rFonts w:ascii="Arial" w:cs="Arial" w:eastAsia="Arial" w:hAnsi="Arial"/>
          <w:sz w:val="20"/>
          <w:szCs w:val="20"/>
          <w:color w:val="0000FF"/>
        </w:rPr>
        <w:t>NY</w:t>
      </w:r>
      <w:r>
        <w:rPr>
          <w:sz w:val="20"/>
          <w:szCs w:val="20"/>
          <w:color w:val="auto"/>
        </w:rPr>
        <w:tab/>
      </w:r>
      <w:r>
        <w:rPr>
          <w:rFonts w:ascii="Arial" w:cs="Arial" w:eastAsia="Arial" w:hAnsi="Arial"/>
          <w:sz w:val="17"/>
          <w:szCs w:val="17"/>
          <w:color w:val="0000FF"/>
        </w:rPr>
        <w:t>10055</w:t>
      </w:r>
    </w:p>
    <w:p>
      <w:pPr>
        <w:sectPr>
          <w:pgSz w:w="11900" w:h="16838" w:orient="portrait"/>
          <w:cols w:equalWidth="0" w:num="1">
            <w:col w:w="10940"/>
          </w:cols>
          <w:pgMar w:left="480" w:top="236" w:right="479" w:bottom="52" w:gutter="0" w:footer="0" w:header="0"/>
          <w:type w:val="continuous"/>
        </w:sectPr>
      </w:pPr>
    </w:p>
    <w:bookmarkStart w:id="1" w:name="page2"/>
    <w:bookmarkEnd w:id="1"/>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62350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2798445" cy="6235065"/>
                    </a:xfrm>
                    <a:prstGeom prst="rect">
                      <a:avLst/>
                    </a:prstGeom>
                    <a:noFill/>
                  </pic:spPr>
                </pic:pic>
              </a:graphicData>
            </a:graphic>
          </wp:anchor>
        </w:drawing>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5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Arial" w:cs="Arial" w:eastAsia="Arial" w:hAnsi="Arial"/>
          <w:sz w:val="24"/>
          <w:szCs w:val="24"/>
          <w:u w:val="single" w:color="auto"/>
          <w:color w:val="0000EE"/>
        </w:rPr>
      </w:pPr>
      <w:hyperlink r:id="rId14">
        <w:r>
          <w:rPr>
            <w:rFonts w:ascii="Arial" w:cs="Arial" w:eastAsia="Arial" w:hAnsi="Arial"/>
            <w:sz w:val="24"/>
            <w:szCs w:val="24"/>
            <w:u w:val="single" w:color="auto"/>
            <w:color w:val="0000EE"/>
          </w:rPr>
          <w:t>GAP COINVESTMENTS IV, LLC</w:t>
        </w:r>
      </w:hyperlink>
    </w:p>
    <w:p>
      <w:pPr>
        <w:spacing w:after="0" w:line="357"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C/O GENERAL ATLANTIC SERVICE CO., L.P.</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55 EAST 52ND STREET, 33RD FLOOR</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5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69"/>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20"/>
                <w:szCs w:val="20"/>
                <w:color w:val="0000FF"/>
              </w:rPr>
              <w:t>NEW YORK</w:t>
            </w:r>
          </w:p>
        </w:tc>
        <w:tc>
          <w:tcPr>
            <w:tcW w:w="1540" w:type="dxa"/>
            <w:vAlign w:val="bottom"/>
          </w:tcPr>
          <w:p>
            <w:pPr>
              <w:ind w:left="180"/>
              <w:spacing w:after="0"/>
              <w:rPr>
                <w:sz w:val="20"/>
                <w:szCs w:val="20"/>
                <w:color w:val="auto"/>
              </w:rPr>
            </w:pPr>
            <w:r>
              <w:rPr>
                <w:rFonts w:ascii="Arial" w:cs="Arial" w:eastAsia="Arial" w:hAnsi="Arial"/>
                <w:sz w:val="20"/>
                <w:szCs w:val="20"/>
                <w:color w:val="0000FF"/>
              </w:rPr>
              <w:t>NY</w:t>
            </w:r>
          </w:p>
        </w:tc>
        <w:tc>
          <w:tcPr>
            <w:tcW w:w="1360" w:type="dxa"/>
            <w:vAlign w:val="bottom"/>
          </w:tcPr>
          <w:p>
            <w:pPr>
              <w:ind w:left="20"/>
              <w:spacing w:after="0"/>
              <w:rPr>
                <w:sz w:val="20"/>
                <w:szCs w:val="20"/>
                <w:color w:val="auto"/>
              </w:rPr>
            </w:pPr>
            <w:r>
              <w:rPr>
                <w:rFonts w:ascii="Arial" w:cs="Arial" w:eastAsia="Arial" w:hAnsi="Arial"/>
                <w:sz w:val="20"/>
                <w:szCs w:val="20"/>
                <w:color w:val="0000FF"/>
              </w:rPr>
              <w:t>10055</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5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1540" w:type="dxa"/>
            <w:vAlign w:val="bottom"/>
          </w:tcPr>
          <w:p>
            <w:pPr>
              <w:ind w:left="180"/>
              <w:spacing w:after="0"/>
              <w:rPr>
                <w:sz w:val="20"/>
                <w:szCs w:val="20"/>
                <w:color w:val="auto"/>
              </w:rPr>
            </w:pPr>
            <w:r>
              <w:rPr>
                <w:rFonts w:ascii="Arial" w:cs="Arial" w:eastAsia="Arial" w:hAnsi="Arial"/>
                <w:sz w:val="15"/>
                <w:szCs w:val="15"/>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740" w:type="dxa"/>
            <w:vAlign w:val="bottom"/>
            <w:tcBorders>
              <w:bottom w:val="single" w:sz="8" w:color="2C2C2C"/>
            </w:tcBorders>
            <w:gridSpan w:val="2"/>
          </w:tcPr>
          <w:p>
            <w:pPr>
              <w:spacing w:after="0"/>
              <w:rPr>
                <w:sz w:val="8"/>
                <w:szCs w:val="8"/>
                <w:color w:val="auto"/>
              </w:rPr>
            </w:pPr>
          </w:p>
        </w:tc>
        <w:tc>
          <w:tcPr>
            <w:tcW w:w="13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6"/>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49"/>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40" w:type="dxa"/>
            <w:vAlign w:val="bottom"/>
            <w:tcBorders>
              <w:bottom w:val="single" w:sz="8" w:color="0000EE"/>
            </w:tcBorders>
            <w:gridSpan w:val="2"/>
          </w:tcPr>
          <w:p>
            <w:pPr>
              <w:spacing w:after="0" w:line="249" w:lineRule="exact"/>
              <w:rPr>
                <w:rFonts w:ascii="Arial" w:cs="Arial" w:eastAsia="Arial" w:hAnsi="Arial"/>
                <w:sz w:val="24"/>
                <w:szCs w:val="24"/>
                <w:color w:val="0000EE"/>
                <w:w w:val="91"/>
              </w:rPr>
            </w:pPr>
            <w:hyperlink r:id="rId15">
              <w:r>
                <w:rPr>
                  <w:rFonts w:ascii="Arial" w:cs="Arial" w:eastAsia="Arial" w:hAnsi="Arial"/>
                  <w:sz w:val="24"/>
                  <w:szCs w:val="24"/>
                  <w:color w:val="0000EE"/>
                  <w:w w:val="91"/>
                </w:rPr>
                <w:t>GAP Coinvestments V, LLC</w:t>
              </w:r>
            </w:hyperlink>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c>
          <w:tcPr>
            <w:tcW w:w="136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540" w:type="dxa"/>
            <w:vAlign w:val="bottom"/>
          </w:tcPr>
          <w:p>
            <w:pPr>
              <w:ind w:left="180"/>
              <w:spacing w:after="0"/>
              <w:rPr>
                <w:sz w:val="20"/>
                <w:szCs w:val="20"/>
                <w:color w:val="auto"/>
              </w:rPr>
            </w:pPr>
            <w:r>
              <w:rPr>
                <w:rFonts w:ascii="Arial" w:cs="Arial" w:eastAsia="Arial" w:hAnsi="Arial"/>
                <w:sz w:val="15"/>
                <w:szCs w:val="15"/>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5"/>
                <w:szCs w:val="15"/>
                <w:color w:val="auto"/>
              </w:rPr>
              <w:t>(Middle)</w:t>
            </w:r>
          </w:p>
        </w:tc>
      </w:tr>
    </w:tbl>
    <w:p>
      <w:pPr>
        <w:spacing w:after="0" w:line="66"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C/O GENERAL ATLANTIC SERVICE CO., L.P.</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55 EAST 52ND STREET, 33RD FLOOR</w:t>
      </w:r>
    </w:p>
    <w:p>
      <w:pPr>
        <w:spacing w:after="0" w:line="334"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69"/>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100" w:type="dxa"/>
            <w:vAlign w:val="bottom"/>
          </w:tcPr>
          <w:p>
            <w:pPr>
              <w:ind w:left="180"/>
              <w:spacing w:after="0"/>
              <w:rPr>
                <w:sz w:val="20"/>
                <w:szCs w:val="20"/>
                <w:color w:val="auto"/>
              </w:rPr>
            </w:pPr>
            <w:r>
              <w:rPr>
                <w:rFonts w:ascii="Arial" w:cs="Arial" w:eastAsia="Arial" w:hAnsi="Arial"/>
                <w:sz w:val="20"/>
                <w:szCs w:val="20"/>
                <w:color w:val="0000FF"/>
              </w:rPr>
              <w:t>NY</w:t>
            </w:r>
          </w:p>
        </w:tc>
        <w:tc>
          <w:tcPr>
            <w:tcW w:w="1800" w:type="dxa"/>
            <w:vAlign w:val="bottom"/>
          </w:tcPr>
          <w:p>
            <w:pPr>
              <w:ind w:left="460"/>
              <w:spacing w:after="0"/>
              <w:rPr>
                <w:sz w:val="20"/>
                <w:szCs w:val="20"/>
                <w:color w:val="auto"/>
              </w:rPr>
            </w:pPr>
            <w:r>
              <w:rPr>
                <w:rFonts w:ascii="Arial" w:cs="Arial" w:eastAsia="Arial" w:hAnsi="Arial"/>
                <w:sz w:val="20"/>
                <w:szCs w:val="20"/>
                <w:color w:val="0000FF"/>
              </w:rPr>
              <w:t>10055</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100" w:type="dxa"/>
            <w:vAlign w:val="bottom"/>
          </w:tcPr>
          <w:p>
            <w:pPr>
              <w:ind w:left="1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Arial" w:cs="Arial" w:eastAsia="Arial" w:hAnsi="Arial"/>
          <w:sz w:val="24"/>
          <w:szCs w:val="24"/>
          <w:u w:val="single" w:color="auto"/>
          <w:color w:val="0000EE"/>
        </w:rPr>
      </w:pPr>
      <w:hyperlink r:id="rId16">
        <w:r>
          <w:rPr>
            <w:rFonts w:ascii="Arial" w:cs="Arial" w:eastAsia="Arial" w:hAnsi="Arial"/>
            <w:sz w:val="24"/>
            <w:szCs w:val="24"/>
            <w:u w:val="single" w:color="auto"/>
            <w:color w:val="0000EE"/>
          </w:rPr>
          <w:t>GAP Coinvestments CDA, L.P.</w:t>
        </w:r>
      </w:hyperlink>
    </w:p>
    <w:p>
      <w:pPr>
        <w:spacing w:after="0" w:line="357"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C/O GENERAL ATLANTIC SERVICE CO., L.P.</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55 EAST 52ND STREET, 33RD FLOOR</w:t>
      </w:r>
    </w:p>
    <w:p>
      <w:pPr>
        <w:spacing w:after="0" w:line="334"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69"/>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100" w:type="dxa"/>
            <w:vAlign w:val="bottom"/>
          </w:tcPr>
          <w:p>
            <w:pPr>
              <w:ind w:left="180"/>
              <w:spacing w:after="0"/>
              <w:rPr>
                <w:sz w:val="20"/>
                <w:szCs w:val="20"/>
                <w:color w:val="auto"/>
              </w:rPr>
            </w:pPr>
            <w:r>
              <w:rPr>
                <w:rFonts w:ascii="Arial" w:cs="Arial" w:eastAsia="Arial" w:hAnsi="Arial"/>
                <w:sz w:val="20"/>
                <w:szCs w:val="20"/>
                <w:color w:val="0000FF"/>
              </w:rPr>
              <w:t>NY</w:t>
            </w:r>
          </w:p>
        </w:tc>
        <w:tc>
          <w:tcPr>
            <w:tcW w:w="1800" w:type="dxa"/>
            <w:vAlign w:val="bottom"/>
          </w:tcPr>
          <w:p>
            <w:pPr>
              <w:ind w:left="460"/>
              <w:spacing w:after="0"/>
              <w:rPr>
                <w:sz w:val="20"/>
                <w:szCs w:val="20"/>
                <w:color w:val="auto"/>
              </w:rPr>
            </w:pPr>
            <w:r>
              <w:rPr>
                <w:rFonts w:ascii="Arial" w:cs="Arial" w:eastAsia="Arial" w:hAnsi="Arial"/>
                <w:sz w:val="20"/>
                <w:szCs w:val="20"/>
                <w:color w:val="0000FF"/>
              </w:rPr>
              <w:t>10055</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100" w:type="dxa"/>
            <w:vAlign w:val="bottom"/>
          </w:tcPr>
          <w:p>
            <w:pPr>
              <w:ind w:left="1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left="20" w:right="40" w:firstLine="5"/>
        <w:spacing w:after="0" w:line="238"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Stock ownership is reported as of October 26, 2022. On October 28, 2022, Mobileye Global Inc. (the "Issuer") issued an additional 6,150,000 shares of Class A common stock pursuant to the exercise by underwriters of their overallotment option in full in connection with the closing of the Issuer's initial public offering. As a result of this issuance, the Reporting Persons own less than 10% of the Issuer's Class A common stock as of the date of filing of this Form 3 and are no longer required to file reports under Section 16 of the Securities Exchange Act of 1934, as amended, with respect to the Issuer.</w:t>
      </w:r>
    </w:p>
    <w:p>
      <w:pPr>
        <w:spacing w:after="0" w:line="36" w:lineRule="exact"/>
        <w:rPr>
          <w:rFonts w:ascii="Arial" w:cs="Arial" w:eastAsia="Arial" w:hAnsi="Arial"/>
          <w:sz w:val="15"/>
          <w:szCs w:val="15"/>
          <w:color w:val="008000"/>
        </w:rPr>
      </w:pPr>
    </w:p>
    <w:p>
      <w:pPr>
        <w:ind w:left="20" w:right="20" w:firstLine="5"/>
        <w:spacing w:after="0" w:line="236"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Reflects securities held directly by General Atlantic (ME), L.P. ("GA ME"), a Delaware limited partnership. The limited partners of GA ME are the following investment funds (the "GA Funds"): General Atlantic Partners 100, L.P., a Delaware limited partnership ("GAP 100"), General Atlantic Partners (Bermuda) EU, L.P., a Bermuda limited partnership ("GAP Bermuda EU"), General Atlantic Partners (Lux) SCSp, a Luxembourg special limited partnership ("GAP Lux"), GAP Coinvestments CDA, L.P., a Delaware limited partnership ("GAPCO CDA"), GAP Coinvestments III, LLC, a Delaware limited liability company ("GAPCO III"), GAP Coinvestments IV, LLC, a Delaware limited liability company ("GAPCO IV"), and GAP Coinvestments V, LLC, a Delaware limited liability company ("GAPCO V").</w:t>
      </w:r>
    </w:p>
    <w:p>
      <w:pPr>
        <w:spacing w:after="0" w:line="37" w:lineRule="exact"/>
        <w:rPr>
          <w:rFonts w:ascii="Arial" w:cs="Arial" w:eastAsia="Arial" w:hAnsi="Arial"/>
          <w:sz w:val="15"/>
          <w:szCs w:val="15"/>
          <w:color w:val="008000"/>
        </w:rPr>
      </w:pPr>
    </w:p>
    <w:p>
      <w:pPr>
        <w:jc w:val="both"/>
        <w:ind w:left="20" w:right="120" w:firstLine="5"/>
        <w:spacing w:after="0" w:line="260" w:lineRule="auto"/>
        <w:tabs>
          <w:tab w:leader="none" w:pos="17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general partner of GA (ME) is General Atlantic (SPV) GP, LLC, a Delaware limited liability company ("GA SPV"). The general partner of GAP Lux is General Atlantic GenPar, (Lux) SCSp, a Luxembourg special limited partnership ("GA GenPar Lux") and the general partner of GA GenPar Lux is General Atlantic (Lux) S.a.r.l., a Luxembourg company ("GA Lux"). The general partner of GAP Bermuda EU and the sole shareholder of GA Lux is General Atlantic GenPar (Bermuda), L.P., a Bermuda limited partnership ("GenPar Bermuda"). GAP (Bermuda) L.P. ("GAP (Bermuda) LP") is the general partner of GenPar Bermuda.</w:t>
      </w:r>
    </w:p>
    <w:p>
      <w:pPr>
        <w:spacing w:after="0" w:line="22" w:lineRule="exact"/>
        <w:rPr>
          <w:rFonts w:ascii="Arial" w:cs="Arial" w:eastAsia="Arial" w:hAnsi="Arial"/>
          <w:sz w:val="14"/>
          <w:szCs w:val="14"/>
          <w:color w:val="008000"/>
        </w:rPr>
      </w:pPr>
    </w:p>
    <w:p>
      <w:pPr>
        <w:ind w:left="20" w:firstLine="5"/>
        <w:spacing w:after="0" w:line="281" w:lineRule="auto"/>
        <w:tabs>
          <w:tab w:leader="none" w:pos="17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The general partner of GAP 100 is General Atlantic GenPar, L.P., a Delaware limited partnership ("GA GenPar"). General Atlantic, L.P., a Delaware limited partnership ("GA LP"), which is controlled by the Management Committee of GASC MGP, LLC (the "Management Committee"), is the managing member of GAPCO III, GAPCO IV and GAPCO V, the general partner of GAPCO CDA and GA GenPar, and the sole member of GA SPV. GAP Bermuda is also controlled by the Management Committee. There are nine members of the Management Committee. By virtue of the foregoing, the Reporting Persons may be deemed to share voting power and the power to direct the disposition of the shares that each owns of record. Each of the members of the Management Committee disclaims ownership of the shares except to the extent he has a pecuniary interest therein.</w:t>
      </w:r>
    </w:p>
    <w:p>
      <w:pPr>
        <w:ind w:left="2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0"/>
          <w:szCs w:val="20"/>
          <w:color w:val="auto"/>
        </w:rPr>
      </w:pPr>
    </w:p>
    <w:p>
      <w:pPr>
        <w:ind w:left="20" w:right="120"/>
        <w:spacing w:after="0" w:line="238" w:lineRule="auto"/>
        <w:rPr>
          <w:sz w:val="20"/>
          <w:szCs w:val="20"/>
          <w:color w:val="auto"/>
        </w:rPr>
      </w:pPr>
      <w:r>
        <w:rPr>
          <w:rFonts w:ascii="Arial" w:cs="Arial" w:eastAsia="Arial" w:hAnsi="Arial"/>
          <w:sz w:val="15"/>
          <w:szCs w:val="15"/>
          <w:color w:val="008000"/>
        </w:rPr>
        <w:t>GA ME, the GA Funds, GA SPV, GA GenPar Lux, GA Lux, GenPar Bermuda, GAP (Bermuda) LP, GA GenPar, and GA LP may be deemed to be members of a "group" for the purposes of the Securities Exchange Act of 1934. Each reporting person disclaims beneficial ownership of any securities deemed to be owned by the group that are not directly owned by the reporting person. This report shall not be deemed an admission that the reporting persons are a member of a group or the beneficial owner of any securities not directly owned by the reporting person. // Form 2 of 2</w:t>
      </w:r>
    </w:p>
    <w:p>
      <w:pPr>
        <w:spacing w:after="0" w:line="42" w:lineRule="exact"/>
        <w:rPr>
          <w:sz w:val="20"/>
          <w:szCs w:val="20"/>
          <w:color w:val="auto"/>
        </w:rPr>
      </w:pPr>
    </w:p>
    <w:tbl>
      <w:tblPr>
        <w:tblLayout w:type="fixed"/>
        <w:tblInd w:w="6560" w:type="dxa"/>
        <w:tblCellMar>
          <w:top w:w="0" w:type="dxa"/>
          <w:left w:w="0" w:type="dxa"/>
          <w:bottom w:w="0" w:type="dxa"/>
          <w:right w:w="0" w:type="dxa"/>
        </w:tblCellMar>
      </w:tblPr>
      <w:tr>
        <w:trPr>
          <w:trHeight w:val="230"/>
        </w:trPr>
        <w:tc>
          <w:tcPr>
            <w:tcW w:w="2180" w:type="dxa"/>
            <w:vAlign w:val="bottom"/>
            <w:gridSpan w:val="2"/>
          </w:tcPr>
          <w:p>
            <w:pPr>
              <w:spacing w:after="0"/>
              <w:rPr>
                <w:sz w:val="20"/>
                <w:szCs w:val="20"/>
                <w:color w:val="auto"/>
              </w:rPr>
            </w:pPr>
            <w:r>
              <w:rPr>
                <w:rFonts w:ascii="Arial" w:cs="Arial" w:eastAsia="Arial" w:hAnsi="Arial"/>
                <w:sz w:val="20"/>
                <w:szCs w:val="20"/>
                <w:color w:val="0000FF"/>
              </w:rPr>
              <w:t>/s/ Michael Gosk</w:t>
            </w:r>
          </w:p>
        </w:tc>
        <w:tc>
          <w:tcPr>
            <w:tcW w:w="880" w:type="dxa"/>
            <w:vAlign w:val="bottom"/>
          </w:tcPr>
          <w:p>
            <w:pPr>
              <w:spacing w:after="0"/>
              <w:rPr>
                <w:sz w:val="20"/>
                <w:szCs w:val="20"/>
                <w:color w:val="auto"/>
              </w:rPr>
            </w:pPr>
            <w:r>
              <w:rPr>
                <w:rFonts w:ascii="Arial" w:cs="Arial" w:eastAsia="Arial" w:hAnsi="Arial"/>
                <w:sz w:val="20"/>
                <w:szCs w:val="20"/>
                <w:color w:val="0000FF"/>
                <w:w w:val="85"/>
              </w:rPr>
              <w:t>11/07/2022</w:t>
            </w:r>
          </w:p>
        </w:tc>
        <w:tc>
          <w:tcPr>
            <w:tcW w:w="0" w:type="dxa"/>
            <w:vAlign w:val="bottom"/>
          </w:tcPr>
          <w:p>
            <w:pPr>
              <w:spacing w:after="0"/>
              <w:rPr>
                <w:sz w:val="1"/>
                <w:szCs w:val="1"/>
                <w:color w:val="auto"/>
              </w:rPr>
            </w:pPr>
          </w:p>
        </w:tc>
      </w:tr>
      <w:tr>
        <w:trPr>
          <w:trHeight w:val="20"/>
        </w:trPr>
        <w:tc>
          <w:tcPr>
            <w:tcW w:w="13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2180" w:type="dxa"/>
            <w:vAlign w:val="bottom"/>
            <w:gridSpan w:val="2"/>
          </w:tcPr>
          <w:p>
            <w:pPr>
              <w:spacing w:after="0"/>
              <w:rPr>
                <w:sz w:val="20"/>
                <w:szCs w:val="20"/>
                <w:color w:val="auto"/>
              </w:rPr>
            </w:pPr>
            <w:r>
              <w:rPr>
                <w:rFonts w:ascii="Arial" w:cs="Arial" w:eastAsia="Arial" w:hAnsi="Arial"/>
                <w:sz w:val="20"/>
                <w:szCs w:val="20"/>
                <w:color w:val="0000FF"/>
              </w:rPr>
              <w:t>/s/ Michael Gosk</w:t>
            </w:r>
          </w:p>
        </w:tc>
        <w:tc>
          <w:tcPr>
            <w:tcW w:w="880" w:type="dxa"/>
            <w:vAlign w:val="bottom"/>
          </w:tcPr>
          <w:p>
            <w:pPr>
              <w:spacing w:after="0"/>
              <w:rPr>
                <w:sz w:val="20"/>
                <w:szCs w:val="20"/>
                <w:color w:val="auto"/>
              </w:rPr>
            </w:pPr>
            <w:r>
              <w:rPr>
                <w:rFonts w:ascii="Arial" w:cs="Arial" w:eastAsia="Arial" w:hAnsi="Arial"/>
                <w:sz w:val="20"/>
                <w:szCs w:val="20"/>
                <w:color w:val="0000FF"/>
                <w:w w:val="85"/>
              </w:rPr>
              <w:t>11/07/2022</w:t>
            </w:r>
          </w:p>
        </w:tc>
        <w:tc>
          <w:tcPr>
            <w:tcW w:w="0" w:type="dxa"/>
            <w:vAlign w:val="bottom"/>
          </w:tcPr>
          <w:p>
            <w:pPr>
              <w:spacing w:after="0"/>
              <w:rPr>
                <w:sz w:val="1"/>
                <w:szCs w:val="1"/>
                <w:color w:val="auto"/>
              </w:rPr>
            </w:pPr>
          </w:p>
        </w:tc>
      </w:tr>
      <w:tr>
        <w:trPr>
          <w:trHeight w:val="20"/>
        </w:trPr>
        <w:tc>
          <w:tcPr>
            <w:tcW w:w="13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2180" w:type="dxa"/>
            <w:vAlign w:val="bottom"/>
            <w:gridSpan w:val="2"/>
          </w:tcPr>
          <w:p>
            <w:pPr>
              <w:spacing w:after="0"/>
              <w:rPr>
                <w:sz w:val="20"/>
                <w:szCs w:val="20"/>
                <w:color w:val="auto"/>
              </w:rPr>
            </w:pPr>
            <w:r>
              <w:rPr>
                <w:rFonts w:ascii="Arial" w:cs="Arial" w:eastAsia="Arial" w:hAnsi="Arial"/>
                <w:sz w:val="20"/>
                <w:szCs w:val="20"/>
                <w:color w:val="0000FF"/>
              </w:rPr>
              <w:t>/s/ Michael Gosk</w:t>
            </w:r>
          </w:p>
        </w:tc>
        <w:tc>
          <w:tcPr>
            <w:tcW w:w="880" w:type="dxa"/>
            <w:vAlign w:val="bottom"/>
          </w:tcPr>
          <w:p>
            <w:pPr>
              <w:spacing w:after="0"/>
              <w:rPr>
                <w:sz w:val="20"/>
                <w:szCs w:val="20"/>
                <w:color w:val="auto"/>
              </w:rPr>
            </w:pPr>
            <w:r>
              <w:rPr>
                <w:rFonts w:ascii="Arial" w:cs="Arial" w:eastAsia="Arial" w:hAnsi="Arial"/>
                <w:sz w:val="20"/>
                <w:szCs w:val="20"/>
                <w:color w:val="0000FF"/>
                <w:w w:val="85"/>
              </w:rPr>
              <w:t>11/07/2022</w:t>
            </w:r>
          </w:p>
        </w:tc>
        <w:tc>
          <w:tcPr>
            <w:tcW w:w="0" w:type="dxa"/>
            <w:vAlign w:val="bottom"/>
          </w:tcPr>
          <w:p>
            <w:pPr>
              <w:spacing w:after="0"/>
              <w:rPr>
                <w:sz w:val="1"/>
                <w:szCs w:val="1"/>
                <w:color w:val="auto"/>
              </w:rPr>
            </w:pPr>
          </w:p>
        </w:tc>
      </w:tr>
      <w:tr>
        <w:trPr>
          <w:trHeight w:val="20"/>
        </w:trPr>
        <w:tc>
          <w:tcPr>
            <w:tcW w:w="13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2180" w:type="dxa"/>
            <w:vAlign w:val="bottom"/>
            <w:gridSpan w:val="2"/>
          </w:tcPr>
          <w:p>
            <w:pPr>
              <w:spacing w:after="0"/>
              <w:rPr>
                <w:sz w:val="20"/>
                <w:szCs w:val="20"/>
                <w:color w:val="auto"/>
              </w:rPr>
            </w:pPr>
            <w:r>
              <w:rPr>
                <w:rFonts w:ascii="Arial" w:cs="Arial" w:eastAsia="Arial" w:hAnsi="Arial"/>
                <w:sz w:val="20"/>
                <w:szCs w:val="20"/>
                <w:color w:val="0000FF"/>
              </w:rPr>
              <w:t>/s/ Michael Gosk</w:t>
            </w:r>
          </w:p>
        </w:tc>
        <w:tc>
          <w:tcPr>
            <w:tcW w:w="880" w:type="dxa"/>
            <w:vAlign w:val="bottom"/>
          </w:tcPr>
          <w:p>
            <w:pPr>
              <w:spacing w:after="0"/>
              <w:rPr>
                <w:sz w:val="20"/>
                <w:szCs w:val="20"/>
                <w:color w:val="auto"/>
              </w:rPr>
            </w:pPr>
            <w:r>
              <w:rPr>
                <w:rFonts w:ascii="Arial" w:cs="Arial" w:eastAsia="Arial" w:hAnsi="Arial"/>
                <w:sz w:val="20"/>
                <w:szCs w:val="20"/>
                <w:color w:val="0000FF"/>
                <w:w w:val="85"/>
              </w:rPr>
              <w:t>11/07/2022</w:t>
            </w:r>
          </w:p>
        </w:tc>
        <w:tc>
          <w:tcPr>
            <w:tcW w:w="0" w:type="dxa"/>
            <w:vAlign w:val="bottom"/>
          </w:tcPr>
          <w:p>
            <w:pPr>
              <w:spacing w:after="0"/>
              <w:rPr>
                <w:sz w:val="1"/>
                <w:szCs w:val="1"/>
                <w:color w:val="auto"/>
              </w:rPr>
            </w:pPr>
          </w:p>
        </w:tc>
      </w:tr>
      <w:tr>
        <w:trPr>
          <w:trHeight w:val="20"/>
        </w:trPr>
        <w:tc>
          <w:tcPr>
            <w:tcW w:w="13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2180" w:type="dxa"/>
            <w:vAlign w:val="bottom"/>
            <w:gridSpan w:val="2"/>
          </w:tcPr>
          <w:p>
            <w:pPr>
              <w:spacing w:after="0"/>
              <w:rPr>
                <w:sz w:val="20"/>
                <w:szCs w:val="20"/>
                <w:color w:val="auto"/>
              </w:rPr>
            </w:pPr>
            <w:r>
              <w:rPr>
                <w:rFonts w:ascii="Arial" w:cs="Arial" w:eastAsia="Arial" w:hAnsi="Arial"/>
                <w:sz w:val="20"/>
                <w:szCs w:val="20"/>
                <w:color w:val="0000FF"/>
              </w:rPr>
              <w:t>/s/ Michael Gosk</w:t>
            </w:r>
          </w:p>
        </w:tc>
        <w:tc>
          <w:tcPr>
            <w:tcW w:w="880" w:type="dxa"/>
            <w:vAlign w:val="bottom"/>
          </w:tcPr>
          <w:p>
            <w:pPr>
              <w:spacing w:after="0"/>
              <w:rPr>
                <w:sz w:val="20"/>
                <w:szCs w:val="20"/>
                <w:color w:val="auto"/>
              </w:rPr>
            </w:pPr>
            <w:r>
              <w:rPr>
                <w:rFonts w:ascii="Arial" w:cs="Arial" w:eastAsia="Arial" w:hAnsi="Arial"/>
                <w:sz w:val="20"/>
                <w:szCs w:val="20"/>
                <w:color w:val="0000FF"/>
                <w:w w:val="85"/>
              </w:rPr>
              <w:t>11/07/2022</w:t>
            </w:r>
          </w:p>
        </w:tc>
        <w:tc>
          <w:tcPr>
            <w:tcW w:w="0" w:type="dxa"/>
            <w:vAlign w:val="bottom"/>
          </w:tcPr>
          <w:p>
            <w:pPr>
              <w:spacing w:after="0"/>
              <w:rPr>
                <w:sz w:val="1"/>
                <w:szCs w:val="1"/>
                <w:color w:val="auto"/>
              </w:rPr>
            </w:pPr>
          </w:p>
        </w:tc>
      </w:tr>
      <w:tr>
        <w:trPr>
          <w:trHeight w:val="20"/>
        </w:trPr>
        <w:tc>
          <w:tcPr>
            <w:tcW w:w="13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180" w:type="dxa"/>
            <w:vAlign w:val="bottom"/>
            <w:gridSpan w:val="2"/>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0"/>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p>
      <w:pPr>
        <w:sectPr>
          <w:pgSz w:w="11900" w:h="16838" w:orient="portrait"/>
          <w:cols w:equalWidth="0" w:num="1">
            <w:col w:w="10780"/>
          </w:cols>
          <w:pgMar w:left="500" w:top="140" w:right="619" w:bottom="0" w:gutter="0" w:footer="0" w:header="0"/>
        </w:sectPr>
      </w:pPr>
    </w:p>
    <w:bookmarkStart w:id="2" w:name="page3"/>
    <w:bookmarkEnd w:id="2"/>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p>
      <w:pPr>
        <w:spacing w:after="0" w:line="52" w:lineRule="exact"/>
        <w:rPr>
          <w:sz w:val="20"/>
          <w:szCs w:val="20"/>
          <w:color w:val="auto"/>
        </w:rPr>
      </w:pPr>
    </w:p>
    <w:p>
      <w:pPr>
        <w:jc w:val="both"/>
        <w:ind w:right="216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24"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3" Type="http://schemas.openxmlformats.org/officeDocument/2006/relationships/image" Target="media/image3.png"/><Relationship Id="rId10" Type="http://schemas.openxmlformats.org/officeDocument/2006/relationships/hyperlink" Target="http://www.sec.gov/cgi-bin/browse-edgar?action=getcompany&amp;CIK=0001951929" TargetMode="External"/><Relationship Id="rId11" Type="http://schemas.openxmlformats.org/officeDocument/2006/relationships/hyperlink" Target="http://www.sec.gov/cgi-bin/browse-edgar?action=getcompany&amp;CIK=0001910139" TargetMode="External"/><Relationship Id="rId12" Type="http://schemas.openxmlformats.org/officeDocument/2006/relationships/hyperlink" Target="http://www.sec.gov/cgi-bin/browse-edgar?action=getcompany&amp;CIK=0001282203" TargetMode="External"/><Relationship Id="rId14" Type="http://schemas.openxmlformats.org/officeDocument/2006/relationships/hyperlink" Target="http://www.sec.gov/cgi-bin/browse-edgar?action=getcompany&amp;CIK=0001282372" TargetMode="External"/><Relationship Id="rId15" Type="http://schemas.openxmlformats.org/officeDocument/2006/relationships/hyperlink" Target="http://www.sec.gov/cgi-bin/browse-edgar?action=getcompany&amp;CIK=0001793941" TargetMode="External"/><Relationship Id="rId16" Type="http://schemas.openxmlformats.org/officeDocument/2006/relationships/hyperlink" Target="http://www.sec.gov/cgi-bin/browse-edgar?action=getcompany&amp;CIK=0001356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2022-11-07T15:43:29Z</dcterms:created>
  <dcterms:modified xsi:type="dcterms:W3CDTF">2022-11-07T15:43:29Z</dcterms:modified>
</cp:coreProperties>
</file>