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Mobileye Global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Issuer)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Class A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60741F104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October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580" w:right="9020" w:hanging="5"/>
        <w:spacing w:after="0" w:line="224" w:lineRule="exact"/>
        <w:tabs>
          <w:tab w:leader="none" w:pos="11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38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ind w:right="1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783"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2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3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Partners 100,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460" w:type="dxa"/>
            <w:vAlign w:val="bottom"/>
          </w:tcPr>
          <w:p>
            <w:pPr>
              <w:spacing w:after="0"/>
              <w:rPr>
                <w:sz w:val="21"/>
                <w:szCs w:val="21"/>
                <w:color w:val="auto"/>
              </w:rPr>
            </w:pPr>
          </w:p>
        </w:tc>
        <w:tc>
          <w:tcPr>
            <w:tcW w:w="4300" w:type="dxa"/>
            <w:vAlign w:val="bottom"/>
            <w:tcBorders>
              <w:right w:val="single" w:sz="8" w:color="auto"/>
            </w:tcBorders>
          </w:tcPr>
          <w:p>
            <w:pPr>
              <w:ind w:left="24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4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408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w w:val="97"/>
              </w:rPr>
              <w:t>General Atlantic Partners (Bermuda) EU, L.P.</w:t>
            </w:r>
          </w:p>
        </w:tc>
        <w:tc>
          <w:tcPr>
            <w:tcW w:w="4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gridSpan w:val="2"/>
          </w:tcPr>
          <w:p>
            <w:pPr>
              <w:spacing w:after="0"/>
              <w:rPr>
                <w:sz w:val="17"/>
                <w:szCs w:val="17"/>
                <w:color w:val="auto"/>
              </w:rPr>
            </w:pPr>
          </w:p>
        </w:tc>
        <w:tc>
          <w:tcPr>
            <w:tcW w:w="43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408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30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5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III,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6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IV,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7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V,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8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Coinvestments CDA,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80"/>
              <w:spacing w:after="0"/>
              <w:rPr>
                <w:sz w:val="20"/>
                <w:szCs w:val="20"/>
                <w:color w:val="auto"/>
              </w:rPr>
            </w:pPr>
            <w:r>
              <w:rPr>
                <w:rFonts w:ascii="Arial" w:cs="Arial" w:eastAsia="Arial" w:hAnsi="Arial"/>
                <w:sz w:val="18"/>
                <w:szCs w:val="18"/>
                <w:color w:val="auto"/>
                <w:w w:val="88"/>
              </w:rPr>
              <w:t>Page 9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(SPV) GP, LLC</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280" w:type="dxa"/>
            <w:vAlign w:val="bottom"/>
          </w:tcPr>
          <w:p>
            <w:pPr>
              <w:spacing w:after="0"/>
              <w:rPr>
                <w:sz w:val="21"/>
                <w:szCs w:val="21"/>
                <w:color w:val="auto"/>
              </w:rPr>
            </w:pPr>
          </w:p>
        </w:tc>
        <w:tc>
          <w:tcPr>
            <w:tcW w:w="448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10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90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4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GenPar (Bermuda), L.P.</w:t>
            </w:r>
          </w:p>
        </w:tc>
        <w:tc>
          <w:tcPr>
            <w:tcW w:w="44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900" w:type="dxa"/>
            <w:vAlign w:val="bottom"/>
            <w:tcBorders>
              <w:bottom w:val="single" w:sz="8" w:color="auto"/>
            </w:tcBorders>
            <w:gridSpan w:val="2"/>
          </w:tcPr>
          <w:p>
            <w:pPr>
              <w:spacing w:after="0"/>
              <w:rPr>
                <w:sz w:val="17"/>
                <w:szCs w:val="17"/>
                <w:color w:val="auto"/>
              </w:rPr>
            </w:pPr>
          </w:p>
        </w:tc>
        <w:tc>
          <w:tcPr>
            <w:tcW w:w="44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90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4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11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GenPar,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12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(ME),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Delaware</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13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GAP (Bermuda) L.P.</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Bermuda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00" w:type="dxa"/>
            <w:vAlign w:val="bottom"/>
          </w:tcPr>
          <w:p>
            <w:pPr>
              <w:spacing w:after="0"/>
              <w:rPr>
                <w:sz w:val="21"/>
                <w:szCs w:val="21"/>
                <w:color w:val="auto"/>
              </w:rPr>
            </w:pPr>
          </w:p>
        </w:tc>
        <w:tc>
          <w:tcPr>
            <w:tcW w:w="4660" w:type="dxa"/>
            <w:vAlign w:val="bottom"/>
            <w:tcBorders>
              <w:right w:val="single" w:sz="8" w:color="auto"/>
            </w:tcBorders>
          </w:tcPr>
          <w:p>
            <w:pPr>
              <w:ind w:left="6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14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(Lux) S.à.r.l.</w:t>
            </w:r>
          </w:p>
        </w:tc>
        <w:tc>
          <w:tcPr>
            <w:tcW w:w="4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2"/>
          </w:tcPr>
          <w:p>
            <w:pPr>
              <w:spacing w:after="0"/>
              <w:rPr>
                <w:sz w:val="17"/>
                <w:szCs w:val="17"/>
                <w:color w:val="auto"/>
              </w:rPr>
            </w:pPr>
          </w:p>
        </w:tc>
        <w:tc>
          <w:tcPr>
            <w:tcW w:w="466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2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6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40" w:type="dxa"/>
            <w:vAlign w:val="bottom"/>
          </w:tcPr>
          <w:p>
            <w:pPr>
              <w:spacing w:after="0"/>
              <w:rPr>
                <w:sz w:val="21"/>
                <w:szCs w:val="21"/>
                <w:color w:val="auto"/>
              </w:rPr>
            </w:pPr>
          </w:p>
        </w:tc>
        <w:tc>
          <w:tcPr>
            <w:tcW w:w="4620" w:type="dxa"/>
            <w:vAlign w:val="bottom"/>
            <w:tcBorders>
              <w:right w:val="single" w:sz="8" w:color="auto"/>
            </w:tcBorders>
          </w:tcPr>
          <w:p>
            <w:pPr>
              <w:ind w:left="56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15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76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62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GenPar (Lux) SCSp</w:t>
            </w:r>
          </w:p>
        </w:tc>
        <w:tc>
          <w:tcPr>
            <w:tcW w:w="46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2"/>
          </w:tcPr>
          <w:p>
            <w:pPr>
              <w:spacing w:after="0"/>
              <w:rPr>
                <w:sz w:val="17"/>
                <w:szCs w:val="17"/>
                <w:color w:val="auto"/>
              </w:rPr>
            </w:pPr>
          </w:p>
        </w:tc>
        <w:tc>
          <w:tcPr>
            <w:tcW w:w="46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76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62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2180" w:type="dxa"/>
            <w:vAlign w:val="bottom"/>
          </w:tcPr>
          <w:p>
            <w:pPr>
              <w:spacing w:after="0"/>
              <w:rPr>
                <w:sz w:val="21"/>
                <w:szCs w:val="21"/>
                <w:color w:val="auto"/>
              </w:rPr>
            </w:pPr>
          </w:p>
        </w:tc>
        <w:tc>
          <w:tcPr>
            <w:tcW w:w="458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16 of 27</w:t>
            </w:r>
          </w:p>
        </w:tc>
      </w:tr>
      <w:tr>
        <w:trPr>
          <w:trHeight w:val="443"/>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1</w:t>
            </w:r>
          </w:p>
        </w:tc>
        <w:tc>
          <w:tcPr>
            <w:tcW w:w="3800" w:type="dxa"/>
            <w:vAlign w:val="bottom"/>
            <w:gridSpan w:val="2"/>
          </w:tcPr>
          <w:p>
            <w:pPr>
              <w:ind w:left="520"/>
              <w:spacing w:after="0"/>
              <w:rPr>
                <w:sz w:val="20"/>
                <w:szCs w:val="20"/>
                <w:color w:val="auto"/>
              </w:rPr>
            </w:pPr>
            <w:r>
              <w:rPr>
                <w:rFonts w:ascii="Arial" w:cs="Arial" w:eastAsia="Arial" w:hAnsi="Arial"/>
                <w:sz w:val="18"/>
                <w:szCs w:val="18"/>
                <w:color w:val="auto"/>
              </w:rPr>
              <w:t>NAME OF REPORTING PERSON</w:t>
            </w:r>
          </w:p>
        </w:tc>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425"/>
        </w:trPr>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color w:val="auto"/>
              </w:rPr>
              <w:t>General Atlantic Partners (Lux) SCSp</w:t>
            </w:r>
          </w:p>
        </w:tc>
        <w:tc>
          <w:tcPr>
            <w:tcW w:w="45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169"/>
        </w:trPr>
        <w:tc>
          <w:tcPr>
            <w:tcW w:w="40" w:type="dxa"/>
            <w:vAlign w:val="bottom"/>
          </w:tcPr>
          <w:p>
            <w:pPr>
              <w:spacing w:after="0"/>
              <w:rPr>
                <w:sz w:val="14"/>
                <w:szCs w:val="14"/>
                <w:color w:val="auto"/>
              </w:rPr>
            </w:pPr>
          </w:p>
        </w:tc>
        <w:tc>
          <w:tcPr>
            <w:tcW w:w="600" w:type="dxa"/>
            <w:vAlign w:val="bottom"/>
          </w:tcPr>
          <w:p>
            <w:pPr>
              <w:spacing w:after="0" w:line="169" w:lineRule="exact"/>
              <w:rPr>
                <w:sz w:val="20"/>
                <w:szCs w:val="20"/>
                <w:color w:val="auto"/>
              </w:rPr>
            </w:pPr>
            <w:r>
              <w:rPr>
                <w:rFonts w:ascii="Arial" w:cs="Arial" w:eastAsia="Arial" w:hAnsi="Arial"/>
                <w:sz w:val="18"/>
                <w:szCs w:val="18"/>
                <w:color w:val="auto"/>
              </w:rPr>
              <w:t>2</w:t>
            </w:r>
          </w:p>
        </w:tc>
        <w:tc>
          <w:tcPr>
            <w:tcW w:w="8380" w:type="dxa"/>
            <w:vAlign w:val="bottom"/>
            <w:gridSpan w:val="3"/>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2220" w:type="dxa"/>
            <w:vAlign w:val="bottom"/>
          </w:tcPr>
          <w:p>
            <w:pPr>
              <w:ind w:left="110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20" w:type="dxa"/>
            <w:vAlign w:val="bottom"/>
          </w:tcPr>
          <w:p>
            <w:pPr>
              <w:ind w:left="1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3800" w:type="dxa"/>
            <w:vAlign w:val="bottom"/>
            <w:tcBorders>
              <w:bottom w:val="single" w:sz="8" w:color="auto"/>
            </w:tcBorders>
            <w:gridSpan w:val="2"/>
          </w:tcPr>
          <w:p>
            <w:pPr>
              <w:spacing w:after="0"/>
              <w:rPr>
                <w:sz w:val="17"/>
                <w:szCs w:val="17"/>
                <w:color w:val="auto"/>
              </w:rPr>
            </w:pPr>
          </w:p>
        </w:tc>
        <w:tc>
          <w:tcPr>
            <w:tcW w:w="45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r>
        <w:trPr>
          <w:trHeight w:val="230"/>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3</w:t>
            </w:r>
          </w:p>
        </w:tc>
        <w:tc>
          <w:tcPr>
            <w:tcW w:w="3800" w:type="dxa"/>
            <w:vAlign w:val="bottom"/>
            <w:gridSpan w:val="2"/>
          </w:tcPr>
          <w:p>
            <w:pPr>
              <w:ind w:left="520"/>
              <w:spacing w:after="0"/>
              <w:rPr>
                <w:sz w:val="20"/>
                <w:szCs w:val="20"/>
                <w:color w:val="auto"/>
              </w:rPr>
            </w:pPr>
            <w:r>
              <w:rPr>
                <w:rFonts w:ascii="Arial" w:cs="Arial" w:eastAsia="Arial" w:hAnsi="Arial"/>
                <w:sz w:val="18"/>
                <w:szCs w:val="18"/>
                <w:color w:val="auto"/>
              </w:rPr>
              <w:t>SEC USE ONLY</w:t>
            </w:r>
          </w:p>
        </w:tc>
        <w:tc>
          <w:tcPr>
            <w:tcW w:w="4580" w:type="dxa"/>
            <w:vAlign w:val="bottom"/>
          </w:tcPr>
          <w:p>
            <w:pPr>
              <w:spacing w:after="0"/>
              <w:rPr>
                <w:sz w:val="20"/>
                <w:szCs w:val="20"/>
                <w:color w:val="auto"/>
              </w:rPr>
            </w:pPr>
          </w:p>
        </w:tc>
        <w:tc>
          <w:tcPr>
            <w:tcW w:w="22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50234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5023485"/>
                    </a:xfrm>
                    <a:prstGeom prst="rect">
                      <a:avLst/>
                    </a:prstGeom>
                    <a:noFill/>
                  </pic:spPr>
                </pic:pic>
              </a:graphicData>
            </a:graphic>
          </wp:anchor>
        </w:drawing>
      </w:r>
    </w:p>
    <w:p>
      <w:pPr>
        <w:spacing w:after="0" w:line="194"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Luxembourg</w:t>
            </w: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80" w:type="dxa"/>
            <w:vAlign w:val="bottom"/>
          </w:tcPr>
          <w:p>
            <w:pPr>
              <w:spacing w:after="0"/>
              <w:rPr>
                <w:sz w:val="5"/>
                <w:szCs w:val="5"/>
                <w:color w:val="auto"/>
              </w:rPr>
            </w:pPr>
          </w:p>
        </w:tc>
        <w:tc>
          <w:tcPr>
            <w:tcW w:w="1680" w:type="dxa"/>
            <w:vAlign w:val="bottom"/>
            <w:tcBorders>
              <w:right w:val="single" w:sz="8" w:color="auto"/>
            </w:tcBorders>
            <w:gridSpan w:val="2"/>
            <w:vMerge w:val="continue"/>
          </w:tcPr>
          <w:p>
            <w:pPr>
              <w:spacing w:after="0"/>
              <w:rPr>
                <w:sz w:val="5"/>
                <w:szCs w:val="5"/>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6880" w:type="dxa"/>
            <w:vAlign w:val="bottom"/>
            <w:vMerge w:val="continue"/>
          </w:tcPr>
          <w:p>
            <w:pPr>
              <w:spacing w:after="0"/>
              <w:rPr>
                <w:sz w:val="14"/>
                <w:szCs w:val="14"/>
                <w:color w:val="auto"/>
              </w:rPr>
            </w:pPr>
          </w:p>
        </w:tc>
        <w:tc>
          <w:tcPr>
            <w:tcW w:w="20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4,761,905</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4,761,905</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8"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60741F104</w:t>
            </w:r>
          </w:p>
        </w:tc>
        <w:tc>
          <w:tcPr>
            <w:tcW w:w="1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60" w:type="dxa"/>
            <w:vAlign w:val="bottom"/>
            <w:tcBorders>
              <w:right w:val="single" w:sz="8" w:color="auto"/>
            </w:tcBorders>
          </w:tcPr>
          <w:p>
            <w:pPr>
              <w:ind w:left="2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17 of 27</w:t>
            </w:r>
          </w:p>
        </w:tc>
      </w:tr>
      <w:tr>
        <w:trPr>
          <w:trHeight w:val="652"/>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920" w:type="dxa"/>
            <w:vAlign w:val="bottom"/>
            <w:gridSpan w:val="4"/>
          </w:tcPr>
          <w:p>
            <w:pPr>
              <w:ind w:left="300"/>
              <w:spacing w:after="0"/>
              <w:rPr>
                <w:sz w:val="20"/>
                <w:szCs w:val="20"/>
                <w:color w:val="auto"/>
              </w:rPr>
            </w:pPr>
            <w:r>
              <w:rPr>
                <w:rFonts w:ascii="Arial" w:cs="Arial" w:eastAsia="Arial" w:hAnsi="Arial"/>
                <w:sz w:val="18"/>
                <w:szCs w:val="18"/>
                <w:b w:val="1"/>
                <w:bCs w:val="1"/>
                <w:color w:val="auto"/>
              </w:rPr>
              <w:t>(a)    NAME OF ISSUER</w:t>
            </w:r>
          </w:p>
        </w:tc>
        <w:tc>
          <w:tcPr>
            <w:tcW w:w="4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392"/>
        </w:trPr>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920" w:type="dxa"/>
            <w:vAlign w:val="bottom"/>
            <w:gridSpan w:val="4"/>
          </w:tcPr>
          <w:p>
            <w:pPr>
              <w:ind w:left="860"/>
              <w:spacing w:after="0"/>
              <w:rPr>
                <w:sz w:val="20"/>
                <w:szCs w:val="20"/>
                <w:color w:val="auto"/>
              </w:rPr>
            </w:pPr>
            <w:r>
              <w:rPr>
                <w:rFonts w:ascii="Arial" w:cs="Arial" w:eastAsia="Arial" w:hAnsi="Arial"/>
                <w:sz w:val="18"/>
                <w:szCs w:val="18"/>
                <w:color w:val="auto"/>
                <w:w w:val="99"/>
              </w:rPr>
              <w:t>Mobileye Global Inc. (the “Company”).</w:t>
            </w:r>
          </w:p>
        </w:tc>
        <w:tc>
          <w:tcPr>
            <w:tcW w:w="426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700" w:hanging="558"/>
        <w:spacing w:after="0"/>
        <w:tabs>
          <w:tab w:leader="none" w:pos="17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rFonts w:ascii="Arial" w:cs="Arial" w:eastAsia="Arial" w:hAnsi="Arial"/>
          <w:sz w:val="18"/>
          <w:szCs w:val="18"/>
          <w:b w:val="1"/>
          <w:bCs w:val="1"/>
          <w:color w:val="auto"/>
        </w:rPr>
      </w:pPr>
    </w:p>
    <w:p>
      <w:pPr>
        <w:ind w:left="1700" w:right="60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Har Hotzvim, 13 Hartom Street, P.O. Box 45157 Jerusalem 9777513, Israel</w:t>
      </w:r>
    </w:p>
    <w:p>
      <w:pPr>
        <w:spacing w:after="0" w:line="166" w:lineRule="exact"/>
        <w:rPr>
          <w:sz w:val="20"/>
          <w:szCs w:val="20"/>
          <w:color w:val="auto"/>
        </w:rPr>
      </w:pPr>
    </w:p>
    <w:p>
      <w:pPr>
        <w:spacing w:after="0"/>
        <w:tabs>
          <w:tab w:leader="none" w:pos="1120" w:val="left"/>
          <w:tab w:leader="none" w:pos="1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7"/>
          <w:szCs w:val="17"/>
          <w:b w:val="1"/>
          <w:bCs w:val="1"/>
          <w:color w:val="auto"/>
        </w:rPr>
        <w:t>NAMES OF PERSONS FILING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Statement is being filed on behalf of each of the following persons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25" w:lineRule="exact"/>
        <w:rPr>
          <w:sz w:val="20"/>
          <w:szCs w:val="20"/>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L.P. (“</w:t>
      </w:r>
      <w:r>
        <w:rPr>
          <w:rFonts w:ascii="Arial" w:cs="Arial" w:eastAsia="Arial" w:hAnsi="Arial"/>
          <w:sz w:val="18"/>
          <w:szCs w:val="18"/>
          <w:u w:val="single" w:color="auto"/>
          <w:color w:val="auto"/>
        </w:rPr>
        <w:t>GA LP</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Partners 100, L.P. (“</w:t>
      </w:r>
      <w:r>
        <w:rPr>
          <w:rFonts w:ascii="Arial" w:cs="Arial" w:eastAsia="Arial" w:hAnsi="Arial"/>
          <w:sz w:val="18"/>
          <w:szCs w:val="18"/>
          <w:u w:val="single" w:color="auto"/>
          <w:color w:val="auto"/>
        </w:rPr>
        <w:t>GAP 100</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Partners (Bermuda) EU, L.P. (“</w:t>
      </w:r>
      <w:r>
        <w:rPr>
          <w:rFonts w:ascii="Arial" w:cs="Arial" w:eastAsia="Arial" w:hAnsi="Arial"/>
          <w:sz w:val="18"/>
          <w:szCs w:val="18"/>
          <w:u w:val="single" w:color="auto"/>
          <w:color w:val="auto"/>
        </w:rPr>
        <w:t>GAP Bermuda EU</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GAP Coinvestments III, LLC (“</w:t>
      </w:r>
      <w:r>
        <w:rPr>
          <w:rFonts w:ascii="Arial" w:cs="Arial" w:eastAsia="Arial" w:hAnsi="Arial"/>
          <w:sz w:val="18"/>
          <w:szCs w:val="18"/>
          <w:u w:val="single" w:color="auto"/>
          <w:color w:val="auto"/>
        </w:rPr>
        <w:t>GAPCO III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GAP Coinvestments IV, LLC (“</w:t>
      </w:r>
      <w:r>
        <w:rPr>
          <w:rFonts w:ascii="Arial" w:cs="Arial" w:eastAsia="Arial" w:hAnsi="Arial"/>
          <w:sz w:val="18"/>
          <w:szCs w:val="18"/>
          <w:u w:val="single" w:color="auto"/>
          <w:color w:val="auto"/>
        </w:rPr>
        <w:t>GAPCO IV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GAP Coinvestments V, LLC (“</w:t>
      </w:r>
      <w:r>
        <w:rPr>
          <w:rFonts w:ascii="Arial" w:cs="Arial" w:eastAsia="Arial" w:hAnsi="Arial"/>
          <w:sz w:val="18"/>
          <w:szCs w:val="18"/>
          <w:u w:val="single" w:color="auto"/>
          <w:color w:val="auto"/>
        </w:rPr>
        <w:t>GAPCO 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GAP Coinvestments CDA, L.P. (“</w:t>
      </w:r>
      <w:r>
        <w:rPr>
          <w:rFonts w:ascii="Arial" w:cs="Arial" w:eastAsia="Arial" w:hAnsi="Arial"/>
          <w:sz w:val="18"/>
          <w:szCs w:val="18"/>
          <w:u w:val="single" w:color="auto"/>
          <w:color w:val="auto"/>
        </w:rPr>
        <w:t>GAPCO CDA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(SPV) GP, LLC (“</w:t>
      </w:r>
      <w:r>
        <w:rPr>
          <w:rFonts w:ascii="Arial" w:cs="Arial" w:eastAsia="Arial" w:hAnsi="Arial"/>
          <w:sz w:val="18"/>
          <w:szCs w:val="18"/>
          <w:u w:val="single" w:color="auto"/>
          <w:color w:val="auto"/>
        </w:rPr>
        <w:t>GA SPV</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GenPar (Bermuda), L.P. (“</w:t>
      </w:r>
      <w:r>
        <w:rPr>
          <w:rFonts w:ascii="Arial" w:cs="Arial" w:eastAsia="Arial" w:hAnsi="Arial"/>
          <w:sz w:val="18"/>
          <w:szCs w:val="18"/>
          <w:u w:val="single" w:color="auto"/>
          <w:color w:val="auto"/>
        </w:rPr>
        <w:t>GenPar Bermuda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GenPar, L.P. (“</w:t>
      </w:r>
      <w:r>
        <w:rPr>
          <w:rFonts w:ascii="Arial" w:cs="Arial" w:eastAsia="Arial" w:hAnsi="Arial"/>
          <w:sz w:val="18"/>
          <w:szCs w:val="18"/>
          <w:u w:val="single" w:color="auto"/>
          <w:color w:val="auto"/>
        </w:rPr>
        <w:t>GA GenPar</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(ME), L.P. (“</w:t>
      </w:r>
      <w:r>
        <w:rPr>
          <w:rFonts w:ascii="Arial" w:cs="Arial" w:eastAsia="Arial" w:hAnsi="Arial"/>
          <w:sz w:val="18"/>
          <w:szCs w:val="18"/>
          <w:u w:val="single" w:color="auto"/>
          <w:color w:val="auto"/>
        </w:rPr>
        <w:t>GA ME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GAP (Bermuda) L.P. (“</w:t>
      </w:r>
      <w:r>
        <w:rPr>
          <w:rFonts w:ascii="Arial" w:cs="Arial" w:eastAsia="Arial" w:hAnsi="Arial"/>
          <w:sz w:val="18"/>
          <w:szCs w:val="18"/>
          <w:u w:val="single" w:color="auto"/>
          <w:color w:val="auto"/>
        </w:rPr>
        <w:t>GAP Bermuda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(Lux) S.à.r.l. (“</w:t>
      </w:r>
      <w:r>
        <w:rPr>
          <w:rFonts w:ascii="Arial" w:cs="Arial" w:eastAsia="Arial" w:hAnsi="Arial"/>
          <w:sz w:val="18"/>
          <w:szCs w:val="18"/>
          <w:u w:val="single" w:color="auto"/>
          <w:color w:val="auto"/>
        </w:rPr>
        <w:t>GA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GenPar (Lux) SCSp (“</w:t>
      </w:r>
      <w:r>
        <w:rPr>
          <w:rFonts w:ascii="Arial" w:cs="Arial" w:eastAsia="Arial" w:hAnsi="Arial"/>
          <w:sz w:val="18"/>
          <w:szCs w:val="18"/>
          <w:u w:val="single" w:color="auto"/>
          <w:color w:val="auto"/>
        </w:rPr>
        <w:t>GA GenPar Lux</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Atlantic Partners (Lux) SCSp (“</w:t>
      </w:r>
      <w:r>
        <w:rPr>
          <w:rFonts w:ascii="Arial" w:cs="Arial" w:eastAsia="Arial" w:hAnsi="Arial"/>
          <w:sz w:val="18"/>
          <w:szCs w:val="18"/>
          <w:u w:val="single" w:color="auto"/>
          <w:color w:val="auto"/>
        </w:rPr>
        <w:t>GAP Lux</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GAP 100, GAP Bermuda EU, GAP Lux, GAPCO III, GAPCO IV, GAPCO V, and GAPCO CDA are collectively referred to as the “</w:t>
      </w:r>
      <w:r>
        <w:rPr>
          <w:rFonts w:ascii="Arial" w:cs="Arial" w:eastAsia="Arial" w:hAnsi="Arial"/>
          <w:sz w:val="18"/>
          <w:szCs w:val="18"/>
          <w:u w:val="single" w:color="auto"/>
          <w:color w:val="auto"/>
        </w:rPr>
        <w:t>GA Funds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528955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7" w:name="page18"/>
    <w:bookmarkEnd w:id="17"/>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18 of 27</w:t>
            </w:r>
          </w:p>
        </w:tc>
      </w:tr>
    </w:tbl>
    <w:p>
      <w:pPr>
        <w:spacing w:after="0" w:line="200" w:lineRule="exact"/>
        <w:rPr>
          <w:sz w:val="20"/>
          <w:szCs w:val="20"/>
          <w:color w:val="auto"/>
        </w:rPr>
      </w:pPr>
    </w:p>
    <w:p>
      <w:pPr>
        <w:spacing w:after="0" w:line="217" w:lineRule="exact"/>
        <w:rPr>
          <w:sz w:val="20"/>
          <w:szCs w:val="20"/>
          <w:color w:val="auto"/>
        </w:rPr>
      </w:pPr>
    </w:p>
    <w:p>
      <w:pPr>
        <w:ind w:left="1700" w:hanging="558"/>
        <w:spacing w:after="0"/>
        <w:tabs>
          <w:tab w:leader="none" w:pos="1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 OR, IF NONE, RESIDENCE</w:t>
      </w:r>
    </w:p>
    <w:p>
      <w:pPr>
        <w:spacing w:after="0" w:line="22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mailing address of GA LP, GAP 100, GAPCO III, GAPCO IV, GAPCO V, GAPCO CDA, GA GenPar, GA SPV and GA ME is c/o General Atlantic Service Company, L.P., 55 East 52nd Street, 33rd Floor, New York, NY 10055. The mailing address of GAP Bermuda EU, GenPar Bermuda and GAP Bermuda is Clarendon House, 2 Church Street, Hamilton HM 11, Bermuda. The mailing address of GA Lux, GA GenPar Lux, and GAP Lux is Luxembourg is 412F, Route d’Esch, L-1471 Luxembourg.</w:t>
      </w:r>
    </w:p>
    <w:p>
      <w:pPr>
        <w:spacing w:after="0" w:line="183" w:lineRule="exact"/>
        <w:rPr>
          <w:sz w:val="20"/>
          <w:szCs w:val="20"/>
          <w:color w:val="auto"/>
        </w:rPr>
      </w:pPr>
    </w:p>
    <w:p>
      <w:pPr>
        <w:ind w:left="1700" w:hanging="558"/>
        <w:spacing w:after="0"/>
        <w:tabs>
          <w:tab w:leader="none" w:pos="17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sz w:val="20"/>
          <w:szCs w:val="20"/>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 LP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 100 -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 Bermuda EU - Bermuda</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GAPCO III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GAPCO IV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GAPCO V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GAPCO CDA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 SPV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GenPar Bermuda - Bermuda</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 GenPar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 ME - Delaware</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 Bermuda - Bermuda</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 Lux – Luxembourg</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 GenPar Lux – Luxembourg</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GAP Lux – Luxembourg</w:t>
      </w:r>
    </w:p>
    <w:p>
      <w:pPr>
        <w:spacing w:after="0" w:line="221" w:lineRule="exact"/>
        <w:rPr>
          <w:sz w:val="20"/>
          <w:szCs w:val="20"/>
          <w:color w:val="auto"/>
        </w:rPr>
      </w:pPr>
    </w:p>
    <w:p>
      <w:pPr>
        <w:ind w:left="1700" w:hanging="558"/>
        <w:spacing w:after="0"/>
        <w:tabs>
          <w:tab w:leader="none" w:pos="17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par value $0.01 per share (the “</w:t>
      </w:r>
      <w:r>
        <w:rPr>
          <w:rFonts w:ascii="Arial" w:cs="Arial" w:eastAsia="Arial" w:hAnsi="Arial"/>
          <w:sz w:val="18"/>
          <w:szCs w:val="18"/>
          <w:u w:val="single" w:color="auto"/>
          <w:color w:val="auto"/>
        </w:rPr>
        <w:t>Class A common shares</w:t>
      </w:r>
      <w:r>
        <w:rPr>
          <w:rFonts w:ascii="Arial" w:cs="Arial" w:eastAsia="Arial" w:hAnsi="Arial"/>
          <w:sz w:val="18"/>
          <w:szCs w:val="18"/>
          <w:color w:val="auto"/>
        </w:rPr>
        <w:t>”).</w:t>
      </w:r>
    </w:p>
    <w:p>
      <w:pPr>
        <w:spacing w:after="0" w:line="221" w:lineRule="exact"/>
        <w:rPr>
          <w:sz w:val="20"/>
          <w:szCs w:val="20"/>
          <w:color w:val="auto"/>
        </w:rPr>
      </w:pPr>
    </w:p>
    <w:p>
      <w:pPr>
        <w:ind w:left="1700" w:hanging="558"/>
        <w:spacing w:after="0"/>
        <w:tabs>
          <w:tab w:leader="none" w:pos="1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CUSIP NUMBER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60741F104.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8" w:name="page19"/>
    <w:bookmarkEnd w:id="18"/>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19 of 27</w:t>
            </w:r>
          </w:p>
        </w:tc>
      </w:tr>
    </w:tbl>
    <w:p>
      <w:pPr>
        <w:spacing w:after="0" w:line="200" w:lineRule="exact"/>
        <w:rPr>
          <w:sz w:val="20"/>
          <w:szCs w:val="20"/>
          <w:color w:val="auto"/>
        </w:rPr>
      </w:pPr>
    </w:p>
    <w:p>
      <w:pPr>
        <w:spacing w:after="0" w:line="217" w:lineRule="exact"/>
        <w:rPr>
          <w:sz w:val="20"/>
          <w:szCs w:val="20"/>
          <w:color w:val="auto"/>
        </w:rPr>
      </w:pPr>
    </w:p>
    <w:p>
      <w:pPr>
        <w:ind w:left="1140" w:right="3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RULES 13d-1(b) OR 13d-2(b) OR (c), CHECK WHETHER THE PERSON FILING 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7, 2022, the Reporting Persons owned the following number of the Company’s common stock:</w:t>
      </w:r>
    </w:p>
    <w:p>
      <w:pPr>
        <w:spacing w:after="0" w:line="225" w:lineRule="exact"/>
        <w:rPr>
          <w:sz w:val="20"/>
          <w:szCs w:val="20"/>
          <w:color w:val="auto"/>
        </w:rPr>
      </w:pPr>
    </w:p>
    <w:p>
      <w:pPr>
        <w:ind w:left="1700" w:hanging="55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 LP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GAP 100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GAP Bermuda EU owned of record no Class A common shares or 0.0% of the issued and outstanding Class A common shares.</w:t>
      </w:r>
    </w:p>
    <w:p>
      <w:pPr>
        <w:spacing w:after="0" w:line="248" w:lineRule="exact"/>
        <w:rPr>
          <w:rFonts w:ascii="Arial" w:cs="Arial" w:eastAsia="Arial" w:hAnsi="Arial"/>
          <w:sz w:val="16"/>
          <w:szCs w:val="16"/>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GAPCO III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GAPCO IV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GAPCO V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GAPCO CDA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 SPV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GenPar Bermuda owned of record no Class A common shares or 0.0% of the issued and outstanding Class A common shares.</w:t>
      </w:r>
    </w:p>
    <w:p>
      <w:pPr>
        <w:spacing w:after="0" w:line="248" w:lineRule="exact"/>
        <w:rPr>
          <w:rFonts w:ascii="Arial" w:cs="Arial" w:eastAsia="Arial" w:hAnsi="Arial"/>
          <w:sz w:val="16"/>
          <w:szCs w:val="16"/>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 GenPar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 ME owned of record 4,761,905 Class A common shares or 10.4%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GAP Bermuda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 Lux owned of record no Class A common shares or 0.0% of the issued and outstanding Class A common shares.</w:t>
      </w:r>
    </w:p>
    <w:p>
      <w:pPr>
        <w:spacing w:after="0" w:line="225" w:lineRule="exact"/>
        <w:rPr>
          <w:rFonts w:ascii="Arial" w:cs="Arial" w:eastAsia="Arial" w:hAnsi="Arial"/>
          <w:sz w:val="18"/>
          <w:szCs w:val="18"/>
          <w:color w:val="auto"/>
        </w:rPr>
      </w:pPr>
    </w:p>
    <w:p>
      <w:pPr>
        <w:ind w:left="1700" w:hanging="558"/>
        <w:spacing w:after="0"/>
        <w:tabs>
          <w:tab w:leader="none" w:pos="1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GA GenPar Lux owned of record no Class A common shares or 0.0% of the issued and outstanding Class A common shares.</w:t>
      </w:r>
    </w:p>
    <w:p>
      <w:pPr>
        <w:spacing w:after="0" w:line="236" w:lineRule="exact"/>
        <w:rPr>
          <w:rFonts w:ascii="Arial" w:cs="Arial" w:eastAsia="Arial" w:hAnsi="Arial"/>
          <w:sz w:val="17"/>
          <w:szCs w:val="17"/>
          <w:color w:val="auto"/>
        </w:rPr>
      </w:pPr>
    </w:p>
    <w:p>
      <w:pPr>
        <w:ind w:left="1700" w:hanging="55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GAP Lux owned of record no Class A common shares or 0.0% of the issued and outstanding Class A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19" w:name="page20"/>
    <w:bookmarkEnd w:id="19"/>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20 of 27</w:t>
            </w:r>
          </w:p>
        </w:tc>
      </w:tr>
    </w:tbl>
    <w:p>
      <w:pPr>
        <w:spacing w:after="0" w:line="200" w:lineRule="exact"/>
        <w:rPr>
          <w:sz w:val="20"/>
          <w:szCs w:val="20"/>
          <w:color w:val="auto"/>
        </w:rPr>
      </w:pPr>
    </w:p>
    <w:p>
      <w:pPr>
        <w:spacing w:after="0" w:line="22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GA Funds share beneficial ownership of the common shares held by GA ME. The general partner of GA ME is GA SPV. The general partner of GAP 100 is GA GenPar. The general partner of GAP Lux is GA GenPar Lux, and the general partner of GA GenPar Lux is GA Lux. The general partner of GAP Bermuda EU and the sole shareholder of GA Lux is GenPar Bermuda. GA LP, which is controlled by the Management Committee of GASC MGP, LLC (the “</w:t>
      </w:r>
      <w:r>
        <w:rPr>
          <w:rFonts w:ascii="Arial" w:cs="Arial" w:eastAsia="Arial" w:hAnsi="Arial"/>
          <w:sz w:val="16"/>
          <w:szCs w:val="16"/>
          <w:u w:val="single" w:color="auto"/>
          <w:color w:val="auto"/>
        </w:rPr>
        <w:t>Mana</w:t>
      </w:r>
      <w:r>
        <w:rPr>
          <w:rFonts w:ascii="Arial" w:cs="Arial" w:eastAsia="Arial" w:hAnsi="Arial"/>
          <w:sz w:val="16"/>
          <w:szCs w:val="16"/>
          <w:color w:val="auto"/>
        </w:rPr>
        <w:t>g</w:t>
      </w:r>
      <w:r>
        <w:rPr>
          <w:rFonts w:ascii="Arial" w:cs="Arial" w:eastAsia="Arial" w:hAnsi="Arial"/>
          <w:sz w:val="16"/>
          <w:szCs w:val="16"/>
          <w:u w:val="single" w:color="auto"/>
          <w:color w:val="auto"/>
        </w:rPr>
        <w:t>ement Committee</w:t>
      </w:r>
      <w:r>
        <w:rPr>
          <w:rFonts w:ascii="Arial" w:cs="Arial" w:eastAsia="Arial" w:hAnsi="Arial"/>
          <w:sz w:val="16"/>
          <w:szCs w:val="16"/>
          <w:color w:val="auto"/>
        </w:rPr>
        <w:t>”), is the managing member of GAPCO III, GAPCO IV and GAPCO V, the general partner of GAPCO CDA and GA GenPar, and the sole member of GA SPV. The general partner of GenPar Bermuda is GAP Bermuda, which is also controlled by the Management Committee. There are nine members of the Management Committee. By virtue of the foregoing, the Reporting Persons may be deemed to share voting power and the power to direct the disposition of the shares that each owns of record. Each of the members of the Management Committee disclaims ownership of the common shares reported herein except to the extent he has a pecuniary interest therein. The name, the business address and the citizenship of each of the members of the Management Committee as of the date hereof is attached hereto as Schedule A and is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Amount Beneficially Owned</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By virtue of the relationship described above, each of the Reporting Persons may be deemed to beneficially own 4,761,905 Class A common shares.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Percentage Owned</w:t>
      </w:r>
      <w:r>
        <w:rPr>
          <w:rFonts w:ascii="Arial" w:cs="Arial" w:eastAsia="Arial" w:hAnsi="Arial"/>
          <w:sz w:val="18"/>
          <w:szCs w:val="18"/>
          <w:color w:val="auto"/>
        </w:rPr>
        <w:t>:</w:t>
      </w:r>
    </w:p>
    <w:p>
      <w:pPr>
        <w:spacing w:after="0" w:line="22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 percentages used herein are calculated based upon on an aggregate of 45,761,905 Class A common shares reported by the Company to be outstanding following the completion of the Company’s initial public offering and a concurrent private placement, as reflected in the Company's 424(b)(4) Prospectus, filed with the U.S. Securities and Exchange Commission on October 27, 2022.</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Number of Shares as to Which Such Person Has Sole/Shared Power to Vote or to Direct the Vote and Sole/Shared Power to Dispose or to Direct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 of</w:t>
      </w:r>
      <w:r>
        <w:rPr>
          <w:rFonts w:ascii="Arial" w:cs="Arial" w:eastAsia="Arial" w:hAnsi="Arial"/>
          <w:sz w:val="18"/>
          <w:szCs w:val="18"/>
          <w:color w:val="auto"/>
        </w:rPr>
        <w:t>:</w:t>
      </w:r>
    </w:p>
    <w:p>
      <w:pPr>
        <w:spacing w:after="0" w:line="211" w:lineRule="exact"/>
        <w:rPr>
          <w:sz w:val="20"/>
          <w:szCs w:val="20"/>
          <w:color w:val="auto"/>
        </w:rPr>
      </w:pPr>
    </w:p>
    <w:p>
      <w:pPr>
        <w:ind w:left="580" w:right="26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Reporting Persons may be deemed to have the sole power to direct the voting and dispositions of the common shares as indicated on such Reporting Person’s cover page included herein.</w:t>
      </w:r>
    </w:p>
    <w:p>
      <w:pPr>
        <w:spacing w:after="0" w:line="170" w:lineRule="exact"/>
        <w:rPr>
          <w:rFonts w:ascii="Arial" w:cs="Arial" w:eastAsia="Arial" w:hAnsi="Arial"/>
          <w:sz w:val="18"/>
          <w:szCs w:val="18"/>
          <w:color w:val="auto"/>
        </w:rPr>
      </w:pPr>
    </w:p>
    <w:p>
      <w:pPr>
        <w:ind w:left="580" w:right="320" w:hanging="572"/>
        <w:spacing w:after="0" w:line="277"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Reporting Persons may be deemed to share the power to direct the voting and dispositions of the 4,761,905 Class A common shares that may be deemed to be owned beneficially by each of them.</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0" w:name="page21"/>
    <w:bookmarkEnd w:id="20"/>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21 of 27</w:t>
            </w:r>
          </w:p>
        </w:tc>
      </w:tr>
    </w:tbl>
    <w:p>
      <w:pPr>
        <w:spacing w:after="0" w:line="200" w:lineRule="exact"/>
        <w:rPr>
          <w:sz w:val="20"/>
          <w:szCs w:val="20"/>
          <w:color w:val="auto"/>
        </w:rPr>
      </w:pPr>
    </w:p>
    <w:p>
      <w:pPr>
        <w:spacing w:after="0" w:line="2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right="9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Item 4, which states the identity of the members of the group filing this Schedule 13G.</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1" w:name="page22"/>
    <w:bookmarkEnd w:id="21"/>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22 of 27</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Exhibit 1.</w:t>
      </w:r>
      <w:r>
        <w:rPr>
          <w:sz w:val="20"/>
          <w:szCs w:val="20"/>
          <w:color w:val="auto"/>
        </w:rPr>
        <w:tab/>
      </w:r>
      <w:r>
        <w:rPr>
          <w:rFonts w:ascii="Arial" w:cs="Arial" w:eastAsia="Arial" w:hAnsi="Arial"/>
          <w:sz w:val="16"/>
          <w:szCs w:val="16"/>
          <w:color w:val="auto"/>
        </w:rPr>
        <w:t>Joint Filing Agreement as required by Rule 13d-1(k)(1)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22" w:name="page23"/>
    <w:bookmarkEnd w:id="22"/>
    <w:tbl>
      <w:tblPr>
        <w:tblLayout w:type="fixed"/>
        <w:tblInd w:w="30" w:type="dxa"/>
        <w:tblCellMar>
          <w:top w:w="0" w:type="dxa"/>
          <w:left w:w="0" w:type="dxa"/>
          <w:bottom w:w="0" w:type="dxa"/>
          <w:right w:w="0" w:type="dxa"/>
        </w:tblCellMar>
      </w:tblPr>
      <w:tr>
        <w:trPr>
          <w:trHeight w:val="243"/>
        </w:trPr>
        <w:tc>
          <w:tcPr>
            <w:tcW w:w="224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CUSIP No. 60741F104</w:t>
            </w:r>
          </w:p>
        </w:tc>
        <w:tc>
          <w:tcPr>
            <w:tcW w:w="6760" w:type="dxa"/>
            <w:vAlign w:val="bottom"/>
            <w:tcBorders>
              <w:right w:val="single" w:sz="8" w:color="auto"/>
            </w:tcBorders>
          </w:tcPr>
          <w:p>
            <w:pPr>
              <w:ind w:left="2700"/>
              <w:spacing w:after="0"/>
              <w:rPr>
                <w:sz w:val="20"/>
                <w:szCs w:val="20"/>
                <w:color w:val="auto"/>
              </w:rPr>
            </w:pPr>
            <w:r>
              <w:rPr>
                <w:rFonts w:ascii="Arial" w:cs="Arial" w:eastAsia="Arial" w:hAnsi="Arial"/>
                <w:sz w:val="18"/>
                <w:szCs w:val="18"/>
                <w:b w:val="1"/>
                <w:bCs w:val="1"/>
                <w:color w:val="auto"/>
              </w:rPr>
              <w:t>SCHEDULE 13G</w:t>
            </w:r>
          </w:p>
        </w:tc>
        <w:tc>
          <w:tcPr>
            <w:tcW w:w="2220" w:type="dxa"/>
            <w:vAlign w:val="bottom"/>
            <w:tcBorders>
              <w:top w:val="single" w:sz="8" w:color="auto"/>
              <w:bottom w:val="single" w:sz="8" w:color="auto"/>
              <w:right w:val="single" w:sz="8" w:color="auto"/>
            </w:tcBorders>
          </w:tcPr>
          <w:p>
            <w:pPr>
              <w:ind w:left="1200"/>
              <w:spacing w:after="0"/>
              <w:rPr>
                <w:sz w:val="20"/>
                <w:szCs w:val="20"/>
                <w:color w:val="auto"/>
              </w:rPr>
            </w:pPr>
            <w:r>
              <w:rPr>
                <w:rFonts w:ascii="Arial" w:cs="Arial" w:eastAsia="Arial" w:hAnsi="Arial"/>
                <w:sz w:val="18"/>
                <w:szCs w:val="18"/>
                <w:color w:val="auto"/>
                <w:w w:val="87"/>
              </w:rPr>
              <w:t>Page 23 of 27</w:t>
            </w:r>
          </w:p>
        </w:tc>
      </w:tr>
    </w:tbl>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129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as of November 7,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100,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GENPAR, L.P., its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GENPAR (BERMUDA),</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8" w:right="339" w:bottom="1440" w:gutter="0" w:footer="0" w:header="0"/>
        </w:sectPr>
      </w:pPr>
    </w:p>
    <w:bookmarkStart w:id="23" w:name="page24"/>
    <w:bookmarkEnd w:id="23"/>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24 of 27</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III,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IV,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V,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GAP COINVESTMENTS CDA,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485775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4" w:name="page25"/>
    <w:bookmarkEnd w:id="24"/>
    <w:p>
      <w:pPr>
        <w:spacing w:after="0"/>
        <w:tabs>
          <w:tab w:leader="none" w:pos="4900" w:val="left"/>
          <w:tab w:leader="none" w:pos="101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25 of 27</w:t>
      </w:r>
    </w:p>
    <w:p>
      <w:pPr>
        <w:sectPr>
          <w:pgSz w:w="11900" w:h="16838" w:orient="portrait"/>
          <w:cols w:equalWidth="0" w:num="1">
            <w:col w:w="11180"/>
          </w:cols>
          <w:pgMar w:left="360" w:top="823" w:right="3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(SPV) GP, LLC</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GENPAR (BERMUDA), L.P.</w:t>
      </w:r>
    </w:p>
    <w:p>
      <w:pPr>
        <w:spacing w:after="0" w:line="229" w:lineRule="exact"/>
        <w:rPr>
          <w:sz w:val="20"/>
          <w:szCs w:val="20"/>
          <w:color w:val="auto"/>
        </w:rPr>
      </w:pPr>
    </w:p>
    <w:tbl>
      <w:tblPr>
        <w:tblLayout w:type="fixed"/>
        <w:tblInd w:w="56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ATLANTIC GENPAR, L.P.</w:t>
      </w:r>
    </w:p>
    <w:p>
      <w:pPr>
        <w:spacing w:after="0" w:line="229"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560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14605</wp:posOffset>
            </wp:positionV>
            <wp:extent cx="24860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160"/>
        <w:spacing w:after="0"/>
        <w:tabs>
          <w:tab w:leader="none" w:pos="6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485775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23" w:right="359" w:bottom="1440" w:gutter="0" w:footer="0" w:header="0"/>
          <w:type w:val="continuous"/>
        </w:sectPr>
      </w:pPr>
    </w:p>
    <w:bookmarkStart w:id="25" w:name="page26"/>
    <w:bookmarkEnd w:id="25"/>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519430</wp:posOffset>
            </wp:positionV>
            <wp:extent cx="1426845" cy="167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519430</wp:posOffset>
            </wp:positionV>
            <wp:extent cx="1418590" cy="167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26 of 27</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(ME),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(SPV) GP, LLC, its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GAP (BERMUDA)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GP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jc w:val="center"/>
        <w:ind w:left="30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(LUX) S.À R.L.</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w w:val="98"/>
              </w:rPr>
              <w:t>GENERAL ATLANTIC (LUX) S.À R.L., its general</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1"/>
              </w:rPr>
              <w:t>partner</w:t>
            </w:r>
          </w:p>
        </w:tc>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type w:val="continuous"/>
        </w:sectPr>
      </w:pPr>
    </w:p>
    <w:bookmarkStart w:id="26" w:name="page27"/>
    <w:bookmarkEnd w:id="26"/>
    <w:p>
      <w:pPr>
        <w:ind w:left="40"/>
        <w:spacing w:after="0"/>
        <w:tabs>
          <w:tab w:leader="none" w:pos="4940" w:val="left"/>
          <w:tab w:leader="none" w:pos="102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536575</wp:posOffset>
            </wp:positionV>
            <wp:extent cx="1426845" cy="167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26845" cy="167005"/>
                    </a:xfrm>
                    <a:prstGeom prst="rect">
                      <a:avLst/>
                    </a:prstGeom>
                    <a:noFill/>
                  </pic:spPr>
                </pic:pic>
              </a:graphicData>
            </a:graphic>
          </wp:anchor>
        </w:drawing>
        <w:drawing>
          <wp:anchor simplePos="0" relativeHeight="251657728" behindDoc="1" locked="0" layoutInCell="0" allowOverlap="1">
            <wp:simplePos x="0" y="0"/>
            <wp:positionH relativeFrom="page">
              <wp:posOffset>5919470</wp:posOffset>
            </wp:positionH>
            <wp:positionV relativeFrom="page">
              <wp:posOffset>536575</wp:posOffset>
            </wp:positionV>
            <wp:extent cx="1418590" cy="167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8590" cy="167005"/>
                    </a:xfrm>
                    <a:prstGeom prst="rect">
                      <a:avLst/>
                    </a:prstGeom>
                    <a:noFill/>
                  </pic:spPr>
                </pic:pic>
              </a:graphicData>
            </a:graphic>
          </wp:anchor>
        </w:drawing>
        <w:t>CUSIP No. 60741F104</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6"/>
          <w:szCs w:val="16"/>
          <w:color w:val="auto"/>
        </w:rPr>
        <w:t>Page 27 of 27</w:t>
      </w:r>
    </w:p>
    <w:p>
      <w:pPr>
        <w:sectPr>
          <w:pgSz w:w="11900" w:h="16838" w:orient="portrait"/>
          <w:cols w:equalWidth="0" w:num="1">
            <w:col w:w="11240"/>
          </w:cols>
          <w:pgMar w:left="320" w:top="850"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GENERAL ATLANTIC GENPAR (LUX) SCSp, its</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0"/>
                <w:szCs w:val="20"/>
                <w:color w:val="auto"/>
              </w:rPr>
            </w:pPr>
          </w:p>
        </w:tc>
      </w:tr>
      <w:tr>
        <w:trPr>
          <w:trHeight w:val="418"/>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(LUX) S.À R.L., its general</w:t>
            </w:r>
          </w:p>
        </w:tc>
        <w:tc>
          <w:tcPr>
            <w:tcW w:w="1120" w:type="dxa"/>
            <w:vAlign w:val="bottom"/>
          </w:tcPr>
          <w:p>
            <w:pPr>
              <w:spacing w:after="0"/>
              <w:rPr>
                <w:sz w:val="24"/>
                <w:szCs w:val="24"/>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 Dalrymple</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Gregor Dalrymple</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50" w:right="339" w:bottom="1440" w:gutter="0" w:footer="0" w:header="0"/>
          <w:type w:val="continuous"/>
        </w:sectPr>
      </w:pPr>
    </w:p>
    <w:bookmarkStart w:id="27" w:name="page28"/>
    <w:bookmarkEnd w:id="2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520" w:type="dxa"/>
            <w:vAlign w:val="bottom"/>
            <w:gridSpan w:val="2"/>
          </w:tcPr>
          <w:p>
            <w:pPr>
              <w:jc w:val="center"/>
              <w:ind w:right="1360"/>
              <w:spacing w:after="0"/>
              <w:rPr>
                <w:sz w:val="20"/>
                <w:szCs w:val="20"/>
                <w:color w:val="auto"/>
              </w:rPr>
            </w:pPr>
            <w:r>
              <w:rPr>
                <w:rFonts w:ascii="Arial" w:cs="Arial" w:eastAsia="Arial" w:hAnsi="Arial"/>
                <w:sz w:val="18"/>
                <w:szCs w:val="18"/>
                <w:b w:val="1"/>
                <w:bCs w:val="1"/>
                <w:color w:val="auto"/>
                <w:w w:val="99"/>
              </w:rPr>
              <w:t>SCHEDULE A</w:t>
            </w:r>
          </w:p>
        </w:tc>
        <w:tc>
          <w:tcPr>
            <w:tcW w:w="3680" w:type="dxa"/>
            <w:vAlign w:val="bottom"/>
          </w:tcPr>
          <w:p>
            <w:pPr>
              <w:spacing w:after="0"/>
              <w:rPr>
                <w:sz w:val="17"/>
                <w:szCs w:val="17"/>
                <w:color w:val="auto"/>
              </w:rPr>
            </w:pPr>
          </w:p>
        </w:tc>
      </w:tr>
      <w:tr>
        <w:trPr>
          <w:trHeight w:val="20"/>
        </w:trPr>
        <w:tc>
          <w:tcPr>
            <w:tcW w:w="25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r>
      <w:tr>
        <w:trPr>
          <w:trHeight w:val="453"/>
        </w:trPr>
        <w:tc>
          <w:tcPr>
            <w:tcW w:w="2580" w:type="dxa"/>
            <w:vAlign w:val="bottom"/>
          </w:tcPr>
          <w:p>
            <w:pPr>
              <w:spacing w:after="0"/>
              <w:rPr>
                <w:sz w:val="24"/>
                <w:szCs w:val="24"/>
                <w:color w:val="auto"/>
              </w:rPr>
            </w:pPr>
          </w:p>
        </w:tc>
        <w:tc>
          <w:tcPr>
            <w:tcW w:w="8660" w:type="dxa"/>
            <w:vAlign w:val="bottom"/>
            <w:gridSpan w:val="5"/>
          </w:tcPr>
          <w:p>
            <w:pPr>
              <w:jc w:val="center"/>
              <w:ind w:right="2470"/>
              <w:spacing w:after="0"/>
              <w:rPr>
                <w:sz w:val="20"/>
                <w:szCs w:val="20"/>
                <w:color w:val="auto"/>
              </w:rPr>
            </w:pPr>
            <w:r>
              <w:rPr>
                <w:rFonts w:ascii="Arial" w:cs="Arial" w:eastAsia="Arial" w:hAnsi="Arial"/>
                <w:sz w:val="18"/>
                <w:szCs w:val="18"/>
                <w:b w:val="1"/>
                <w:bCs w:val="1"/>
                <w:i w:val="1"/>
                <w:iCs w:val="1"/>
                <w:color w:val="auto"/>
                <w:w w:val="87"/>
              </w:rPr>
              <w:t>Members of the Management Committee (as of the date hereof)</w:t>
            </w:r>
          </w:p>
        </w:tc>
      </w:tr>
      <w:tr>
        <w:trPr>
          <w:trHeight w:val="223"/>
        </w:trPr>
        <w:tc>
          <w:tcPr>
            <w:tcW w:w="2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25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Name</w:t>
            </w:r>
          </w:p>
        </w:tc>
        <w:tc>
          <w:tcPr>
            <w:tcW w:w="1160" w:type="dxa"/>
            <w:vAlign w:val="bottom"/>
            <w:tcBorders>
              <w:bottom w:val="single" w:sz="8" w:color="auto"/>
              <w:right w:val="single" w:sz="8" w:color="auto"/>
            </w:tcBorders>
          </w:tcPr>
          <w:p>
            <w:pPr>
              <w:spacing w:after="0"/>
              <w:rPr>
                <w:sz w:val="19"/>
                <w:szCs w:val="19"/>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b w:val="1"/>
                <w:bCs w:val="1"/>
                <w:color w:val="auto"/>
              </w:rPr>
              <w:t>Business Address</w:t>
            </w:r>
          </w:p>
        </w:tc>
        <w:tc>
          <w:tcPr>
            <w:tcW w:w="36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Citizenship</w:t>
            </w:r>
          </w:p>
        </w:tc>
      </w:tr>
      <w:tr>
        <w:trPr>
          <w:trHeight w:val="202"/>
        </w:trPr>
        <w:tc>
          <w:tcPr>
            <w:tcW w:w="258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William E. Ford</w:t>
            </w:r>
          </w:p>
        </w:tc>
        <w:tc>
          <w:tcPr>
            <w:tcW w:w="116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80" w:type="dxa"/>
            <w:vAlign w:val="bottom"/>
            <w:tcBorders>
              <w:left w:val="single" w:sz="8" w:color="auto"/>
            </w:tcBorders>
            <w:shd w:val="clear" w:color="auto" w:fill="C6F4F9"/>
          </w:tcPr>
          <w:p>
            <w:pPr>
              <w:ind w:left="40"/>
              <w:spacing w:after="0"/>
              <w:rPr>
                <w:sz w:val="20"/>
                <w:szCs w:val="20"/>
                <w:color w:val="auto"/>
              </w:rPr>
            </w:pPr>
            <w:r>
              <w:rPr>
                <w:rFonts w:ascii="Arial" w:cs="Arial" w:eastAsia="Arial" w:hAnsi="Arial"/>
                <w:sz w:val="18"/>
                <w:szCs w:val="18"/>
                <w:color w:val="auto"/>
              </w:rPr>
              <w:t>(Chief Executive Officer)</w:t>
            </w:r>
          </w:p>
        </w:tc>
        <w:tc>
          <w:tcPr>
            <w:tcW w:w="116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80" w:type="dxa"/>
            <w:vAlign w:val="bottom"/>
            <w:tcBorders>
              <w:left w:val="single" w:sz="8" w:color="auto"/>
              <w:bottom w:val="single" w:sz="8" w:color="auto"/>
            </w:tcBorders>
            <w:shd w:val="clear" w:color="auto" w:fill="C6F4F9"/>
          </w:tcPr>
          <w:p>
            <w:pPr>
              <w:spacing w:after="0"/>
              <w:rPr>
                <w:sz w:val="20"/>
                <w:szCs w:val="20"/>
                <w:color w:val="auto"/>
              </w:rPr>
            </w:pPr>
          </w:p>
        </w:tc>
        <w:tc>
          <w:tcPr>
            <w:tcW w:w="116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Gabriel Caillaux</w:t>
            </w:r>
          </w:p>
        </w:tc>
        <w:tc>
          <w:tcPr>
            <w:tcW w:w="116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23 Savile Row</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France</w:t>
            </w:r>
          </w:p>
        </w:tc>
      </w:tr>
      <w:tr>
        <w:trPr>
          <w:trHeight w:val="216"/>
        </w:trPr>
        <w:tc>
          <w:tcPr>
            <w:tcW w:w="258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London W1S 2ET</w:t>
            </w:r>
          </w:p>
        </w:tc>
        <w:tc>
          <w:tcPr>
            <w:tcW w:w="3680" w:type="dxa"/>
            <w:vAlign w:val="bottom"/>
            <w:tcBorders>
              <w:right w:val="single" w:sz="8" w:color="auto"/>
            </w:tcBorders>
          </w:tcPr>
          <w:p>
            <w:pPr>
              <w:spacing w:after="0"/>
              <w:rPr>
                <w:sz w:val="18"/>
                <w:szCs w:val="18"/>
                <w:color w:val="auto"/>
              </w:rPr>
            </w:pPr>
          </w:p>
        </w:tc>
      </w:tr>
      <w:tr>
        <w:trPr>
          <w:trHeight w:val="237"/>
        </w:trPr>
        <w:tc>
          <w:tcPr>
            <w:tcW w:w="2580" w:type="dxa"/>
            <w:vAlign w:val="bottom"/>
            <w:tcBorders>
              <w:left w:val="single" w:sz="8" w:color="auto"/>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United Kingdom</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8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Andrew Crawford</w:t>
            </w:r>
          </w:p>
        </w:tc>
        <w:tc>
          <w:tcPr>
            <w:tcW w:w="116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80" w:type="dxa"/>
            <w:vAlign w:val="bottom"/>
            <w:tcBorders>
              <w:left w:val="single" w:sz="8" w:color="auto"/>
            </w:tcBorders>
            <w:shd w:val="clear" w:color="auto" w:fill="C6F4F9"/>
          </w:tcPr>
          <w:p>
            <w:pPr>
              <w:spacing w:after="0"/>
              <w:rPr>
                <w:sz w:val="18"/>
                <w:szCs w:val="18"/>
                <w:color w:val="auto"/>
              </w:rPr>
            </w:pPr>
          </w:p>
        </w:tc>
        <w:tc>
          <w:tcPr>
            <w:tcW w:w="116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80" w:type="dxa"/>
            <w:vAlign w:val="bottom"/>
            <w:tcBorders>
              <w:left w:val="single" w:sz="8" w:color="auto"/>
              <w:bottom w:val="single" w:sz="8" w:color="auto"/>
            </w:tcBorders>
            <w:shd w:val="clear" w:color="auto" w:fill="C6F4F9"/>
          </w:tcPr>
          <w:p>
            <w:pPr>
              <w:spacing w:after="0"/>
              <w:rPr>
                <w:sz w:val="20"/>
                <w:szCs w:val="20"/>
                <w:color w:val="auto"/>
              </w:rPr>
            </w:pPr>
          </w:p>
        </w:tc>
        <w:tc>
          <w:tcPr>
            <w:tcW w:w="116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Martin Escobari</w:t>
            </w:r>
          </w:p>
        </w:tc>
        <w:tc>
          <w:tcPr>
            <w:tcW w:w="116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Bolivia and Brazil</w:t>
            </w:r>
          </w:p>
        </w:tc>
      </w:tr>
      <w:tr>
        <w:trPr>
          <w:trHeight w:val="216"/>
        </w:trPr>
        <w:tc>
          <w:tcPr>
            <w:tcW w:w="258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37"/>
        </w:trPr>
        <w:tc>
          <w:tcPr>
            <w:tcW w:w="2580" w:type="dxa"/>
            <w:vAlign w:val="bottom"/>
            <w:tcBorders>
              <w:left w:val="single" w:sz="8" w:color="auto"/>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8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Anton J. Levy</w:t>
            </w:r>
          </w:p>
        </w:tc>
        <w:tc>
          <w:tcPr>
            <w:tcW w:w="116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80" w:type="dxa"/>
            <w:vAlign w:val="bottom"/>
            <w:tcBorders>
              <w:left w:val="single" w:sz="8" w:color="auto"/>
            </w:tcBorders>
            <w:shd w:val="clear" w:color="auto" w:fill="C6F4F9"/>
          </w:tcPr>
          <w:p>
            <w:pPr>
              <w:spacing w:after="0"/>
              <w:rPr>
                <w:sz w:val="18"/>
                <w:szCs w:val="18"/>
                <w:color w:val="auto"/>
              </w:rPr>
            </w:pPr>
          </w:p>
        </w:tc>
        <w:tc>
          <w:tcPr>
            <w:tcW w:w="116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80" w:type="dxa"/>
            <w:vAlign w:val="bottom"/>
            <w:tcBorders>
              <w:left w:val="single" w:sz="8" w:color="auto"/>
              <w:bottom w:val="single" w:sz="8" w:color="auto"/>
            </w:tcBorders>
            <w:shd w:val="clear" w:color="auto" w:fill="C6F4F9"/>
          </w:tcPr>
          <w:p>
            <w:pPr>
              <w:spacing w:after="0"/>
              <w:rPr>
                <w:sz w:val="20"/>
                <w:szCs w:val="20"/>
                <w:color w:val="auto"/>
              </w:rPr>
            </w:pPr>
          </w:p>
        </w:tc>
        <w:tc>
          <w:tcPr>
            <w:tcW w:w="116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Sandeep Naik</w:t>
            </w:r>
          </w:p>
        </w:tc>
        <w:tc>
          <w:tcPr>
            <w:tcW w:w="116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Asia Square Tower 1</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8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8 Marina View, #41-04</w:t>
            </w:r>
          </w:p>
        </w:tc>
        <w:tc>
          <w:tcPr>
            <w:tcW w:w="3680" w:type="dxa"/>
            <w:vAlign w:val="bottom"/>
            <w:tcBorders>
              <w:right w:val="single" w:sz="8" w:color="auto"/>
            </w:tcBorders>
          </w:tcPr>
          <w:p>
            <w:pPr>
              <w:spacing w:after="0"/>
              <w:rPr>
                <w:sz w:val="18"/>
                <w:szCs w:val="18"/>
                <w:color w:val="auto"/>
              </w:rPr>
            </w:pPr>
          </w:p>
        </w:tc>
      </w:tr>
      <w:tr>
        <w:trPr>
          <w:trHeight w:val="237"/>
        </w:trPr>
        <w:tc>
          <w:tcPr>
            <w:tcW w:w="2580" w:type="dxa"/>
            <w:vAlign w:val="bottom"/>
            <w:tcBorders>
              <w:left w:val="single" w:sz="8" w:color="auto"/>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Singapore 018960</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80" w:type="dxa"/>
            <w:vAlign w:val="bottom"/>
            <w:tcBorders>
              <w:left w:val="single" w:sz="8" w:color="auto"/>
            </w:tcBorders>
            <w:shd w:val="clear" w:color="auto" w:fill="C6F4F9"/>
          </w:tcPr>
          <w:p>
            <w:pPr>
              <w:ind w:left="40"/>
              <w:spacing w:after="0" w:line="201" w:lineRule="exact"/>
              <w:rPr>
                <w:sz w:val="20"/>
                <w:szCs w:val="20"/>
                <w:color w:val="auto"/>
              </w:rPr>
            </w:pPr>
            <w:r>
              <w:rPr>
                <w:rFonts w:ascii="Arial" w:cs="Arial" w:eastAsia="Arial" w:hAnsi="Arial"/>
                <w:sz w:val="18"/>
                <w:szCs w:val="18"/>
                <w:color w:val="auto"/>
              </w:rPr>
              <w:t>Graves Tompkins</w:t>
            </w:r>
          </w:p>
        </w:tc>
        <w:tc>
          <w:tcPr>
            <w:tcW w:w="1160" w:type="dxa"/>
            <w:vAlign w:val="bottom"/>
            <w:tcBorders>
              <w:right w:val="single" w:sz="8" w:color="auto"/>
            </w:tcBorders>
            <w:shd w:val="clear" w:color="auto" w:fill="C6F4F9"/>
          </w:tcPr>
          <w:p>
            <w:pPr>
              <w:spacing w:after="0"/>
              <w:rPr>
                <w:sz w:val="17"/>
                <w:szCs w:val="17"/>
                <w:color w:val="auto"/>
              </w:rPr>
            </w:pPr>
          </w:p>
        </w:tc>
        <w:tc>
          <w:tcPr>
            <w:tcW w:w="3820" w:type="dxa"/>
            <w:vAlign w:val="bottom"/>
            <w:tcBorders>
              <w:right w:val="single" w:sz="8" w:color="auto"/>
            </w:tcBorders>
            <w:gridSpan w:val="3"/>
            <w:shd w:val="clear" w:color="auto" w:fill="C6F4F9"/>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shd w:val="clear" w:color="auto" w:fill="C6F4F9"/>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80" w:type="dxa"/>
            <w:vAlign w:val="bottom"/>
            <w:tcBorders>
              <w:left w:val="single" w:sz="8" w:color="auto"/>
            </w:tcBorders>
            <w:shd w:val="clear" w:color="auto" w:fill="C6F4F9"/>
          </w:tcPr>
          <w:p>
            <w:pPr>
              <w:spacing w:after="0"/>
              <w:rPr>
                <w:sz w:val="18"/>
                <w:szCs w:val="18"/>
                <w:color w:val="auto"/>
              </w:rPr>
            </w:pPr>
          </w:p>
        </w:tc>
        <w:tc>
          <w:tcPr>
            <w:tcW w:w="1160" w:type="dxa"/>
            <w:vAlign w:val="bottom"/>
            <w:tcBorders>
              <w:right w:val="single" w:sz="8" w:color="auto"/>
            </w:tcBorders>
            <w:shd w:val="clear" w:color="auto" w:fill="C6F4F9"/>
          </w:tcPr>
          <w:p>
            <w:pPr>
              <w:spacing w:after="0"/>
              <w:rPr>
                <w:sz w:val="18"/>
                <w:szCs w:val="18"/>
                <w:color w:val="auto"/>
              </w:rPr>
            </w:pPr>
          </w:p>
        </w:tc>
        <w:tc>
          <w:tcPr>
            <w:tcW w:w="3820" w:type="dxa"/>
            <w:vAlign w:val="bottom"/>
            <w:tcBorders>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shd w:val="clear" w:color="auto" w:fill="C6F4F9"/>
          </w:tcPr>
          <w:p>
            <w:pPr>
              <w:spacing w:after="0"/>
              <w:rPr>
                <w:sz w:val="18"/>
                <w:szCs w:val="18"/>
                <w:color w:val="auto"/>
              </w:rPr>
            </w:pPr>
          </w:p>
        </w:tc>
      </w:tr>
      <w:tr>
        <w:trPr>
          <w:trHeight w:val="237"/>
        </w:trPr>
        <w:tc>
          <w:tcPr>
            <w:tcW w:w="2580" w:type="dxa"/>
            <w:vAlign w:val="bottom"/>
            <w:tcBorders>
              <w:left w:val="single" w:sz="8" w:color="auto"/>
              <w:bottom w:val="single" w:sz="8" w:color="auto"/>
            </w:tcBorders>
            <w:shd w:val="clear" w:color="auto" w:fill="C6F4F9"/>
          </w:tcPr>
          <w:p>
            <w:pPr>
              <w:spacing w:after="0"/>
              <w:rPr>
                <w:sz w:val="20"/>
                <w:szCs w:val="20"/>
                <w:color w:val="auto"/>
              </w:rPr>
            </w:pPr>
          </w:p>
        </w:tc>
        <w:tc>
          <w:tcPr>
            <w:tcW w:w="1160" w:type="dxa"/>
            <w:vAlign w:val="bottom"/>
            <w:tcBorders>
              <w:bottom w:val="single" w:sz="8" w:color="auto"/>
              <w:right w:val="single" w:sz="8" w:color="auto"/>
            </w:tcBorders>
            <w:shd w:val="clear" w:color="auto" w:fill="C6F4F9"/>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6F4F9"/>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shd w:val="clear" w:color="auto" w:fill="C6F4F9"/>
          </w:tcPr>
          <w:p>
            <w:pPr>
              <w:spacing w:after="0"/>
              <w:rPr>
                <w:sz w:val="20"/>
                <w:szCs w:val="20"/>
                <w:color w:val="auto"/>
              </w:rPr>
            </w:pPr>
          </w:p>
        </w:tc>
      </w:tr>
      <w:tr>
        <w:trPr>
          <w:trHeight w:val="202"/>
        </w:trPr>
        <w:tc>
          <w:tcPr>
            <w:tcW w:w="2580" w:type="dxa"/>
            <w:vAlign w:val="bottom"/>
            <w:tcBorders>
              <w:left w:val="single" w:sz="8" w:color="auto"/>
            </w:tcBorders>
          </w:tcPr>
          <w:p>
            <w:pPr>
              <w:ind w:left="40"/>
              <w:spacing w:after="0" w:line="201" w:lineRule="exact"/>
              <w:rPr>
                <w:sz w:val="20"/>
                <w:szCs w:val="20"/>
                <w:color w:val="auto"/>
              </w:rPr>
            </w:pPr>
            <w:r>
              <w:rPr>
                <w:rFonts w:ascii="Arial" w:cs="Arial" w:eastAsia="Arial" w:hAnsi="Arial"/>
                <w:sz w:val="18"/>
                <w:szCs w:val="18"/>
                <w:color w:val="auto"/>
              </w:rPr>
              <w:t>N. Robbert Vorhoff</w:t>
            </w:r>
          </w:p>
        </w:tc>
        <w:tc>
          <w:tcPr>
            <w:tcW w:w="1160" w:type="dxa"/>
            <w:vAlign w:val="bottom"/>
            <w:tcBorders>
              <w:right w:val="single" w:sz="8" w:color="auto"/>
            </w:tcBorders>
          </w:tcPr>
          <w:p>
            <w:pPr>
              <w:spacing w:after="0"/>
              <w:rPr>
                <w:sz w:val="17"/>
                <w:szCs w:val="17"/>
                <w:color w:val="auto"/>
              </w:rPr>
            </w:pPr>
          </w:p>
        </w:tc>
        <w:tc>
          <w:tcPr>
            <w:tcW w:w="3820" w:type="dxa"/>
            <w:vAlign w:val="bottom"/>
            <w:tcBorders>
              <w:right w:val="single" w:sz="8" w:color="auto"/>
            </w:tcBorders>
            <w:gridSpan w:val="3"/>
          </w:tcPr>
          <w:p>
            <w:pPr>
              <w:spacing w:after="0" w:line="201" w:lineRule="exact"/>
              <w:rPr>
                <w:sz w:val="20"/>
                <w:szCs w:val="20"/>
                <w:color w:val="auto"/>
              </w:rPr>
            </w:pPr>
            <w:r>
              <w:rPr>
                <w:rFonts w:ascii="Arial" w:cs="Arial" w:eastAsia="Arial" w:hAnsi="Arial"/>
                <w:sz w:val="18"/>
                <w:szCs w:val="18"/>
                <w:color w:val="auto"/>
              </w:rPr>
              <w:t>55 East 52nd Street</w:t>
            </w:r>
          </w:p>
        </w:tc>
        <w:tc>
          <w:tcPr>
            <w:tcW w:w="3680" w:type="dxa"/>
            <w:vAlign w:val="bottom"/>
            <w:tcBorders>
              <w:right w:val="single" w:sz="8" w:color="auto"/>
            </w:tcBorders>
          </w:tcPr>
          <w:p>
            <w:pPr>
              <w:spacing w:after="0" w:line="201" w:lineRule="exact"/>
              <w:rPr>
                <w:sz w:val="20"/>
                <w:szCs w:val="20"/>
                <w:color w:val="auto"/>
              </w:rPr>
            </w:pPr>
            <w:r>
              <w:rPr>
                <w:rFonts w:ascii="Arial" w:cs="Arial" w:eastAsia="Arial" w:hAnsi="Arial"/>
                <w:sz w:val="18"/>
                <w:szCs w:val="18"/>
                <w:color w:val="auto"/>
              </w:rPr>
              <w:t>United States</w:t>
            </w:r>
          </w:p>
        </w:tc>
      </w:tr>
      <w:tr>
        <w:trPr>
          <w:trHeight w:val="216"/>
        </w:trPr>
        <w:tc>
          <w:tcPr>
            <w:tcW w:w="2580" w:type="dxa"/>
            <w:vAlign w:val="bottom"/>
            <w:tcBorders>
              <w:left w:val="single" w:sz="8" w:color="auto"/>
            </w:tcBorders>
          </w:tcPr>
          <w:p>
            <w:pPr>
              <w:spacing w:after="0"/>
              <w:rPr>
                <w:sz w:val="18"/>
                <w:szCs w:val="18"/>
                <w:color w:val="auto"/>
              </w:rPr>
            </w:pPr>
          </w:p>
        </w:tc>
        <w:tc>
          <w:tcPr>
            <w:tcW w:w="116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33rd Floor</w:t>
            </w:r>
          </w:p>
        </w:tc>
        <w:tc>
          <w:tcPr>
            <w:tcW w:w="3680" w:type="dxa"/>
            <w:vAlign w:val="bottom"/>
            <w:tcBorders>
              <w:right w:val="single" w:sz="8" w:color="auto"/>
            </w:tcBorders>
          </w:tcPr>
          <w:p>
            <w:pPr>
              <w:spacing w:after="0"/>
              <w:rPr>
                <w:sz w:val="18"/>
                <w:szCs w:val="18"/>
                <w:color w:val="auto"/>
              </w:rPr>
            </w:pPr>
          </w:p>
        </w:tc>
      </w:tr>
      <w:tr>
        <w:trPr>
          <w:trHeight w:val="237"/>
        </w:trPr>
        <w:tc>
          <w:tcPr>
            <w:tcW w:w="2580" w:type="dxa"/>
            <w:vAlign w:val="bottom"/>
            <w:tcBorders>
              <w:left w:val="single" w:sz="8" w:color="auto"/>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spacing w:after="0"/>
              <w:rPr>
                <w:sz w:val="20"/>
                <w:szCs w:val="20"/>
                <w:color w:val="auto"/>
              </w:rPr>
            </w:pPr>
          </w:p>
        </w:tc>
        <w:tc>
          <w:tcPr>
            <w:tcW w:w="382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New York 10055</w:t>
            </w:r>
          </w:p>
        </w:tc>
        <w:tc>
          <w:tcPr>
            <w:tcW w:w="3680" w:type="dxa"/>
            <w:vAlign w:val="bottom"/>
            <w:tcBorders>
              <w:bottom w:val="single" w:sz="8" w:color="auto"/>
              <w:right w:val="single" w:sz="8" w:color="auto"/>
            </w:tcBorders>
          </w:tcPr>
          <w:p>
            <w:pPr>
              <w:spacing w:after="0"/>
              <w:rPr>
                <w:sz w:val="20"/>
                <w:szCs w:val="20"/>
                <w:color w:val="auto"/>
              </w:rPr>
            </w:pPr>
          </w:p>
        </w:tc>
      </w:tr>
      <w:tr>
        <w:trPr>
          <w:trHeight w:val="202"/>
        </w:trPr>
        <w:tc>
          <w:tcPr>
            <w:tcW w:w="2580" w:type="dxa"/>
            <w:vAlign w:val="bottom"/>
            <w:tcBorders>
              <w:left w:val="single" w:sz="8" w:color="auto"/>
            </w:tcBorders>
            <w:shd w:val="clear" w:color="auto" w:fill="CFF8FD"/>
          </w:tcPr>
          <w:p>
            <w:pPr>
              <w:ind w:left="40"/>
              <w:spacing w:after="0" w:line="201" w:lineRule="exact"/>
              <w:rPr>
                <w:sz w:val="20"/>
                <w:szCs w:val="20"/>
                <w:color w:val="auto"/>
              </w:rPr>
            </w:pPr>
            <w:r>
              <w:rPr>
                <w:rFonts w:ascii="Arial" w:cs="Arial" w:eastAsia="Arial" w:hAnsi="Arial"/>
                <w:sz w:val="18"/>
                <w:szCs w:val="18"/>
                <w:color w:val="auto"/>
              </w:rPr>
              <w:t>Eric Zhang</w:t>
            </w:r>
          </w:p>
        </w:tc>
        <w:tc>
          <w:tcPr>
            <w:tcW w:w="1160" w:type="dxa"/>
            <w:vAlign w:val="bottom"/>
            <w:tcBorders>
              <w:right w:val="single" w:sz="8" w:color="auto"/>
            </w:tcBorders>
            <w:shd w:val="clear" w:color="auto" w:fill="CFF8FD"/>
          </w:tcPr>
          <w:p>
            <w:pPr>
              <w:spacing w:after="0"/>
              <w:rPr>
                <w:sz w:val="17"/>
                <w:szCs w:val="17"/>
                <w:color w:val="auto"/>
              </w:rPr>
            </w:pPr>
          </w:p>
        </w:tc>
        <w:tc>
          <w:tcPr>
            <w:tcW w:w="3820" w:type="dxa"/>
            <w:vAlign w:val="bottom"/>
            <w:tcBorders>
              <w:right w:val="single" w:sz="8" w:color="auto"/>
            </w:tcBorders>
            <w:gridSpan w:val="3"/>
            <w:shd w:val="clear" w:color="auto" w:fill="CFF8FD"/>
          </w:tcPr>
          <w:p>
            <w:pPr>
              <w:spacing w:after="0" w:line="201" w:lineRule="exact"/>
              <w:rPr>
                <w:sz w:val="20"/>
                <w:szCs w:val="20"/>
                <w:color w:val="auto"/>
              </w:rPr>
            </w:pPr>
            <w:r>
              <w:rPr>
                <w:rFonts w:ascii="Arial" w:cs="Arial" w:eastAsia="Arial" w:hAnsi="Arial"/>
                <w:sz w:val="18"/>
                <w:szCs w:val="18"/>
                <w:color w:val="auto"/>
              </w:rPr>
              <w:t>Suite 5704-5706, 57F</w:t>
            </w:r>
          </w:p>
        </w:tc>
        <w:tc>
          <w:tcPr>
            <w:tcW w:w="3680" w:type="dxa"/>
            <w:vAlign w:val="bottom"/>
            <w:tcBorders>
              <w:right w:val="single" w:sz="8" w:color="auto"/>
            </w:tcBorders>
            <w:shd w:val="clear" w:color="auto" w:fill="CFF8FD"/>
          </w:tcPr>
          <w:p>
            <w:pPr>
              <w:spacing w:after="0" w:line="201" w:lineRule="exact"/>
              <w:rPr>
                <w:sz w:val="20"/>
                <w:szCs w:val="20"/>
                <w:color w:val="auto"/>
              </w:rPr>
            </w:pPr>
            <w:r>
              <w:rPr>
                <w:rFonts w:ascii="Arial" w:cs="Arial" w:eastAsia="Arial" w:hAnsi="Arial"/>
                <w:sz w:val="18"/>
                <w:szCs w:val="18"/>
                <w:color w:val="auto"/>
              </w:rPr>
              <w:t>Hong Kong SAR</w:t>
            </w:r>
          </w:p>
        </w:tc>
      </w:tr>
      <w:tr>
        <w:trPr>
          <w:trHeight w:val="216"/>
        </w:trPr>
        <w:tc>
          <w:tcPr>
            <w:tcW w:w="2580" w:type="dxa"/>
            <w:vAlign w:val="bottom"/>
            <w:tcBorders>
              <w:left w:val="single" w:sz="8" w:color="auto"/>
            </w:tcBorders>
            <w:shd w:val="clear" w:color="auto" w:fill="CFF8FD"/>
          </w:tcPr>
          <w:p>
            <w:pPr>
              <w:spacing w:after="0"/>
              <w:rPr>
                <w:sz w:val="18"/>
                <w:szCs w:val="18"/>
                <w:color w:val="auto"/>
              </w:rPr>
            </w:pPr>
          </w:p>
        </w:tc>
        <w:tc>
          <w:tcPr>
            <w:tcW w:w="1160" w:type="dxa"/>
            <w:vAlign w:val="bottom"/>
            <w:tcBorders>
              <w:right w:val="single" w:sz="8" w:color="auto"/>
            </w:tcBorders>
            <w:shd w:val="clear" w:color="auto" w:fill="CFF8FD"/>
          </w:tcPr>
          <w:p>
            <w:pPr>
              <w:spacing w:after="0"/>
              <w:rPr>
                <w:sz w:val="18"/>
                <w:szCs w:val="18"/>
                <w:color w:val="auto"/>
              </w:rPr>
            </w:pPr>
          </w:p>
        </w:tc>
        <w:tc>
          <w:tcPr>
            <w:tcW w:w="3820" w:type="dxa"/>
            <w:vAlign w:val="bottom"/>
            <w:tcBorders>
              <w:right w:val="single" w:sz="8" w:color="auto"/>
            </w:tcBorders>
            <w:gridSpan w:val="3"/>
            <w:shd w:val="clear" w:color="auto" w:fill="CFF8FD"/>
          </w:tcPr>
          <w:p>
            <w:pPr>
              <w:spacing w:after="0"/>
              <w:rPr>
                <w:sz w:val="20"/>
                <w:szCs w:val="20"/>
                <w:color w:val="auto"/>
              </w:rPr>
            </w:pPr>
            <w:r>
              <w:rPr>
                <w:rFonts w:ascii="Arial" w:cs="Arial" w:eastAsia="Arial" w:hAnsi="Arial"/>
                <w:sz w:val="18"/>
                <w:szCs w:val="18"/>
                <w:color w:val="auto"/>
              </w:rPr>
              <w:t>Two IFC, 8 Finance Street</w:t>
            </w:r>
          </w:p>
        </w:tc>
        <w:tc>
          <w:tcPr>
            <w:tcW w:w="3680" w:type="dxa"/>
            <w:vAlign w:val="bottom"/>
            <w:tcBorders>
              <w:right w:val="single" w:sz="8" w:color="auto"/>
            </w:tcBorders>
            <w:shd w:val="clear" w:color="auto" w:fill="CFF8FD"/>
          </w:tcPr>
          <w:p>
            <w:pPr>
              <w:spacing w:after="0"/>
              <w:rPr>
                <w:sz w:val="18"/>
                <w:szCs w:val="18"/>
                <w:color w:val="auto"/>
              </w:rPr>
            </w:pPr>
          </w:p>
        </w:tc>
      </w:tr>
      <w:tr>
        <w:trPr>
          <w:trHeight w:val="237"/>
        </w:trPr>
        <w:tc>
          <w:tcPr>
            <w:tcW w:w="2580" w:type="dxa"/>
            <w:vAlign w:val="bottom"/>
            <w:tcBorders>
              <w:left w:val="single" w:sz="8" w:color="auto"/>
              <w:bottom w:val="single" w:sz="8" w:color="auto"/>
            </w:tcBorders>
            <w:shd w:val="clear" w:color="auto" w:fill="CFF8FD"/>
          </w:tcPr>
          <w:p>
            <w:pPr>
              <w:spacing w:after="0"/>
              <w:rPr>
                <w:sz w:val="20"/>
                <w:szCs w:val="20"/>
                <w:color w:val="auto"/>
              </w:rPr>
            </w:pPr>
          </w:p>
        </w:tc>
        <w:tc>
          <w:tcPr>
            <w:tcW w:w="1160" w:type="dxa"/>
            <w:vAlign w:val="bottom"/>
            <w:tcBorders>
              <w:bottom w:val="single" w:sz="8" w:color="auto"/>
              <w:right w:val="single" w:sz="8" w:color="auto"/>
            </w:tcBorders>
            <w:shd w:val="clear" w:color="auto" w:fill="CFF8FD"/>
          </w:tcPr>
          <w:p>
            <w:pPr>
              <w:spacing w:after="0"/>
              <w:rPr>
                <w:sz w:val="20"/>
                <w:szCs w:val="20"/>
                <w:color w:val="auto"/>
              </w:rPr>
            </w:pPr>
          </w:p>
        </w:tc>
        <w:tc>
          <w:tcPr>
            <w:tcW w:w="3820" w:type="dxa"/>
            <w:vAlign w:val="bottom"/>
            <w:tcBorders>
              <w:bottom w:val="single" w:sz="8" w:color="auto"/>
              <w:right w:val="single" w:sz="8" w:color="auto"/>
            </w:tcBorders>
            <w:gridSpan w:val="3"/>
            <w:shd w:val="clear" w:color="auto" w:fill="CFF8FD"/>
          </w:tcPr>
          <w:p>
            <w:pPr>
              <w:spacing w:after="0"/>
              <w:rPr>
                <w:sz w:val="20"/>
                <w:szCs w:val="20"/>
                <w:color w:val="auto"/>
              </w:rPr>
            </w:pPr>
            <w:r>
              <w:rPr>
                <w:rFonts w:ascii="Arial" w:cs="Arial" w:eastAsia="Arial" w:hAnsi="Arial"/>
                <w:sz w:val="18"/>
                <w:szCs w:val="18"/>
                <w:color w:val="auto"/>
              </w:rPr>
              <w:t>Central, Hong Kong, China</w:t>
            </w:r>
          </w:p>
        </w:tc>
        <w:tc>
          <w:tcPr>
            <w:tcW w:w="3680" w:type="dxa"/>
            <w:vAlign w:val="bottom"/>
            <w:tcBorders>
              <w:bottom w:val="single" w:sz="8" w:color="auto"/>
              <w:right w:val="single" w:sz="8" w:color="auto"/>
            </w:tcBorders>
            <w:shd w:val="clear" w:color="auto" w:fill="CFF8FD"/>
          </w:tcPr>
          <w:p>
            <w:pPr>
              <w:spacing w:after="0"/>
              <w:rPr>
                <w:sz w:val="20"/>
                <w:szCs w:val="20"/>
                <w:color w:val="auto"/>
              </w:rPr>
            </w:pPr>
          </w:p>
        </w:tc>
      </w:tr>
      <w:tr>
        <w:trPr>
          <w:trHeight w:val="601"/>
        </w:trPr>
        <w:tc>
          <w:tcPr>
            <w:tcW w:w="25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ACQUISITION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13D-1(k)(1)</w:t>
      </w:r>
    </w:p>
    <w:p>
      <w:pPr>
        <w:spacing w:after="0" w:line="21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accurate.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Dated as of November 7, 2022</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100, L.P.</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GENPAR, L.P., its general</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PARTNERS (BERMUDA) EU,</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GENERAL ATLANTIC GENPAR (BERMUDA),</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L.P., its general 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5"/>
              </w:rPr>
              <w:t>GAP (BERMUDA) GP LIMITED, its general partner</w:t>
            </w:r>
          </w:p>
        </w:tc>
        <w:tc>
          <w:tcPr>
            <w:tcW w:w="1120" w:type="dxa"/>
            <w:vAlign w:val="bottom"/>
          </w:tcPr>
          <w:p>
            <w:pPr>
              <w:spacing w:after="0"/>
              <w:rPr>
                <w:sz w:val="24"/>
                <w:szCs w:val="24"/>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c>
          <w:tcPr>
            <w:tcW w:w="1120" w:type="dxa"/>
            <w:vAlign w:val="bottom"/>
          </w:tcPr>
          <w:p>
            <w:pPr>
              <w:spacing w:after="0"/>
              <w:rPr>
                <w:sz w:val="20"/>
                <w:szCs w:val="20"/>
                <w:color w:val="auto"/>
              </w:rPr>
            </w:pPr>
          </w:p>
        </w:tc>
      </w:tr>
      <w:tr>
        <w:trPr>
          <w:trHeight w:val="763"/>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23" w:right="339"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b w:val="1"/>
          <w:bCs w:val="1"/>
          <w:color w:val="auto"/>
        </w:rPr>
        <w:t>GAP COINVESTMENTS III,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GAP COINVESTMENTS IV,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GAP COINVESTMENTS V,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GENERAL ATLANTIC, L.P., its managing member</w:t>
      </w:r>
    </w:p>
    <w:p>
      <w:pPr>
        <w:spacing w:after="0" w:line="248"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GAP COINVESTMENTS CDA,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0" w:name="page31"/>
    <w:bookmarkEnd w:id="30"/>
    <w:p>
      <w:pPr>
        <w:ind w:left="4520"/>
        <w:spacing w:after="0"/>
        <w:rPr>
          <w:sz w:val="20"/>
          <w:szCs w:val="20"/>
          <w:color w:val="auto"/>
        </w:rPr>
      </w:pPr>
      <w:r>
        <w:rPr>
          <w:rFonts w:ascii="Arial" w:cs="Arial" w:eastAsia="Arial" w:hAnsi="Arial"/>
          <w:sz w:val="18"/>
          <w:szCs w:val="18"/>
          <w:b w:val="1"/>
          <w:bCs w:val="1"/>
          <w:color w:val="auto"/>
        </w:rPr>
        <w:t>GENERAL ATLANTIC (SPV) GP,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GENPAR (BERMUDA),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GAP (BERMUDA) L.P.,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GAP (Bermuda) GP LIMITED, its general partner</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Gosk</w:t>
            </w:r>
          </w:p>
        </w:tc>
      </w:tr>
      <w:tr>
        <w:trPr>
          <w:trHeight w:val="195"/>
        </w:trPr>
        <w:tc>
          <w:tcPr>
            <w:tcW w:w="56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Michael Gosk</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Director</w:t>
            </w:r>
          </w:p>
        </w:tc>
      </w:tr>
    </w:tbl>
    <w:p>
      <w:pPr>
        <w:spacing w:after="0" w:line="19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GENERAL ATLANTIC GENPAR,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L.P., its general partner</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24860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508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485775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31" w:name="page32"/>
    <w:bookmarkEnd w:id="31"/>
    <w:p>
      <w:pPr>
        <w:ind w:left="5640"/>
        <w:spacing w:after="0"/>
        <w:rPr>
          <w:sz w:val="20"/>
          <w:szCs w:val="20"/>
          <w:color w:val="auto"/>
        </w:rPr>
      </w:pPr>
      <w:r>
        <w:rPr>
          <w:rFonts w:ascii="Arial" w:cs="Arial" w:eastAsia="Arial" w:hAnsi="Arial"/>
          <w:sz w:val="18"/>
          <w:szCs w:val="18"/>
          <w:b w:val="1"/>
          <w:bCs w:val="1"/>
          <w:color w:val="auto"/>
        </w:rPr>
        <w:t>GENERAL ATLANTIC (ME),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GENERAL ATLANTIC (SPV) GP, LLC, its general</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GAP (BERMUDA) L.P.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GAP (BERMUDA) GP LIMITED,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Gosk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14605</wp:posOffset>
            </wp:positionV>
            <wp:extent cx="24860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Michael Gosk</w:t>
      </w:r>
    </w:p>
    <w:p>
      <w:pPr>
        <w:spacing w:after="0" w:line="23" w:lineRule="exact"/>
        <w:rPr>
          <w:sz w:val="20"/>
          <w:szCs w:val="20"/>
          <w:color w:val="auto"/>
        </w:rPr>
      </w:pPr>
    </w:p>
    <w:p>
      <w:pPr>
        <w:jc w:val="center"/>
        <w:ind w:left="3080"/>
        <w:spacing w:after="0"/>
        <w:tabs>
          <w:tab w:leader="none" w:pos="1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(LUX) S.À R.L.</w:t>
      </w:r>
    </w:p>
    <w:p>
      <w:pPr>
        <w:spacing w:after="0" w:line="22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A</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r>
      <w:tr>
        <w:trPr>
          <w:trHeight w:val="195"/>
        </w:trPr>
        <w:tc>
          <w:tcPr>
            <w:tcW w:w="56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r>
      <w:tr>
        <w:trPr>
          <w:trHeight w:val="230"/>
        </w:trPr>
        <w:tc>
          <w:tcPr>
            <w:tcW w:w="56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80"/>
              <w:spacing w:after="0"/>
              <w:rPr>
                <w:sz w:val="20"/>
                <w:szCs w:val="20"/>
                <w:color w:val="auto"/>
              </w:rPr>
            </w:pPr>
            <w:r>
              <w:rPr>
                <w:rFonts w:ascii="Arial" w:cs="Arial" w:eastAsia="Arial" w:hAnsi="Arial"/>
                <w:sz w:val="18"/>
                <w:szCs w:val="18"/>
                <w:color w:val="auto"/>
              </w:rPr>
              <w:t>Manager B</w:t>
            </w:r>
          </w:p>
        </w:tc>
      </w:tr>
    </w:tbl>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GENERAL ATLANTIC GENPAR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gridSpan w:val="2"/>
          </w:tcPr>
          <w:p>
            <w:pPr>
              <w:spacing w:after="0"/>
              <w:rPr>
                <w:sz w:val="20"/>
                <w:szCs w:val="20"/>
                <w:color w:val="auto"/>
              </w:rPr>
            </w:pPr>
            <w:r>
              <w:rPr>
                <w:rFonts w:ascii="Arial" w:cs="Arial" w:eastAsia="Arial" w:hAnsi="Arial"/>
                <w:sz w:val="18"/>
                <w:szCs w:val="18"/>
                <w:color w:val="auto"/>
                <w:w w:val="98"/>
              </w:rPr>
              <w:t>GENERAL ATLANTIC (LUX) S.À R.L., its general</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w w:val="91"/>
              </w:rPr>
              <w:t>partner</w:t>
            </w:r>
          </w:p>
        </w:tc>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 Dalrymple</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gridSpan w:val="2"/>
          </w:tcPr>
          <w:p>
            <w:pPr>
              <w:spacing w:after="0" w:line="195" w:lineRule="exact"/>
              <w:rPr>
                <w:sz w:val="20"/>
                <w:szCs w:val="20"/>
                <w:color w:val="auto"/>
              </w:rPr>
            </w:pPr>
            <w:r>
              <w:rPr>
                <w:rFonts w:ascii="Arial" w:cs="Arial" w:eastAsia="Arial" w:hAnsi="Arial"/>
                <w:sz w:val="18"/>
                <w:szCs w:val="18"/>
                <w:color w:val="auto"/>
              </w:rPr>
              <w:t>Name: Gregor Dalrymple</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20"/>
              <w:spacing w:after="0"/>
              <w:rPr>
                <w:sz w:val="20"/>
                <w:szCs w:val="20"/>
                <w:color w:val="auto"/>
              </w:rPr>
            </w:pPr>
            <w:r>
              <w:rPr>
                <w:rFonts w:ascii="Arial" w:cs="Arial" w:eastAsia="Arial" w:hAnsi="Arial"/>
                <w:sz w:val="18"/>
                <w:szCs w:val="18"/>
                <w:color w:val="auto"/>
              </w:rPr>
              <w:t>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2" w:name="page33"/>
    <w:bookmarkEnd w:id="32"/>
    <w:p>
      <w:pPr>
        <w:ind w:left="5640"/>
        <w:spacing w:after="0"/>
        <w:rPr>
          <w:sz w:val="20"/>
          <w:szCs w:val="20"/>
          <w:color w:val="auto"/>
        </w:rPr>
      </w:pPr>
      <w:r>
        <w:rPr>
          <w:rFonts w:ascii="Arial" w:cs="Arial" w:eastAsia="Arial" w:hAnsi="Arial"/>
          <w:sz w:val="18"/>
          <w:szCs w:val="18"/>
          <w:b w:val="1"/>
          <w:bCs w:val="1"/>
          <w:color w:val="auto"/>
        </w:rPr>
        <w:t>GENERAL ATLANTIC PARTNERS (LUX) SCSp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9"/>
              </w:rPr>
              <w:t>GENERAL ATLANTIC GENPAR (LUX) SCSp, its</w:t>
            </w:r>
          </w:p>
        </w:tc>
        <w:tc>
          <w:tcPr>
            <w:tcW w:w="1120" w:type="dxa"/>
            <w:vAlign w:val="bottom"/>
          </w:tcPr>
          <w:p>
            <w:pPr>
              <w:spacing w:after="0"/>
              <w:rPr>
                <w:sz w:val="18"/>
                <w:szCs w:val="18"/>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general partner</w:t>
            </w:r>
          </w:p>
        </w:tc>
        <w:tc>
          <w:tcPr>
            <w:tcW w:w="1120" w:type="dxa"/>
            <w:vAlign w:val="bottom"/>
          </w:tcPr>
          <w:p>
            <w:pPr>
              <w:spacing w:after="0"/>
              <w:rPr>
                <w:sz w:val="20"/>
                <w:szCs w:val="20"/>
                <w:color w:val="auto"/>
              </w:rPr>
            </w:pPr>
          </w:p>
        </w:tc>
      </w:tr>
      <w:tr>
        <w:trPr>
          <w:trHeight w:val="418"/>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w w:val="98"/>
              </w:rPr>
              <w:t>GENERAL ATLANTIC (LUX) S.À R.L., its general</w:t>
            </w:r>
          </w:p>
        </w:tc>
        <w:tc>
          <w:tcPr>
            <w:tcW w:w="1120" w:type="dxa"/>
            <w:vAlign w:val="bottom"/>
          </w:tcPr>
          <w:p>
            <w:pPr>
              <w:spacing w:after="0"/>
              <w:rPr>
                <w:sz w:val="24"/>
                <w:szCs w:val="24"/>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partner</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Ingrid van der Hoorn</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Ingrid van der Hoorn</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A</w:t>
            </w:r>
          </w:p>
        </w:tc>
        <w:tc>
          <w:tcPr>
            <w:tcW w:w="1120" w:type="dxa"/>
            <w:vAlign w:val="bottom"/>
          </w:tcPr>
          <w:p>
            <w:pPr>
              <w:spacing w:after="0"/>
              <w:rPr>
                <w:sz w:val="20"/>
                <w:szCs w:val="20"/>
                <w:color w:val="auto"/>
              </w:rPr>
            </w:pPr>
          </w:p>
        </w:tc>
      </w:tr>
      <w:tr>
        <w:trPr>
          <w:trHeight w:val="432"/>
        </w:trPr>
        <w:tc>
          <w:tcPr>
            <w:tcW w:w="6200" w:type="dxa"/>
            <w:vAlign w:val="bottom"/>
          </w:tcPr>
          <w:p>
            <w:pPr>
              <w:ind w:left="564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 Dalrymple</w:t>
            </w:r>
          </w:p>
        </w:tc>
        <w:tc>
          <w:tcPr>
            <w:tcW w:w="1120" w:type="dxa"/>
            <w:vAlign w:val="bottom"/>
          </w:tcPr>
          <w:p>
            <w:pPr>
              <w:spacing w:after="0"/>
              <w:rPr>
                <w:sz w:val="24"/>
                <w:szCs w:val="24"/>
                <w:color w:val="auto"/>
              </w:rPr>
            </w:pPr>
          </w:p>
        </w:tc>
      </w:tr>
      <w:tr>
        <w:trPr>
          <w:trHeight w:val="195"/>
        </w:trPr>
        <w:tc>
          <w:tcPr>
            <w:tcW w:w="620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Name: Gregor Dalrymple</w:t>
            </w:r>
          </w:p>
        </w:tc>
        <w:tc>
          <w:tcPr>
            <w:tcW w:w="1120" w:type="dxa"/>
            <w:vAlign w:val="bottom"/>
          </w:tcPr>
          <w:p>
            <w:pPr>
              <w:spacing w:after="0"/>
              <w:rPr>
                <w:sz w:val="16"/>
                <w:szCs w:val="16"/>
                <w:color w:val="auto"/>
              </w:rPr>
            </w:pPr>
          </w:p>
        </w:tc>
      </w:tr>
      <w:tr>
        <w:trPr>
          <w:trHeight w:val="230"/>
        </w:trPr>
        <w:tc>
          <w:tcPr>
            <w:tcW w:w="6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Manager B</w:t>
            </w:r>
          </w:p>
        </w:tc>
        <w:tc>
          <w:tcPr>
            <w:tcW w:w="1120" w:type="dxa"/>
            <w:vAlign w:val="bottom"/>
          </w:tcPr>
          <w:p>
            <w:pPr>
              <w:spacing w:after="0"/>
              <w:rPr>
                <w:sz w:val="20"/>
                <w:szCs w:val="20"/>
                <w:color w:val="auto"/>
              </w:rPr>
            </w:pPr>
          </w:p>
        </w:tc>
      </w:tr>
      <w:tr>
        <w:trPr>
          <w:trHeight w:val="844"/>
        </w:trPr>
        <w:tc>
          <w:tcPr>
            <w:tcW w:w="6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4"/>
      <w:numFmt w:val="bullet"/>
      <w:start w:val="1"/>
    </w:lvl>
  </w:abstractNum>
  <w:abstractNum w:abstractNumId="2">
    <w:nsid w:val="DED7263"/>
    <w:multiLevelType w:val="hybridMultilevel"/>
    <w:lvl w:ilvl="0">
      <w:lvlJc w:val="left"/>
      <w:lvlText w:val="4"/>
      <w:numFmt w:val="bullet"/>
      <w:start w:val="1"/>
    </w:lvl>
  </w:abstractNum>
  <w:abstractNum w:abstractNumId="3">
    <w:nsid w:val="7FDCC233"/>
    <w:multiLevelType w:val="hybridMultilevel"/>
    <w:lvl w:ilvl="0">
      <w:lvlJc w:val="left"/>
      <w:lvlText w:val="4"/>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4"/>
      <w:numFmt w:val="bullet"/>
      <w:start w:val="1"/>
    </w:lvl>
  </w:abstractNum>
  <w:abstractNum w:abstractNumId="6">
    <w:nsid w:val="6B68079A"/>
    <w:multiLevelType w:val="hybridMultilevel"/>
    <w:lvl w:ilvl="0">
      <w:lvlJc w:val="left"/>
      <w:lvlText w:val="4"/>
      <w:numFmt w:val="bullet"/>
      <w:start w:val="1"/>
    </w:lvl>
  </w:abstractNum>
  <w:abstractNum w:abstractNumId="7">
    <w:nsid w:val="4E6AFB66"/>
    <w:multiLevelType w:val="hybridMultilevel"/>
    <w:lvl w:ilvl="0">
      <w:lvlJc w:val="left"/>
      <w:lvlText w:val="4"/>
      <w:numFmt w:val="bullet"/>
      <w:start w:val="1"/>
    </w:lvl>
  </w:abstractNum>
  <w:abstractNum w:abstractNumId="8">
    <w:nsid w:val="25E45D32"/>
    <w:multiLevelType w:val="hybridMultilevel"/>
    <w:lvl w:ilvl="0">
      <w:lvlJc w:val="left"/>
      <w:lvlText w:val="4"/>
      <w:numFmt w:val="bullet"/>
      <w:start w:val="1"/>
    </w:lvl>
  </w:abstractNum>
  <w:abstractNum w:abstractNumId="9">
    <w:nsid w:val="519B500D"/>
    <w:multiLevelType w:val="hybridMultilevel"/>
    <w:lvl w:ilvl="0">
      <w:lvlJc w:val="left"/>
      <w:lvlText w:val="4"/>
      <w:numFmt w:val="bullet"/>
      <w:start w:val="1"/>
    </w:lvl>
  </w:abstractNum>
  <w:abstractNum w:abstractNumId="10">
    <w:nsid w:val="431BD7B7"/>
    <w:multiLevelType w:val="hybridMultilevel"/>
    <w:lvl w:ilvl="0">
      <w:lvlJc w:val="left"/>
      <w:lvlText w:val="4"/>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4"/>
      <w:numFmt w:val="bullet"/>
      <w:start w:val="1"/>
    </w:lvl>
  </w:abstractNum>
  <w:abstractNum w:abstractNumId="13">
    <w:nsid w:val="257130A3"/>
    <w:multiLevelType w:val="hybridMultilevel"/>
    <w:lvl w:ilvl="0">
      <w:lvlJc w:val="left"/>
      <w:lvlText w:val="4"/>
      <w:numFmt w:val="bullet"/>
      <w:start w:val="1"/>
    </w:lvl>
  </w:abstractNum>
  <w:abstractNum w:abstractNumId="14">
    <w:nsid w:val="62BBD95A"/>
    <w:multiLevelType w:val="hybridMultilevel"/>
    <w:lvl w:ilvl="0">
      <w:lvlJc w:val="left"/>
      <w:lvlText w:val="4"/>
      <w:numFmt w:val="bullet"/>
      <w:start w:val="1"/>
    </w:lvl>
  </w:abstractNum>
  <w:abstractNum w:abstractNumId="15">
    <w:nsid w:val="436C6125"/>
    <w:multiLevelType w:val="hybridMultilevel"/>
    <w:lvl w:ilvl="0">
      <w:lvlJc w:val="left"/>
      <w:lvlText w:val="4"/>
      <w:numFmt w:val="bullet"/>
      <w:start w:val="1"/>
    </w:lvl>
  </w:abstractNum>
  <w:abstractNum w:abstractNumId="16">
    <w:nsid w:val="628C895D"/>
    <w:multiLevelType w:val="hybridMultilevel"/>
    <w:lvl w:ilvl="0">
      <w:lvlJc w:val="left"/>
      <w:lvlText w:val="(%1)"/>
      <w:numFmt w:val="lowerLetter"/>
      <w:start w:val="2"/>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1)"/>
      <w:numFmt w:val="lowerLetter"/>
      <w:start w:val="2"/>
    </w:lvl>
  </w:abstractNum>
  <w:abstractNum w:abstractNumId="19">
    <w:nsid w:val="2443A858"/>
    <w:multiLevelType w:val="hybridMultilevel"/>
    <w:lvl w:ilvl="0">
      <w:lvlJc w:val="left"/>
      <w:lvlText w:val="(%1)"/>
      <w:numFmt w:val="lowerLetter"/>
      <w:start w:val="3"/>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lowerLetter"/>
      <w:start w:val="4"/>
    </w:lvl>
  </w:abstractNum>
  <w:abstractNum w:abstractNumId="22">
    <w:nsid w:val="75A2A8D4"/>
    <w:multiLevelType w:val="hybridMultilevel"/>
    <w:lvl w:ilvl="0">
      <w:lvlJc w:val="left"/>
      <w:lvlText w:val="(%1)"/>
      <w:numFmt w:val="lowerLetter"/>
      <w:start w:val="5"/>
    </w:lvl>
  </w:abstractNum>
  <w:abstractNum w:abstractNumId="23">
    <w:nsid w:val="8EDBDAB"/>
    <w:multiLevelType w:val="hybridMultilevel"/>
    <w:lvl w:ilvl="0">
      <w:lvlJc w:val="left"/>
      <w:lvlText w:val="(%1)"/>
      <w:numFmt w:val="lowerRoman"/>
      <w:start w:val="1"/>
    </w:lvl>
  </w:abstractNum>
  <w:abstractNum w:abstractNumId="24">
    <w:nsid w:val="79838CB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2022-11-07T15:52:32Z</dcterms:created>
  <dcterms:modified xsi:type="dcterms:W3CDTF">2022-11-07T15:52:32Z</dcterms:modified>
</cp:coreProperties>
</file>