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519655d2_8k.htm"/>
      <w:bookmarkStart w:id="1" w:name="kstm2519655d2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2_edei--DocumentType_c20250707__20"/>
      <w:bookmarkEnd w:id="2"/>
      <w:r>
        <w:rPr>
          <w:rFonts w:ascii="Times New Roman;Times;Serif" w:hAnsi="Times New Roman;Times;Serif"/>
          <w:b/>
          <w:i w:val="false"/>
          <w:caps w:val="false"/>
          <w:smallCaps w:val="false"/>
          <w:sz w:val="28"/>
        </w:rPr>
        <w:t>8-K</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July 8, 2025 (</w:t>
      </w:r>
      <w:bookmarkStart w:id="3" w:name="xdx_90B_edei--DocumentPeriodEndDate_c202"/>
      <w:bookmarkEnd w:id="3"/>
      <w:r>
        <w:rPr>
          <w:rFonts w:ascii="Times New Roman;Times;Serif" w:hAnsi="Times New Roman;Times;Serif"/>
          <w:b/>
          <w:i w:val="false"/>
          <w:caps w:val="false"/>
          <w:smallCaps w:val="false"/>
          <w:sz w:val="20"/>
        </w:rPr>
        <w:t>July 7, 2025)</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A_edei--EntityRegistrantName_c2025"/>
      <w:bookmarkEnd w:id="4"/>
      <w:r>
        <w:rPr>
          <w:rFonts w:ascii="Times New Roman;Times;Serif" w:hAnsi="Times New Roman;Times;Serif"/>
          <w:b/>
          <w:i w:val="false"/>
          <w:caps w:val="false"/>
          <w:smallCaps w:val="false"/>
          <w:sz w:val="28"/>
        </w:rPr>
        <w:t>Mobileye Global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695" w:type="dxa"/>
        <w:jc w:val="left"/>
        <w:tblInd w:w="0" w:type="dxa"/>
        <w:tblLayout w:type="fixed"/>
        <w:tblCellMar>
          <w:top w:w="0" w:type="dxa"/>
          <w:left w:w="0" w:type="dxa"/>
          <w:bottom w:w="0" w:type="dxa"/>
          <w:right w:w="0" w:type="dxa"/>
        </w:tblCellMar>
      </w:tblPr>
      <w:tblGrid>
        <w:gridCol w:w="2525"/>
        <w:gridCol w:w="60"/>
        <w:gridCol w:w="2210"/>
        <w:gridCol w:w="60"/>
        <w:gridCol w:w="2840"/>
      </w:tblGrid>
      <w:tr>
        <w:trPr/>
        <w:tc>
          <w:tcPr>
            <w:tcW w:w="2525" w:type="dxa"/>
            <w:tcBorders/>
            <w:vAlign w:val="center"/>
          </w:tcPr>
          <w:p>
            <w:pPr>
              <w:pStyle w:val="TableContents"/>
              <w:bidi w:val="0"/>
              <w:spacing w:before="0" w:after="283"/>
              <w:jc w:val="center"/>
              <w:rPr>
                <w:b/>
                <w:sz w:val="20"/>
              </w:rPr>
            </w:pPr>
            <w:bookmarkStart w:id="5" w:name="xdx_90D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6_edei--EntityFileNumber_c20250707"/>
            <w:bookmarkEnd w:id="6"/>
            <w:r>
              <w:rPr>
                <w:b/>
                <w:sz w:val="20"/>
              </w:rPr>
              <w:t>001-41541</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b/>
                <w:sz w:val="20"/>
              </w:rPr>
            </w:pPr>
            <w:bookmarkStart w:id="7" w:name="xdx_905_edei--EntityTaxIdentificationNum"/>
            <w:bookmarkEnd w:id="7"/>
            <w:r>
              <w:rPr>
                <w:b/>
                <w:sz w:val="20"/>
              </w:rPr>
              <w:t>88-0666433</w:t>
            </w:r>
          </w:p>
        </w:tc>
      </w:tr>
      <w:tr>
        <w:trPr/>
        <w:tc>
          <w:tcPr>
            <w:tcW w:w="252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840" w:type="dxa"/>
            <w:tcBorders/>
            <w:vAlign w:val="center"/>
          </w:tcPr>
          <w:p>
            <w:pPr>
              <w:pStyle w:val="TableContents"/>
              <w:bidi w:val="0"/>
              <w:spacing w:before="0" w:after="283"/>
              <w:jc w:val="center"/>
              <w:rPr/>
            </w:pPr>
            <w:r>
              <w:rPr/>
              <w:t xml:space="preserve">(IRS Employer Identification </w:t>
              <w:br/>
              <w:t>Number)</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c/o Mobileye B.V.</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9" w:name="xdx_90C_edei--EntityAddressAddressLine2_"/>
      <w:bookmarkEnd w:id="9"/>
      <w:r>
        <w:rPr>
          <w:rFonts w:ascii="Times New Roman;Times;Serif" w:hAnsi="Times New Roman;Times;Serif"/>
          <w:b/>
          <w:i w:val="false"/>
          <w:caps w:val="false"/>
          <w:smallCaps w:val="false"/>
          <w:sz w:val="20"/>
        </w:rPr>
        <w:t xml:space="preserve">Har Hotzvim, 1 Shlomo Momo HaLevi Street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Jerusalem </w:t>
      </w:r>
      <w:bookmarkStart w:id="11" w:name="xdx_90C_edei--EntityAddressPostalZipCode"/>
      <w:bookmarkEnd w:id="11"/>
      <w:r>
        <w:rPr>
          <w:rFonts w:ascii="Times New Roman;Times;Serif" w:hAnsi="Times New Roman;Times;Serif"/>
          <w:b/>
          <w:i w:val="false"/>
          <w:caps w:val="false"/>
          <w:smallCaps w:val="false"/>
          <w:sz w:val="20"/>
        </w:rPr>
        <w:t xml:space="preserve">9777015, </w:t>
      </w:r>
      <w:bookmarkStart w:id="12" w:name="xdx_900_edei--EntityAddressCountry_c2025"/>
      <w:bookmarkEnd w:id="12"/>
      <w:r>
        <w:rPr>
          <w:rFonts w:ascii="Times New Roman;Times;Serif" w:hAnsi="Times New Roman;Times;Serif"/>
          <w:b/>
          <w:i w:val="false"/>
          <w:caps w:val="false"/>
          <w:smallCaps w:val="false"/>
          <w:sz w:val="20"/>
        </w:rPr>
        <w:t>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w:t>
      </w:r>
      <w:bookmarkStart w:id="13" w:name="xdx_904_edei--CityAreaCode_c20250707__20"/>
      <w:bookmarkEnd w:id="13"/>
      <w:r>
        <w:rPr>
          <w:rFonts w:ascii="Times New Roman;Times;Serif" w:hAnsi="Times New Roman;Times;Serif"/>
          <w:b/>
          <w:i w:val="false"/>
          <w:caps w:val="false"/>
          <w:smallCaps w:val="false"/>
          <w:sz w:val="20"/>
          <w:shd w:fill="FFFFFF" w:val="clear"/>
        </w:rPr>
        <w:t>972-</w:t>
      </w:r>
      <w:bookmarkStart w:id="14" w:name="xdx_903_edei--LocalPhoneNumber_c20250707"/>
      <w:bookmarkEnd w:id="14"/>
      <w:r>
        <w:rPr>
          <w:rFonts w:ascii="Times New Roman;Times;Serif" w:hAnsi="Times New Roman;Times;Serif"/>
          <w:b/>
          <w:i w:val="false"/>
          <w:caps w:val="false"/>
          <w:smallCaps w:val="false"/>
          <w:sz w:val="20"/>
          <w:shd w:fill="FFFFFF" w:val="clear"/>
        </w:rPr>
        <w:t>2-541-7333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N/A</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A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9_edei--SolicitingMaterial_c202507"/>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4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6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80" w:type="dxa"/>
        <w:jc w:val="left"/>
        <w:tblInd w:w="-10" w:type="dxa"/>
        <w:tblLayout w:type="fixed"/>
        <w:tblCellMar>
          <w:top w:w="30" w:type="dxa"/>
          <w:left w:w="30" w:type="dxa"/>
          <w:bottom w:w="0" w:type="dxa"/>
          <w:right w:w="0" w:type="dxa"/>
        </w:tblCellMar>
      </w:tblPr>
      <w:tblGrid>
        <w:gridCol w:w="2855"/>
        <w:gridCol w:w="1415"/>
        <w:gridCol w:w="2810"/>
      </w:tblGrid>
      <w:tr>
        <w:trPr/>
        <w:tc>
          <w:tcPr>
            <w:tcW w:w="2855"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Title of each class</w:t>
            </w:r>
          </w:p>
        </w:tc>
        <w:tc>
          <w:tcPr>
            <w:tcW w:w="1415"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Trading Symbol</w:t>
            </w:r>
          </w:p>
        </w:tc>
        <w:tc>
          <w:tcPr>
            <w:tcW w:w="2810" w:type="dxa"/>
            <w:tcBorders>
              <w:top w:val="single" w:sz="8" w:space="0" w:color="000000"/>
              <w:left w:val="single" w:sz="8" w:space="0" w:color="000000"/>
              <w:right w:val="single" w:sz="8" w:space="0" w:color="000000"/>
            </w:tcBorders>
            <w:tcMar>
              <w:right w:w="30" w:type="dxa"/>
            </w:tcMar>
            <w:vAlign w:val="center"/>
          </w:tcPr>
          <w:p>
            <w:pPr>
              <w:pStyle w:val="TableContents"/>
              <w:bidi w:val="0"/>
              <w:spacing w:before="0" w:after="283"/>
              <w:jc w:val="center"/>
              <w:rPr>
                <w:b/>
                <w:sz w:val="20"/>
              </w:rPr>
            </w:pPr>
            <w:r>
              <w:rPr>
                <w:b/>
                <w:sz w:val="20"/>
              </w:rPr>
              <w:t>Name of each exchange on which</w:t>
              <w:br/>
              <w:t>registered</w:t>
            </w:r>
          </w:p>
        </w:tc>
      </w:tr>
      <w:tr>
        <w:trPr/>
        <w:tc>
          <w:tcPr>
            <w:tcW w:w="2855"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19" w:name="xdx_904_edei--Security12bTitle_c20250707"/>
            <w:bookmarkEnd w:id="19"/>
            <w:r>
              <w:rPr>
                <w:sz w:val="20"/>
              </w:rPr>
              <w:t>Common Stock ($0.001 Par Value)</w:t>
            </w:r>
          </w:p>
        </w:tc>
        <w:tc>
          <w:tcPr>
            <w:tcW w:w="1415"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20" w:name="xdx_90A_edei--TradingSymbol_c20250707__2"/>
            <w:bookmarkEnd w:id="20"/>
            <w:r>
              <w:rPr>
                <w:sz w:val="20"/>
              </w:rPr>
              <w:t>MBLY</w:t>
            </w:r>
          </w:p>
        </w:tc>
        <w:tc>
          <w:tcPr>
            <w:tcW w:w="2810" w:type="dxa"/>
            <w:tcBorders>
              <w:top w:val="single" w:sz="8" w:space="0" w:color="000000"/>
              <w:left w:val="single" w:sz="8" w:space="0" w:color="000000"/>
              <w:bottom w:val="single" w:sz="8" w:space="0" w:color="000000"/>
              <w:right w:val="single" w:sz="8" w:space="0" w:color="000000"/>
            </w:tcBorders>
            <w:tcMar>
              <w:bottom w:w="30" w:type="dxa"/>
              <w:right w:w="30" w:type="dxa"/>
            </w:tcMar>
            <w:vAlign w:val="center"/>
          </w:tcPr>
          <w:p>
            <w:pPr>
              <w:pStyle w:val="TableContents"/>
              <w:bidi w:val="0"/>
              <w:spacing w:before="0" w:after="283"/>
              <w:jc w:val="center"/>
              <w:rPr>
                <w:sz w:val="20"/>
              </w:rPr>
            </w:pPr>
            <w:bookmarkStart w:id="21" w:name="xdx_90C_edei--SecurityExchangeName_c2025"/>
            <w:bookmarkEnd w:id="21"/>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980"/>
        <w:gridCol w:w="4415"/>
      </w:tblGrid>
      <w:tr>
        <w:trPr/>
        <w:tc>
          <w:tcPr>
            <w:tcW w:w="980" w:type="dxa"/>
            <w:tcBorders/>
            <w:vAlign w:val="center"/>
          </w:tcPr>
          <w:p>
            <w:pPr>
              <w:pStyle w:val="TableContents"/>
              <w:bidi w:val="0"/>
              <w:spacing w:before="0" w:after="283"/>
              <w:jc w:val="left"/>
              <w:rPr>
                <w:b/>
              </w:rPr>
            </w:pPr>
            <w:r>
              <w:rPr>
                <w:b/>
              </w:rPr>
              <w:t>Item 1.01</w:t>
            </w:r>
          </w:p>
        </w:tc>
        <w:tc>
          <w:tcPr>
            <w:tcW w:w="441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Secondary Offering and Stock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 Global Inc. (the “Company”) today announced the commencement of an underwritten secondary public offering (the “Offering”) of 45 million shares of the Company’s Class A common stock (“Class A Stock”) by Intel Overseas Funding Corporation, a wholly owned subsidiary of Intel Corporation (the “Selling Stockholder”). The Selling Stockholder intends to grant the underwriters a 30-day option to purchase up to an additional 6.75 million shares of Class A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Company entered into an agreement (the “Share Repurchase Agreement”) with the Selling Stockholder to purchase $100 million aggregate amount of shares of Class A Stock from the Selling Stockholder, at a price per share equal to the per share purchase price to be paid by the underwriters in the Offering (the “Share Repurchase”). The Share Repurchase Agreement contains customary representations, warranties and covenants of the parties. The Offering is not conditioned upon the closing of the Share Repurchase, but the Share Repurchase is conditioned upon the closing of the Offering. The underwriters in the Offering will not receive any compensation for the shares of the Class A Stock being repurchased by the Company. The terms and conditions of the Share Repurchase were reviewed and approved by the disinterested members of the audit committee of the Company’s board of directors and by the disinterested members of the Company’s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Share Repurchase Agreement does not purport to be complete and is subject to and is qualified in its entirety by reference to the Share Repurchase Agreement, a copy of which is attached hereto as Exhibit 10.1 and the terms of which is incorporated herein by reference. The Selling Stockholder is the Company’s majority stockholder. For more information on the Selling Stockholder’s relationship to the Company, please refer to the Company’s Definitive Proxy Statement filed on April 25, 2025.</w:t>
      </w:r>
    </w:p>
    <w:p>
      <w:pPr>
        <w:pStyle w:val="TextBody"/>
        <w:bidi w:val="0"/>
        <w:spacing w:before="0" w:after="0"/>
        <w:ind w:left="0" w:right="0" w:firstLine="72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980"/>
        <w:gridCol w:w="4745"/>
      </w:tblGrid>
      <w:tr>
        <w:trPr/>
        <w:tc>
          <w:tcPr>
            <w:tcW w:w="980" w:type="dxa"/>
            <w:tcBorders/>
            <w:vAlign w:val="center"/>
          </w:tcPr>
          <w:p>
            <w:pPr>
              <w:pStyle w:val="TableContents"/>
              <w:bidi w:val="0"/>
              <w:spacing w:before="0" w:after="283"/>
              <w:jc w:val="left"/>
              <w:rPr>
                <w:b/>
              </w:rPr>
            </w:pPr>
            <w:r>
              <w:rPr>
                <w:b/>
              </w:rPr>
              <w:t>Item 2.02</w:t>
            </w:r>
          </w:p>
        </w:tc>
        <w:tc>
          <w:tcPr>
            <w:tcW w:w="474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below in Item 7.01 under the heading “Preliminary Estimated Results for the Three Months Ended June 28, 2025” is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980"/>
        <w:gridCol w:w="3965"/>
      </w:tblGrid>
      <w:tr>
        <w:trPr/>
        <w:tc>
          <w:tcPr>
            <w:tcW w:w="980" w:type="dxa"/>
            <w:tcBorders/>
            <w:vAlign w:val="center"/>
          </w:tcPr>
          <w:p>
            <w:pPr>
              <w:pStyle w:val="TableContents"/>
              <w:bidi w:val="0"/>
              <w:spacing w:before="0" w:after="283"/>
              <w:jc w:val="left"/>
              <w:rPr>
                <w:b/>
              </w:rPr>
            </w:pPr>
            <w:r>
              <w:rPr>
                <w:b/>
              </w:rPr>
              <w:t>Item 3.02</w:t>
            </w:r>
          </w:p>
        </w:tc>
        <w:tc>
          <w:tcPr>
            <w:tcW w:w="3965" w:type="dxa"/>
            <w:tcBorders/>
            <w:vAlign w:val="center"/>
          </w:tcPr>
          <w:p>
            <w:pPr>
              <w:pStyle w:val="TableContents"/>
              <w:bidi w:val="0"/>
              <w:spacing w:before="0" w:after="283"/>
              <w:jc w:val="left"/>
              <w:rPr>
                <w:b/>
              </w:rPr>
            </w:pPr>
            <w:r>
              <w:rPr>
                <w:b/>
              </w:rPr>
              <w:t>Unregistered Sales of Equity Securities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Selling Stockholder has informed the Company of its plan to voluntarily convert pursuant to the Company's Amended and Restated Certificate of Incorporation an additional 50 million shares of its outstanding Class B common stock to Class A Stock (the “Conversion”), contingent on the closing of the Offering. The Selling Stockholder has further informed the Company that it intends to hold the shares of Class A Stock at this time and that the Conversion is being effected solely to increase the number of shares of Class A Stock issued and outstanding. The Offering is not conditioned upon the closing of the Conversion, but the Conversion is conditioned upon the closing of the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Stock to be issued to the Selling Stockholder in the Conversion will be issued pursuant to an exemption from registration provided by Section 3(a)(9) of the Securities Act of 1933. The Company will receive no proceeds from the issuance of the shares in the Conversion.</w:t>
      </w:r>
    </w:p>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980"/>
        <w:gridCol w:w="2645"/>
      </w:tblGrid>
      <w:tr>
        <w:trPr/>
        <w:tc>
          <w:tcPr>
            <w:tcW w:w="980" w:type="dxa"/>
            <w:tcBorders/>
            <w:vAlign w:val="center"/>
          </w:tcPr>
          <w:p>
            <w:pPr>
              <w:pStyle w:val="TableContents"/>
              <w:bidi w:val="0"/>
              <w:spacing w:before="0" w:after="283"/>
              <w:jc w:val="left"/>
              <w:rPr>
                <w:b/>
              </w:rPr>
            </w:pPr>
            <w:r>
              <w:rPr>
                <w:b/>
              </w:rPr>
              <w:t>Item 7.01</w:t>
            </w:r>
          </w:p>
        </w:tc>
        <w:tc>
          <w:tcPr>
            <w:tcW w:w="264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Company intends to provide the following disclosure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Events in Israel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2025, Israel launched a preemptive attack on Iran, to which Iran responded with ballistic missile and drone attacks. On June 23, 2025, Israel and Iran agreed to a ceasefire, although there is no assurance that the ceasefire will continue. How long and how severe the current conflict may become is unknown at this time, and any continued clash among Israel and Iran or other countries or militant groups in the region may escalate in the future into a greater regional conflict. The Company expects that the current conflict as well as the security escalation in Israel will not have a material impact on its business results in the short term. The Company has a business continuity plan in place to address a range of scenarios, including potential escalations, which it believes has proven effective over the past 18 months. However, since these are events beyond the Company’s control, their continuation or cessation may affect the Company’s expectations. The Company continues to monitor political and military developments closely and examine the consequences for its operations and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with TSMC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long-standing relationship with STMicroelectronics to manufacture its EyeQ products. As part of an effort to establish redundancy and better control of its supply chain, the Company has sought additional qualified suppliers, and it has recently entered into an agreement with TSMC (Taiwan Semiconductor Manufacturing Company Ltd.) under which it will manufacture components of the Company’s imaging radar and some of its future generations of its EyeQ product, and potentially other future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Preliminary Estimated Results for the Three Months Ended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reflects certain preliminary estimated results for the three months ended June 28, 2025 and actual financial results derived from the Company’s unaudited condensed consolidated financial statements for the three months ended June 29, 2024:</w:t>
      </w:r>
    </w:p>
    <w:p>
      <w:pPr>
        <w:pStyle w:val="TextBody"/>
        <w:bidi w:val="0"/>
        <w:spacing w:before="0" w:after="0"/>
        <w:ind w:left="0" w:right="0" w:firstLine="360"/>
        <w:jc w:val="left"/>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2510"/>
        <w:gridCol w:w="60"/>
        <w:gridCol w:w="254"/>
        <w:gridCol w:w="684"/>
        <w:gridCol w:w="163"/>
        <w:gridCol w:w="122"/>
        <w:gridCol w:w="254"/>
        <w:gridCol w:w="684"/>
        <w:gridCol w:w="120"/>
        <w:gridCol w:w="90"/>
        <w:gridCol w:w="322"/>
        <w:gridCol w:w="867"/>
        <w:gridCol w:w="95"/>
      </w:tblGrid>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6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(Ended)</w:t>
            </w:r>
          </w:p>
        </w:tc>
        <w:tc>
          <w:tcPr>
            <w:tcW w:w="9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61"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28, 2025 (estimated)</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b/>
                <w:sz w:val="20"/>
              </w:rPr>
            </w:pPr>
            <w:r>
              <w:rPr>
                <w:b/>
                <w:sz w:val="20"/>
              </w:rPr>
              <w:t>June 29, 2024</w:t>
            </w:r>
          </w:p>
        </w:tc>
        <w:tc>
          <w:tcPr>
            <w:tcW w:w="9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Low</w:t>
            </w:r>
          </w:p>
        </w:tc>
        <w:tc>
          <w:tcPr>
            <w:tcW w:w="163"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High</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8" w:type="dxa"/>
            <w:gridSpan w:val="2"/>
            <w:tcBorders/>
            <w:vAlign w:val="center"/>
          </w:tcPr>
          <w:p>
            <w:pPr>
              <w:pStyle w:val="TableContents"/>
              <w:bidi w:val="0"/>
              <w:spacing w:before="0" w:after="283"/>
              <w:jc w:val="center"/>
              <w:rPr/>
            </w:pPr>
            <w:r>
              <w:rPr/>
              <w:t> </w:t>
            </w:r>
          </w:p>
        </w:tc>
        <w:tc>
          <w:tcPr>
            <w:tcW w:w="163"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38" w:type="dxa"/>
            <w:gridSpan w:val="2"/>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60" w:type="dxa"/>
            <w:gridSpan w:val="1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millions)</w:t>
            </w:r>
          </w:p>
        </w:tc>
        <w:tc>
          <w:tcPr>
            <w:tcW w:w="95" w:type="dxa"/>
            <w:tcBorders/>
            <w:vAlign w:val="center"/>
          </w:tcPr>
          <w:p>
            <w:pPr>
              <w:pStyle w:val="TableContents"/>
              <w:bidi w:val="0"/>
              <w:spacing w:before="0" w:after="283"/>
              <w:ind w:left="0" w:right="0" w:hanging="187"/>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w:t>
            </w:r>
          </w:p>
        </w:tc>
        <w:tc>
          <w:tcPr>
            <w:tcW w:w="95" w:type="dxa"/>
            <w:tcBorders/>
            <w:shd w:fill="CCEEFF" w:val="clear"/>
            <w:vAlign w:val="center"/>
          </w:tcPr>
          <w:p>
            <w:pPr>
              <w:pStyle w:val="TableContents"/>
              <w:bidi w:val="0"/>
              <w:spacing w:before="0" w:after="283"/>
              <w:ind w:left="0" w:right="0" w:hanging="187"/>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(loss) income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5" w:type="dxa"/>
            <w:tcBorders/>
            <w:shd w:fill="FFFFFF" w:val="clear"/>
            <w:vAlign w:val="center"/>
          </w:tcPr>
          <w:p>
            <w:pPr>
              <w:pStyle w:val="TableContents"/>
              <w:bidi w:val="0"/>
              <w:spacing w:before="0" w:after="283"/>
              <w:ind w:left="0" w:right="0" w:hanging="18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Adjusted operating income(1)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Adjusted Operating Income is a non-GAAP financial measure. In addition to the Company’s financial results determined in accordance with GAAP, its management uses Adjusted Operating Income as a key measure in operating its business. The Company use this non-GAAP financial measure to make strategic decisions, establish business plans and forecasts, identify trends affecting its business, and evaluate performance. For example, the Company use this non-GAAP financial measure to assess its pricing and sourcing strategy, in the preparation of its annual operating budget, and as a measure of its operating performance. The Company believes that Adjusted Operating Income may be helpful to investors because it allows for greater transparency into what measures its management (and the management of Intel Corporation (“Intel”)) uses in operating the Company’s business and measuring its performance, and enables comparison of financial trends and results between periods where items may vary independent of business performance. This non-GAAP financial measure is presented for supplemental informational purposes only, should not be considered a substitute for financial information presented in accordance with GAAP, and may be different from similarly titled non-GAAP measures used by other companies.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excluding items that neither relate to the ordinary course of business nor reflect its underlying business performance, such as the amortization of intangible assets, enables management and its investors to compare its underlying business performance from period-to-period. Accordingly, the Company believes these adjustments facilitate a useful evaluation of its current operating performance and comparison to its past operating performance and provide investors with additional means to evaluate cost and expense trends. In addition, the Company also believes these adjustments enhance comparability of its financial performance against those of other technology companies.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non-GAAP financial measures reflect adjustments for amortization charges for its acquisition-related intangible assets and share-based compensation expense as well as the related income tax effects where applicable. The Company excludes amortization charges for its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its acquisitions. These amortization charges relate to intangible assets consisting of developed technology, customer relationships, and brands as a result of Intel’s acquisition of the Company in 2017 and the acquisition of Moovit in 2020. The Company believes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the Company excludes share-based compensation expenses from its non-GAAP measures, equity compensation has been, and will continue to be, an important part of its future compensation strategy and a significant component of its future expenses, and may increase in future periods.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is provided below for Adjusted Operating Income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the Company’s consolidated financial statements and related notes in its Annual Report on Form 10-K for the year ended December 28, 2024 (the “2024 10-K”) and its Quarterly Report on Form 10-Q for the quarterly period ended March 29, 2025 (the “Q1 Quarterly Report”).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Operating Income as operating income (loss) presented in accordance with GAAP, adjusted to exclude amortization of acquisition related intangibles and share-based compensation expense.</w:t>
      </w:r>
    </w:p>
    <w:p>
      <w:pPr>
        <w:pStyle w:val="TextBody"/>
        <w:bidi w:val="0"/>
        <w:spacing w:before="0" w:after="0"/>
        <w:ind w:left="0" w:right="0" w:firstLine="360"/>
        <w:jc w:val="left"/>
        <w:rPr>
          <w:caps w:val="false"/>
          <w:smallCaps w:val="false"/>
        </w:rPr>
      </w:pPr>
      <w:r>
        <w:rPr>
          <w:caps w:val="false"/>
          <w:smallCaps w:val="false"/>
        </w:rPr>
        <w:t> </w:t>
      </w:r>
    </w:p>
    <w:tbl>
      <w:tblPr>
        <w:tblW w:w="7680" w:type="dxa"/>
        <w:jc w:val="left"/>
        <w:tblInd w:w="0" w:type="dxa"/>
        <w:tblLayout w:type="fixed"/>
        <w:tblCellMar>
          <w:top w:w="0" w:type="dxa"/>
          <w:left w:w="0" w:type="dxa"/>
          <w:bottom w:w="0" w:type="dxa"/>
          <w:right w:w="0" w:type="dxa"/>
        </w:tblCellMar>
      </w:tblPr>
      <w:tblGrid>
        <w:gridCol w:w="3965"/>
        <w:gridCol w:w="60"/>
        <w:gridCol w:w="254"/>
        <w:gridCol w:w="684"/>
        <w:gridCol w:w="163"/>
        <w:gridCol w:w="122"/>
        <w:gridCol w:w="254"/>
        <w:gridCol w:w="684"/>
        <w:gridCol w:w="120"/>
        <w:gridCol w:w="90"/>
        <w:gridCol w:w="322"/>
        <w:gridCol w:w="867"/>
        <w:gridCol w:w="95"/>
      </w:tblGrid>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6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(Ended)</w:t>
            </w:r>
          </w:p>
        </w:tc>
        <w:tc>
          <w:tcPr>
            <w:tcW w:w="95" w:type="dxa"/>
            <w:tcBorders/>
            <w:vAlign w:val="center"/>
          </w:tcPr>
          <w:p>
            <w:pPr>
              <w:pStyle w:val="TableContents"/>
              <w:bidi w:val="0"/>
              <w:spacing w:before="0" w:after="283"/>
              <w:jc w:val="center"/>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61"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28, 2025 (estimated)</w:t>
            </w:r>
          </w:p>
        </w:tc>
        <w:tc>
          <w:tcPr>
            <w:tcW w:w="1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29, 2024</w:t>
            </w:r>
          </w:p>
        </w:tc>
        <w:tc>
          <w:tcPr>
            <w:tcW w:w="95" w:type="dxa"/>
            <w:tcBorders/>
            <w:vAlign w:val="center"/>
          </w:tcPr>
          <w:p>
            <w:pPr>
              <w:pStyle w:val="TableContents"/>
              <w:bidi w:val="0"/>
              <w:spacing w:before="0" w:after="283"/>
              <w:jc w:val="center"/>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Low</w:t>
            </w:r>
          </w:p>
        </w:tc>
        <w:tc>
          <w:tcPr>
            <w:tcW w:w="163" w:type="dxa"/>
            <w:tcBorders/>
            <w:vAlign w:val="center"/>
          </w:tcPr>
          <w:p>
            <w:pPr>
              <w:pStyle w:val="TableContents"/>
              <w:bidi w:val="0"/>
              <w:spacing w:before="0" w:after="283"/>
              <w:jc w:val="center"/>
              <w:rPr/>
            </w:pPr>
            <w:r>
              <w:rPr/>
              <w:t> </w:t>
            </w:r>
          </w:p>
        </w:tc>
        <w:tc>
          <w:tcPr>
            <w:tcW w:w="122" w:type="dxa"/>
            <w:tcBorders/>
            <w:vAlign w:val="center"/>
          </w:tcPr>
          <w:p>
            <w:pPr>
              <w:pStyle w:val="TableContents"/>
              <w:bidi w:val="0"/>
              <w:spacing w:before="0" w:after="283"/>
              <w:jc w:val="center"/>
              <w:rPr/>
            </w:pPr>
            <w:r>
              <w:rPr/>
              <w:t> </w:t>
            </w:r>
          </w:p>
        </w:tc>
        <w:tc>
          <w:tcPr>
            <w:tcW w:w="93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High</w:t>
            </w:r>
          </w:p>
        </w:tc>
        <w:tc>
          <w:tcPr>
            <w:tcW w:w="1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8" w:type="dxa"/>
            <w:gridSpan w:val="2"/>
            <w:tcBorders/>
            <w:vAlign w:val="center"/>
          </w:tcPr>
          <w:p>
            <w:pPr>
              <w:pStyle w:val="TableContents"/>
              <w:bidi w:val="0"/>
              <w:spacing w:before="0" w:after="283"/>
              <w:jc w:val="center"/>
              <w:rPr/>
            </w:pPr>
            <w:r>
              <w:rPr/>
              <w:t> </w:t>
            </w:r>
          </w:p>
        </w:tc>
        <w:tc>
          <w:tcPr>
            <w:tcW w:w="163" w:type="dxa"/>
            <w:tcBorders/>
            <w:vAlign w:val="center"/>
          </w:tcPr>
          <w:p>
            <w:pPr>
              <w:pStyle w:val="TableContents"/>
              <w:bidi w:val="0"/>
              <w:spacing w:before="0" w:after="283"/>
              <w:jc w:val="center"/>
              <w:rPr/>
            </w:pPr>
            <w:r>
              <w:rPr/>
              <w:t> </w:t>
            </w:r>
          </w:p>
        </w:tc>
        <w:tc>
          <w:tcPr>
            <w:tcW w:w="122" w:type="dxa"/>
            <w:tcBorders/>
            <w:vAlign w:val="center"/>
          </w:tcPr>
          <w:p>
            <w:pPr>
              <w:pStyle w:val="TableContents"/>
              <w:bidi w:val="0"/>
              <w:spacing w:before="0" w:after="283"/>
              <w:jc w:val="center"/>
              <w:rPr/>
            </w:pPr>
            <w:r>
              <w:rPr/>
              <w:t> </w:t>
            </w:r>
          </w:p>
        </w:tc>
        <w:tc>
          <w:tcPr>
            <w:tcW w:w="938" w:type="dxa"/>
            <w:gridSpan w:val="2"/>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560" w:type="dxa"/>
            <w:gridSpan w:val="1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millions)</w:t>
            </w:r>
          </w:p>
        </w:tc>
        <w:tc>
          <w:tcPr>
            <w:tcW w:w="95" w:type="dxa"/>
            <w:tcBorders/>
            <w:vAlign w:val="center"/>
          </w:tcPr>
          <w:p>
            <w:pPr>
              <w:pStyle w:val="TableContents"/>
              <w:bidi w:val="0"/>
              <w:spacing w:before="0" w:after="283"/>
              <w:ind w:left="0" w:right="0" w:hanging="187"/>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(loss) income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5" w:type="dxa"/>
            <w:tcBorders/>
            <w:shd w:fill="CCEEFF" w:val="clear"/>
            <w:vAlign w:val="center"/>
          </w:tcPr>
          <w:p>
            <w:pPr>
              <w:pStyle w:val="TableContents"/>
              <w:bidi w:val="0"/>
              <w:spacing w:before="0" w:after="283"/>
              <w:ind w:left="0" w:right="0" w:hanging="18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 Amortization of acquired intangible assets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5" w:type="dxa"/>
            <w:tcBorders/>
            <w:shd w:fill="FFFFFF" w:val="clear"/>
            <w:vAlign w:val="center"/>
          </w:tcPr>
          <w:p>
            <w:pPr>
              <w:pStyle w:val="TableContents"/>
              <w:bidi w:val="0"/>
              <w:spacing w:before="0" w:after="283"/>
              <w:ind w:left="0" w:right="0" w:hanging="187"/>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 Share-based compensation expense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5" w:type="dxa"/>
            <w:tcBorders/>
            <w:shd w:fill="CCEEFF" w:val="clear"/>
            <w:vAlign w:val="center"/>
          </w:tcPr>
          <w:p>
            <w:pPr>
              <w:pStyle w:val="TableContents"/>
              <w:bidi w:val="0"/>
              <w:spacing w:before="0" w:after="283"/>
              <w:ind w:left="0" w:right="0" w:hanging="187"/>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Adjusted operating income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that its revenue for the three months ended June 28, 2025 will be between $502 million and $506 million, an increase of $63 million to $67 million, or approximately 14% to 15%, as compared to revenue of $439 million for the three months ended June 29, 2024. The increase in the Company’s revenue is expected to be primarily due to an increase in EyeQ SOC revenue resulting from higher customer demand and the normalization of excess inventory by the Company’s Tier 1 customers that was previously used to satisfy demand during 2024. The Company’s quarterly preliminary results reflect strong industry conditions; the Company continues to monitor for potential headwinds from tariffs and other macroeconomic conditions.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provided ranges of preliminary estimated results for selected unaudited financial information for the three months ended June 28, 2025. The Company’s final results remain subject to management’s final review and adjustments, its other closing procedures, and any subsequent events. Accordingly, you should not place undue reliance on the Company’s preliminary estimated results for the three months ended June 28, 2025, which may differ from actual results. During the course of the preparation of the Company’s unaudited condensed consolidated financial statements for the three months ended June 28, 2025 and the notes thereto by management, additional items that require adjustments to the preliminary estimated results presented herein may be identified. The preliminary estimated results that are presented as ranges are not intended to imply that actual results could not fall outside of the estimated ranges. For further discussion of some of the factors that may cause actual results to vary materially from the preliminary estimated results provided above, see “Cautionary Statement Regarding Forward-Looking Statements” and “Risk Factors.”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estimated financial data included in this Current Report on Form 8-K has been prepared on the basis of currently available information by, and is the responsibility of, management. The Company’s independent registered public accounting firm, Kesselman &amp; Kesselman, Certified Public Accountants (Isr.), a member firm of PricewaterhouseCoopers International Limited, has not audited, reviewed, examined, compiled, nor applied agreed-upon procedures with respect to the preliminary estimated financial data. Accordingly, Kesselman &amp; Kesselman does not express an opinion or any other form of assurance with respect thereto.</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estimated results provided herein do not represent a comprehensive statement of the Company’s financial results and should not be viewed as a substitute for the unaudited condensed consolidated financial statements prepared in accordance with GAAP. In addition, the preliminary estimates for the three months ended June 28, 2025 are not necessarily indicative of the results to be achieved in any future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 7.01 of this Current Report on Form 8-K is being furnished and shall not be deemed “filed” for purposes of Section 18 of the Securities Exchange Act of 1934, as amended, or otherwise subject to the liabilities of that section, nor shall such information and exhibits be deemed incorporated by reference into any other filing under the Securities Act of 1933, as amended, regardless of any general incorporation language in any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980"/>
        <w:gridCol w:w="3500"/>
      </w:tblGrid>
      <w:tr>
        <w:trPr/>
        <w:tc>
          <w:tcPr>
            <w:tcW w:w="980"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w:anchor="tm2519655d2_ex10-1.htm">
              <w:r>
                <w:rPr>
                  <w:rStyle w:val="InternetLink"/>
                  <w:rFonts w:ascii="Times New Roman;Times;Serif" w:hAnsi="Times New Roman;Times;Serif"/>
                  <w:sz w:val="20"/>
                </w:rPr>
                <w:t>10.1</w:t>
              </w:r>
            </w:hyperlink>
          </w:p>
        </w:tc>
        <w:tc>
          <w:tcPr>
            <w:tcW w:w="9810" w:type="dxa"/>
            <w:tcBorders/>
            <w:vAlign w:val="center"/>
          </w:tcPr>
          <w:p>
            <w:pPr>
              <w:pStyle w:val="TableContents"/>
              <w:bidi w:val="0"/>
              <w:spacing w:before="0" w:after="283"/>
              <w:jc w:val="left"/>
              <w:rPr/>
            </w:pPr>
            <w:hyperlink w:anchor="tm2519655d2_ex10-1.htm">
              <w:r>
                <w:rPr>
                  <w:rStyle w:val="InternetLink"/>
                  <w:rFonts w:ascii="Times New Roman;Times;Serif" w:hAnsi="Times New Roman;Times;Serif"/>
                  <w:sz w:val="20"/>
                </w:rPr>
                <w:t>Share Repurchase Agreement, dated July 7, 2025 by and between Mobileye Global Inc. and</w:t>
              </w:r>
            </w:hyperlink>
            <w:hyperlink w:anchor="tm2519655d2_ex10-1.htm">
              <w:r>
                <w:rPr>
                  <w:rStyle w:val="InternetLink"/>
                </w:rPr>
                <w:t xml:space="preserve"> Intel Overseas Funding Corporation</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in iXBRL)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Statement About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5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outlook, guidance and other statements in this Current Report on Form 8-K that are not statements of historical fact, including statements about its beliefs and expectations, are forward-looking statements and should be evaluated as such. Forward-looking statements include information concerning possible or assumed future results of operations, including the Company’s preliminary estimated financial results for the three months ended June 28, 2025.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The Company bases these forward-looking statements or projections, including its full-year guidance, on its current expectations, plans and assumptions that it has made in light of its experience in the industry, as well as its perceptions of historical trends, current conditions, expected future developments and other factors it believes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the Company believes that these forward-looking statements and projections are based on reasonable assumptions at the time they are made, you should be aware that many factors could affect its actual financial results or results of operations and could cause actual results to differ materially from those expressed in the forward-looking statements and projections.</w:t>
      </w:r>
    </w:p>
    <w:p>
      <w:pPr>
        <w:pStyle w:val="TextBody"/>
        <w:bidi w:val="0"/>
        <w:spacing w:before="0" w:after="0"/>
        <w:ind w:left="0" w:right="0" w:firstLine="45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may materially affect such forward-looking statements and projections include the following: further deterioration of macroeconomic conditions due to ongoing global economic and political uncertainty (as the Company’s current guidance assumes the estimated production and/or demand impact of current tariff conditions); the Company's preliminary estimated financial results for the three months ended June 28, 2025; future business, social and environmental performance, goals and measures; its anticipated growth prospects and trends in markets and industries relevant to its business; business and investment plans; expectations about its ability to maintain or enhance its leadership position in the markets in which it participates; future consumer demand and behavior, including expectations about excess inventory utilization by customers; its ability to effectively compete in the markets in which it operates; future products and technology, and the expected availability and benefits of such products and technology; development of regulatory frameworks for current and future technology; changes in regulation and trade policy, including increased tariffs, in regions in which it operates, including the U.S., Europe and China; projected cost and pricing trends; future production capacity and product supply; potential future benefits and competitive advantages associated with its technologies and architecture and the data it has accumulated; the future purchase, use and availability of products, components and services supplied by third parties, including third-party IP and manufacturing services; uncertain events or assumptions, including statements relating to its estimated vehicle production and market opportunity, potential production volumes associated with design wins and other characterizations of future events or circumstances; availability, uses, sufficiency and cost of capital and capital resources, including expected returns to stockholders such as dividends, and the expected timing of future dividends; tax- and accounting-related expectations; adverse conditions in Israel, including in connection with Israeli military operations in response to the October 7, 2023 terrorist attacks or the current conflict between Israel and Iran, which may affect its operations and may limit its ability to produce and sell its solutions; and any disruption in its operations by the obligations of its personnel to perform military service as a result of current or future military actions involving Israel. Detailed information regarding these and other factors that could affect the Company’s business and results is included in its SEC filings, including its 2024 10-K and Q1 Quarterly Report, particularly in the section entitled “Item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015" w:type="dxa"/>
        <w:jc w:val="left"/>
        <w:tblInd w:w="0" w:type="dxa"/>
        <w:tblLayout w:type="fixed"/>
        <w:tblCellMar>
          <w:top w:w="0" w:type="dxa"/>
          <w:left w:w="0" w:type="dxa"/>
          <w:bottom w:w="0" w:type="dxa"/>
          <w:right w:w="0" w:type="dxa"/>
        </w:tblCellMar>
      </w:tblPr>
      <w:tblGrid>
        <w:gridCol w:w="1775"/>
        <w:gridCol w:w="365"/>
        <w:gridCol w:w="3875"/>
      </w:tblGrid>
      <w:tr>
        <w:trPr/>
        <w:tc>
          <w:tcPr>
            <w:tcW w:w="1775"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b/>
              </w:rPr>
            </w:pPr>
            <w:r>
              <w:rPr>
                <w:b/>
              </w:rPr>
              <w:t>Mobileye Global Inc.</w:t>
            </w:r>
          </w:p>
        </w:tc>
      </w:tr>
      <w:tr>
        <w:trPr/>
        <w:tc>
          <w:tcPr>
            <w:tcW w:w="1775"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Date: July 8, 2025</w:t>
            </w:r>
          </w:p>
        </w:tc>
        <w:tc>
          <w:tcPr>
            <w:tcW w:w="365" w:type="dxa"/>
            <w:tcBorders/>
            <w:vAlign w:val="center"/>
          </w:tcPr>
          <w:p>
            <w:pPr>
              <w:pStyle w:val="TableContents"/>
              <w:bidi w:val="0"/>
              <w:spacing w:before="0" w:after="283"/>
              <w:jc w:val="left"/>
              <w:rPr/>
            </w:pPr>
            <w:r>
              <w:rPr/>
              <w:t>By:</w:t>
            </w:r>
          </w:p>
        </w:tc>
        <w:tc>
          <w:tcPr>
            <w:tcW w:w="3875" w:type="dxa"/>
            <w:tcBorders>
              <w:bottom w:val="single" w:sz="8" w:space="0" w:color="000000"/>
            </w:tcBorders>
            <w:tcMar>
              <w:bottom w:w="28" w:type="dxa"/>
            </w:tcMar>
            <w:vAlign w:val="center"/>
          </w:tcPr>
          <w:p>
            <w:pPr>
              <w:pStyle w:val="TableContents"/>
              <w:bidi w:val="0"/>
              <w:spacing w:before="0" w:after="283"/>
              <w:jc w:val="left"/>
              <w:rPr/>
            </w:pPr>
            <w:r>
              <w:rPr/>
              <w:t>/s/ Prof. Amnon Shashua</w:t>
            </w:r>
          </w:p>
        </w:tc>
      </w:tr>
      <w:tr>
        <w:trPr/>
        <w:tc>
          <w:tcPr>
            <w:tcW w:w="17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Prof. Amnon Shashua</w:t>
            </w:r>
          </w:p>
        </w:tc>
      </w:tr>
      <w:tr>
        <w:trPr/>
        <w:tc>
          <w:tcPr>
            <w:tcW w:w="17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519655d2_ex10-1.htm"/>
      <w:bookmarkStart w:id="24" w:name="kstm2519655d2_ex101"/>
      <w:bookmarkEnd w:id="23"/>
      <w:bookmarkEnd w:id="24"/>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SHARE REPURCHASE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as of July 7, 2025 by and between Mobileye Global Inc., a Delaware corporation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and Intel Overseas Funding Corporation, a Delaware corporation (the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Each of the Corporation and the Seller shall be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together,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Seller holds 711,500,000 shares of Class B common stock, par value $0.01 per share, of the Corporation (“</w:t>
      </w:r>
      <w:r>
        <w:rPr>
          <w:rFonts w:ascii="Times New Roman;Times;Serif" w:hAnsi="Times New Roman;Times;Serif"/>
          <w:b/>
          <w:i w:val="false"/>
          <w:caps w:val="false"/>
          <w:smallCaps w:val="false"/>
          <w:sz w:val="20"/>
        </w:rPr>
        <w:t>Class B Stock</w:t>
      </w:r>
      <w:r>
        <w:rPr>
          <w:rFonts w:ascii="Times New Roman;Times;Serif" w:hAnsi="Times New Roman;Times;Serif"/>
          <w:b w:val="false"/>
          <w:i w:val="false"/>
          <w:caps w:val="false"/>
          <w:smallCaps w:val="false"/>
          <w:sz w:val="20"/>
        </w:rPr>
        <w:t>”), which are convertible into shares of Class A common stock, par value $0.01 per share, of the Corporation (“</w:t>
      </w:r>
      <w:r>
        <w:rPr>
          <w:rFonts w:ascii="Times New Roman;Times;Serif" w:hAnsi="Times New Roman;Times;Serif"/>
          <w:b/>
          <w:i w:val="false"/>
          <w:caps w:val="false"/>
          <w:smallCaps w:val="false"/>
          <w:sz w:val="20"/>
        </w:rPr>
        <w:t>Class A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Seller, the Corporation and Goldman Sachs &amp; Co. LLC, as representative of the several underwriters party thereto, intend to enter into an Underwriting Agreement with respect to an underwritten offering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by the Seller of certain shares of Class A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Seller desires to sell, and the Corporation desires to repurchase, contingent on the closing of the Offering, a certain number of Class A Shares, rounded down to the nearest whole share (the “</w:t>
      </w:r>
      <w:r>
        <w:rPr>
          <w:rFonts w:ascii="Times New Roman;Times;Serif" w:hAnsi="Times New Roman;Times;Serif"/>
          <w:b/>
          <w:i w:val="false"/>
          <w:caps w:val="false"/>
          <w:smallCaps w:val="false"/>
          <w:sz w:val="20"/>
        </w:rPr>
        <w:t>Seller Class A Shares</w:t>
      </w:r>
      <w:r>
        <w:rPr>
          <w:rFonts w:ascii="Times New Roman;Times;Serif" w:hAnsi="Times New Roman;Times;Serif"/>
          <w:b w:val="false"/>
          <w:i w:val="false"/>
          <w:caps w:val="false"/>
          <w:smallCaps w:val="false"/>
          <w:sz w:val="20"/>
        </w:rPr>
        <w:t>”), for an aggregate amount of $100 million, on the terms and subject to the conditions contained in this Agreement (the “</w:t>
      </w:r>
      <w:r>
        <w:rPr>
          <w:rFonts w:ascii="Times New Roman;Times;Serif" w:hAnsi="Times New Roman;Times;Serif"/>
          <w:b/>
          <w:i w:val="false"/>
          <w:caps w:val="false"/>
          <w:smallCaps w:val="false"/>
          <w:sz w:val="20"/>
        </w:rPr>
        <w:t>Share Repurchase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Share Repurchase, the Seller shall convert a number of shares of Class B Stock held by the Seller equal to the Seller Class A Shares (the “</w:t>
      </w:r>
      <w:r>
        <w:rPr>
          <w:rFonts w:ascii="Times New Roman;Times;Serif" w:hAnsi="Times New Roman;Times;Serif"/>
          <w:b/>
          <w:i w:val="false"/>
          <w:caps w:val="false"/>
          <w:smallCaps w:val="false"/>
          <w:sz w:val="20"/>
        </w:rPr>
        <w:t>Seller Class B Shares</w:t>
      </w:r>
      <w:r>
        <w:rPr>
          <w:rFonts w:ascii="Times New Roman;Times;Serif" w:hAnsi="Times New Roman;Times;Serif"/>
          <w:b w:val="false"/>
          <w:i w:val="false"/>
          <w:caps w:val="false"/>
          <w:smallCaps w:val="false"/>
          <w:sz w:val="20"/>
        </w:rPr>
        <w:t>”) into an equivalent number of shares of Class A Stock, subject to the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Seller Class A Shares will be held by the Corporation as treasury stock upon the consummation of the Share Repurchase, subject to the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given the actual or potential conflicts of interest of Saf Yeboah-Amankwah, Patrick Bombach and Frank D. Yeary (“</w:t>
      </w:r>
      <w:r>
        <w:rPr>
          <w:rFonts w:ascii="Times New Roman;Times;Serif" w:hAnsi="Times New Roman;Times;Serif"/>
          <w:b/>
          <w:i w:val="false"/>
          <w:caps w:val="false"/>
          <w:smallCaps w:val="false"/>
          <w:sz w:val="20"/>
        </w:rPr>
        <w:t>Mr. Yeary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Intel Directors</w:t>
      </w:r>
      <w:r>
        <w:rPr>
          <w:rFonts w:ascii="Times New Roman;Times;Serif" w:hAnsi="Times New Roman;Times;Serif"/>
          <w:b w:val="false"/>
          <w:i w:val="false"/>
          <w:caps w:val="false"/>
          <w:smallCaps w:val="false"/>
          <w:sz w:val="20"/>
        </w:rPr>
        <w:t>”), the Intel Directors elected to recuse themselves from deliberating on the Share Repurchase and voting on the approval of the Corporation’s entry into the Share Repurchase, and were not present at and did not participate in the deliberation and vote concerning the Share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of directors of the Corporation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(other than the Intel Directors) and the Audit Committee (the “</w:t>
      </w: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 of the Board (other than Mr. Yeary) reviewed the Share Repurchase and determined that the Share Repurchase is in the best interests of the Corporation and the holders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(other than the Intel Directors) and the Audit Committee (other than Mr. Yeary) approved the Share Repurchase and related transactions that may be required in connection with the Share Repurchase;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it is the intention of the Parties that the Share Repurchase be a private sale of securities that is exempt from the registration and prospectus delivery requirements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promises and the mutual covenants contained herein and other good and valuable consideration, the receipt and sufficiency of which are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caps w:val="false"/>
          <w:smallCaps w:val="false"/>
          <w:sz w:val="20"/>
        </w:rPr>
        <w:t>Purchase and Sale of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Sale of Shares</w:t>
      </w:r>
      <w:r>
        <w:rPr>
          <w:rFonts w:ascii="Times New Roman;Times;Serif" w:hAnsi="Times New Roman;Times;Serif"/>
          <w:b w:val="false"/>
          <w:i w:val="false"/>
          <w:caps w:val="false"/>
          <w:smallCaps w:val="false"/>
          <w:sz w:val="20"/>
        </w:rPr>
        <w:t>. Subject to the terms and conditions of this Agreement, the Seller agrees to sell to the Corporation, and the Corporation agrees to purchase from the Seller, on the Closing Date (as defined below) the Seller Class A Shares at a price per share equal to the Share Purchase Price (as defined below) for an aggregate amount of $100 million (the “</w:t>
      </w:r>
      <w:r>
        <w:rPr>
          <w:rFonts w:ascii="Times New Roman;Times;Serif" w:hAnsi="Times New Roman;Times;Serif"/>
          <w:b/>
          <w:i w:val="false"/>
          <w:caps w:val="false"/>
          <w:smallCaps w:val="false"/>
          <w:sz w:val="20"/>
        </w:rPr>
        <w:t>Aggregate Repurchase Price</w:t>
      </w:r>
      <w:r>
        <w:rPr>
          <w:rFonts w:ascii="Times New Roman;Times;Serif" w:hAnsi="Times New Roman;Times;Serif"/>
          <w:b w:val="false"/>
          <w:i w:val="false"/>
          <w:caps w:val="false"/>
          <w:smallCaps w:val="false"/>
          <w:sz w:val="20"/>
        </w:rPr>
        <w:t>”). As used herein, the parties hereto acknowledge that the “</w:t>
      </w:r>
      <w:r>
        <w:rPr>
          <w:rFonts w:ascii="Times New Roman;Times;Serif" w:hAnsi="Times New Roman;Times;Serif"/>
          <w:b/>
          <w:i w:val="false"/>
          <w:caps w:val="false"/>
          <w:smallCaps w:val="false"/>
          <w:sz w:val="20"/>
        </w:rPr>
        <w:t>Share Purchase Price</w:t>
      </w:r>
      <w:r>
        <w:rPr>
          <w:rFonts w:ascii="Times New Roman;Times;Serif" w:hAnsi="Times New Roman;Times;Serif"/>
          <w:b w:val="false"/>
          <w:i w:val="false"/>
          <w:caps w:val="false"/>
          <w:smallCaps w:val="false"/>
          <w:sz w:val="20"/>
        </w:rPr>
        <w:t>” shall equal the per share purchase price to be paid by the underwriters in the Offering (which, for the avoidance of doubt, will be equal to the “per share proceeds, before expenses, to the selling stockholder” as reflected on the cover of the final prospectus supplement for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Closing Date</w:t>
      </w:r>
      <w:r>
        <w:rPr>
          <w:rFonts w:ascii="Times New Roman;Times;Serif" w:hAnsi="Times New Roman;Times;Serif"/>
          <w:b w:val="false"/>
          <w:i w:val="false"/>
          <w:caps w:val="false"/>
          <w:smallCaps w:val="false"/>
          <w:sz w:val="20"/>
        </w:rPr>
        <w:t>. The purchase and sale of the Seller Class A Shares shall take place remotely via the electronic exchange of documents and signatures on the date of the closing of the Offering or at such other time and date as the Corporation and the Seller shall mutually agree (which date is designated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At the Closing Date: (i) the Corporation shall pay to the Seller in cash the Aggregate Repurchase Price by wire transfer of immediately available funds to an account that the Seller shall designate in writing, and (ii) the Seller and the Corporation shall deliver, or cause to be delivered, to the Corporation’s transfer agent a duly executed instruction letter relating to the conversion of the Seller Class B Shares into the Seller Class A Shares and the cancellation of the Seller Class A Shares upon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caps w:val="false"/>
          <w:smallCaps w:val="false"/>
          <w:sz w:val="20"/>
        </w:rPr>
        <w:t>Representations and Warranties of the Seller</w:t>
      </w:r>
      <w:r>
        <w:rPr>
          <w:rFonts w:ascii="Times New Roman;Times;Serif" w:hAnsi="Times New Roman;Times;Serif"/>
          <w:b w:val="false"/>
          <w:i w:val="false"/>
          <w:caps w:val="false"/>
          <w:smallCaps w:val="false"/>
          <w:sz w:val="20"/>
        </w:rPr>
        <w:t>. The Seller hereby represents and warrants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Ownership of Shares</w:t>
      </w:r>
      <w:r>
        <w:rPr>
          <w:rFonts w:ascii="Times New Roman;Times;Serif" w:hAnsi="Times New Roman;Times;Serif"/>
          <w:b w:val="false"/>
          <w:i w:val="false"/>
          <w:caps w:val="false"/>
          <w:smallCaps w:val="false"/>
          <w:sz w:val="20"/>
        </w:rPr>
        <w:t>. Upon the conversion of the Seller Class B Shares in accordance with the Amended and Restated Certificate of Incorporation of the Corporation (as may be amended and/or restated from time to time, the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the Seller shall: (i) own all right, title and interest (legal and beneficial) in and to all of the Seller Class A Shares, free and clear of all liens, including, but not limited to, any lien, pledge, claim, security interest, encumbrance, mortgage, assessment, charge, restriction or limitation of any kind, whether arising by agreement, operation of law or otherwise, except for those imposed by applicable federal and state securities laws; (ii) have good and valid title to the Seller Class A Shares and (iii) have the full power and authority to sell, transfer, convey, assign and deliver to the Corporation the Seller Class A Shares being sold by Seller to the Corporation, and upon payment for the Seller Class A Shares, the Corporation shall acquire valid and unencumbered title to the Seller Class A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Authorization; Approval; Enforceability</w:t>
      </w:r>
      <w:r>
        <w:rPr>
          <w:rFonts w:ascii="Times New Roman;Times;Serif" w:hAnsi="Times New Roman;Times;Serif"/>
          <w:b w:val="false"/>
          <w:i w:val="false"/>
          <w:caps w:val="false"/>
          <w:smallCaps w:val="false"/>
          <w:sz w:val="20"/>
        </w:rPr>
        <w:t>. The Seller has full power and authority to execute, deliver and perform its obligations under this Agreement. This Agreement has been duly executed and delivered by the Seller and constitutes the valid and legally binding obligation of the Seller, enforceable in accordance with its terms, except (i) as limited by applicable bankruptcy, insolvency, reorganization, moratorium, fraudulent conveyance and other laws of general application affecting enforcement of creditors’ rights generally and (ii) as limited by laws relating to the availability of specific performance, injunctive relief, or other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Consents</w:t>
      </w:r>
      <w:r>
        <w:rPr>
          <w:rFonts w:ascii="Times New Roman;Times;Serif" w:hAnsi="Times New Roman;Times;Serif"/>
          <w:b w:val="false"/>
          <w:i w:val="false"/>
          <w:caps w:val="false"/>
          <w:smallCaps w:val="false"/>
          <w:sz w:val="20"/>
        </w:rPr>
        <w:t>. To the knowledge of the Seller, no consent, waiver, approval, order, permit or authorization of, or declaration or filing with, or notification to, any person or entity is required on the part of the Seller in connection with the execution and delivery of this Agreement or the consummation of the transactions contemplated hereby (other than consents obtained on or before the Closing Date). For the avoidance of doubt, the Seller consents to the Corporation’s purchase of the Seller Class B Shares pursuant to Section VI.A.ix of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 Conflicts</w:t>
      </w:r>
      <w:r>
        <w:rPr>
          <w:rFonts w:ascii="Times New Roman;Times;Serif" w:hAnsi="Times New Roman;Times;Serif"/>
          <w:b w:val="false"/>
          <w:i w:val="false"/>
          <w:caps w:val="false"/>
          <w:smallCaps w:val="false"/>
          <w:sz w:val="20"/>
        </w:rPr>
        <w:t>. To the knowledge of the Seller, neither the execution and delivery of this Agreement nor compliance with the terms and provisions hereof on the part of the Seller will breach any statutes or regulations of any governmental authority, domestic or foreign, or will conflict with or result in a breach of the Seller’s organizational documents or of any of the terms, conditions or provisions of any judgment, order, injunction, decree, agreement or instrument to which the Seller is a party or by which the Seller or its assets may be bound, or constitute a default thereunder or an event which with the giving of notice or passage of time or both would constitute a default thereunder, which, in each of the foregoing cases, would have any material adverse impact on the Seller’s ability to perform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Litigation</w:t>
      </w:r>
      <w:r>
        <w:rPr>
          <w:rFonts w:ascii="Times New Roman;Times;Serif" w:hAnsi="Times New Roman;Times;Serif"/>
          <w:b w:val="false"/>
          <w:i w:val="false"/>
          <w:caps w:val="false"/>
          <w:smallCaps w:val="false"/>
          <w:sz w:val="20"/>
        </w:rPr>
        <w:t>. There is no action, suit, proceeding or investigation pending or, to the Seller’s knowledge, currently threatened that questions the validity of this Agreement, or the right of the Seller to enter into this Agreement, or to consummate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Sophistication of the Seller</w:t>
      </w:r>
      <w:r>
        <w:rPr>
          <w:rFonts w:ascii="Times New Roman;Times;Serif" w:hAnsi="Times New Roman;Times;Serif"/>
          <w:b w:val="false"/>
          <w:i w:val="false"/>
          <w:caps w:val="false"/>
          <w:smallCaps w:val="false"/>
          <w:sz w:val="20"/>
        </w:rPr>
        <w:t>. The Seller (i) is a sophisticated investor familiar with transactions similar to those contemplated by this Agreement, (ii) has adequate information concerning the business and financial condition of the Corporation to make an informed decision regarding the conversion of the Seller Class B Shares and the sale of the Seller Class A Shares, (iii) has independently and without reliance upon the Corporation or any of its officers, directors or other affiliates, and based on such information and the advice of such advisors as the Seller has deemed appropriate, made its own analysis and decision to enter into this Agreement. The Seller acknowledges that neither the Corporation nor any of its affiliates is acting as a fiduciary or financial or investment adviser to the Seller, and has not given the Seller any investment advice, opinion or other information on whether the sale of the Seller Class A Shares is prudent. The Seller understands that the Corporation will rely on the accuracy and truth of the foregoing representations, and the Seller hereby consents to such reliance. The Seller has sought such accounting, legal and tax advice as it has considered necessary to make an informed decision with respect to the Share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Consideration</w:t>
      </w:r>
      <w:r>
        <w:rPr>
          <w:rFonts w:ascii="Times New Roman;Times;Serif" w:hAnsi="Times New Roman;Times;Serif"/>
          <w:b w:val="false"/>
          <w:i w:val="false"/>
          <w:caps w:val="false"/>
          <w:smallCaps w:val="false"/>
          <w:sz w:val="20"/>
        </w:rPr>
        <w:t>. The transactions contemplated by this Agreement provide good, valuable, and sufficient consideration for every promise, duty, agreement, obligation, and right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caps w:val="false"/>
          <w:smallCaps w:val="false"/>
          <w:sz w:val="20"/>
        </w:rPr>
        <w:t>Representations and Warranties of the Corporation</w:t>
      </w:r>
      <w:r>
        <w:rPr>
          <w:rFonts w:ascii="Times New Roman;Times;Serif" w:hAnsi="Times New Roman;Times;Serif"/>
          <w:b w:val="false"/>
          <w:i w:val="false"/>
          <w:caps w:val="false"/>
          <w:smallCaps w:val="false"/>
          <w:sz w:val="20"/>
        </w:rPr>
        <w:t>. The Corporation hereby represents and warrants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Authorization; Approval; Enforceability</w:t>
      </w:r>
      <w:r>
        <w:rPr>
          <w:rFonts w:ascii="Times New Roman;Times;Serif" w:hAnsi="Times New Roman;Times;Serif"/>
          <w:b w:val="false"/>
          <w:i w:val="false"/>
          <w:caps w:val="false"/>
          <w:smallCaps w:val="false"/>
          <w:sz w:val="20"/>
        </w:rPr>
        <w:t>. The Corporation has full power and authority to execute, deliver and perform its obligations under this Agreement. This Agreement has been duly executed and delivered by the Corporation and constitutes the valid and legally binding obligation of the Corporation, enforceable in accordance with its terms, except (i) as limited by applicable bankruptcy, insolvency, reorganization, moratorium, fraudulent conveyance and other laws of general application affecting enforcement of creditors’ rights generally and (ii) as limited by laws relating to the availability of specific performance, injunctive relief, or other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 Consent</w:t>
      </w:r>
      <w:r>
        <w:rPr>
          <w:rFonts w:ascii="Times New Roman;Times;Serif" w:hAnsi="Times New Roman;Times;Serif"/>
          <w:b w:val="false"/>
          <w:i w:val="false"/>
          <w:caps w:val="false"/>
          <w:smallCaps w:val="false"/>
          <w:sz w:val="20"/>
        </w:rPr>
        <w:t>. To the knowledge of the Corporation, no consent, waiver, approval, order, permit or authorization of, or declaration or filing with, or notification to, any person or entity is required on the part of the Corporation in connection with the execution and delivery of this Agreement or the consummation of the transactions contemplated hereby (other than consents obtained on or before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 Conflicts</w:t>
      </w:r>
      <w:r>
        <w:rPr>
          <w:rFonts w:ascii="Times New Roman;Times;Serif" w:hAnsi="Times New Roman;Times;Serif"/>
          <w:b w:val="false"/>
          <w:i w:val="false"/>
          <w:caps w:val="false"/>
          <w:smallCaps w:val="false"/>
          <w:sz w:val="20"/>
        </w:rPr>
        <w:t>. To the knowledge of the Corporation, neither the execution and delivery of this Agreement nor compliance with the terms and provisions hereof on the part of Corporation will breach any statutes or regulations of any governmental authority, domestic or foreign, or will conflict with or result in a breach of the Corporation’s organizational documents or of any of the terms, conditions or provisions of any judgment, order, injunction, decree, agreement or instrument to which the Corporation is a party or by which the Corporation or its assets may be bound, or constitute a default thereunder or an event which with the giving of notice or passage of time or both would constitute a default thereunder, which, in each of the foregoing cases, would have any material adverse impact on the Corporation’s ability to perform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Litigation</w:t>
      </w:r>
      <w:r>
        <w:rPr>
          <w:rFonts w:ascii="Times New Roman;Times;Serif" w:hAnsi="Times New Roman;Times;Serif"/>
          <w:b w:val="false"/>
          <w:i w:val="false"/>
          <w:caps w:val="false"/>
          <w:smallCaps w:val="false"/>
          <w:sz w:val="20"/>
        </w:rPr>
        <w:t>. There is no action, suit, proceeding or investigation pending or, to the Corporation’s knowledge, currently threatened that questions the validity of this Agreement, or the right of the Corporation to enter into this Agreement, or to consummate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Consideration</w:t>
      </w:r>
      <w:r>
        <w:rPr>
          <w:rFonts w:ascii="Times New Roman;Times;Serif" w:hAnsi="Times New Roman;Times;Serif"/>
          <w:b w:val="false"/>
          <w:i w:val="false"/>
          <w:caps w:val="false"/>
          <w:smallCaps w:val="false"/>
          <w:sz w:val="20"/>
        </w:rPr>
        <w:t>. The transactions contemplated by this Agreement provide good, valuable, and sufficient consideration for every promise, duty, agreement, obligation, and right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caps w:val="false"/>
          <w:smallCaps w:val="false"/>
          <w:sz w:val="20"/>
        </w:rPr>
        <w:t>Conditions of the Obligations of the Seller and the Corporation.</w:t>
      </w:r>
      <w:r>
        <w:rPr>
          <w:rFonts w:ascii="Times New Roman;Times;Serif" w:hAnsi="Times New Roman;Times;Serif"/>
          <w:b w:val="false"/>
          <w:i w:val="false"/>
          <w:caps w:val="false"/>
          <w:smallCaps w:val="false"/>
          <w:sz w:val="20"/>
        </w:rPr>
        <w:t xml:space="preserve"> The obligations of the Seller to deliver the Class A Stock and of the Corporation to purchase and pay for the Class A Stock, in each case as provided herein, shall be subject to the prior or substantially concurrent closing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conditions specified in this Section 4 are not satisfied by July 16, 2025, this Agreement shall automatically terminate without liability on the part of any party to any other party, except that Sections 5(c), 5(d), 5(e), 5(l), 5(m) and 5(o) shall at all times be effective and shall survive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caps w:val="false"/>
          <w:smallCaps w:val="false"/>
          <w:sz w:val="20"/>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Tax Obligations</w:t>
      </w:r>
      <w:r>
        <w:rPr>
          <w:rFonts w:ascii="Times New Roman;Times;Serif" w:hAnsi="Times New Roman;Times;Serif"/>
          <w:b w:val="false"/>
          <w:i w:val="false"/>
          <w:caps w:val="false"/>
          <w:smallCaps w:val="false"/>
          <w:sz w:val="20"/>
        </w:rPr>
        <w:t>. Each Party, and their respective affiliates, shall be solely responsible for paying, or otherwise bearing, any and all taxes and any tax-related penalties, fines and interest related to sale of the Seller Class A Shares pursuant to this Agreement or otherwise arising as a result of the Offering that such Party, and its respective affiliates, is responsible for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Tax Cooperation</w:t>
      </w:r>
      <w:r>
        <w:rPr>
          <w:rFonts w:ascii="Times New Roman;Times;Serif" w:hAnsi="Times New Roman;Times;Serif"/>
          <w:b w:val="false"/>
          <w:i w:val="false"/>
          <w:caps w:val="false"/>
          <w:smallCaps w:val="false"/>
          <w:sz w:val="20"/>
        </w:rPr>
        <w:t>. In the event that the Corporation (i) reasonably determines that is able to satisfy Proposed Treasury Regulations Section 58.4501-3(g)(2)(iii)(D) with respect to the Share Repurchase and (ii) requests that Seller assist the Corporation in meeting the requirements of Proposed Treasury Regulations Section 58.4501-3(g)(2)(iii), Seller shall use commercially reasonable efforts to, within 10 days of receiving such a request from the Corporation, provide the Corporation with a properly executed certification described in Proposed Treasury Regulations Section 58.4501-3(g)(2)(iii)(A) that satisfies the requirements of Proposed Treasury Regulations Section 58.4501-3(g)(3) and certifies that (A) the Share Repurchase constitutes a redemption treated as a distribution to which Section 301 of the Internal Revenue Code of 1986, as amended (the “Code”), applies by reason of the application of Section 302(d) of the Code for purposes of Proposed Treasury Regulations Section 58.4501-3(g)(2)(iii)(A) and (B) the Share Repurchase is a dividend for purposes of Proposed Treasury Regulations Section 58.4501-3(g)(3)(iv)(C). Seller and the Corporation shall cooperate in good faith in connection with any related diligence, filings or analysis required in connection with the Corporation satisfying the requirements of Proposed Treasury Regulations Section 58.4501-3(g)(2)(iii).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Tax Form</w:t>
      </w:r>
      <w:r>
        <w:rPr>
          <w:rFonts w:ascii="Times New Roman;Times;Serif" w:hAnsi="Times New Roman;Times;Serif"/>
          <w:b w:val="false"/>
          <w:i w:val="false"/>
          <w:caps w:val="false"/>
          <w:smallCaps w:val="false"/>
          <w:sz w:val="20"/>
        </w:rPr>
        <w:t>. On or prior to the Closing Date, Seller shall deliver to the Corporation a duly executed and properly completed IRS Form W-9.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Each Party (the “</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shall indemnify, defend and hold harmless the other Party and its affiliates and their respective representatives (the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from and against any and all costs, expenses (including reasonable attorney’s fees), judgements, fines and losses incurred or sustained by, or imposed upon the Indemnified Party based upon, arising out of, with respect to or by reason of: (i) any inaccuracy in or breach of any of the representations or warranties of the Indemnifying Party contained in this Agreement or in any certificate or instrument delivered by or on behalf of the Indemnifying Party pursuant to this Agreement; and (ii) any breach or non-fulfillment of any covenant, agreement or obligation to be performed by the Indemnifying Party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Successors and Assigns; Third Party Beneficiaries</w:t>
      </w:r>
      <w:r>
        <w:rPr>
          <w:rFonts w:ascii="Times New Roman;Times;Serif" w:hAnsi="Times New Roman;Times;Serif"/>
          <w:b w:val="false"/>
          <w:i w:val="false"/>
          <w:caps w:val="false"/>
          <w:smallCaps w:val="false"/>
          <w:sz w:val="20"/>
        </w:rPr>
        <w:t>. Except as otherwise provided herein, the terms and conditions of this Agreement shall inure to the benefit of and be binding upon the respective successors and assigns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This Agreement shall be governed by and construed under the laws of the State of Delaware, regardless of the laws that might otherwise govern under applicable principles of conflicts of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Submission to Jurisdiction</w:t>
      </w:r>
      <w:r>
        <w:rPr>
          <w:rFonts w:ascii="Times New Roman;Times;Serif" w:hAnsi="Times New Roman;Times;Serif"/>
          <w:b w:val="false"/>
          <w:i w:val="false"/>
          <w:caps w:val="false"/>
          <w:smallCaps w:val="false"/>
          <w:sz w:val="20"/>
        </w:rPr>
        <w:t>. Each of the Parties hereto (i) irrevocably and unconditionally consents to submit itself to the sole and exclusive personal jurisdiction of the Court of Chancery of the State of Delaware, or, if that court does not have jurisdiction, the Superior Court of the State of Delaware, or, if the subject matter of the action is one over which exclusive jurisdiction is vested in the courts of the United States of America, a federal court sitting in the State of Delaware (collectively, the “</w:t>
      </w:r>
      <w:r>
        <w:rPr>
          <w:rFonts w:ascii="Times New Roman;Times;Serif" w:hAnsi="Times New Roman;Times;Serif"/>
          <w:b/>
          <w:i w:val="false"/>
          <w:caps w:val="false"/>
          <w:smallCaps w:val="false"/>
          <w:sz w:val="20"/>
        </w:rPr>
        <w:t>Delaware Courts</w:t>
      </w:r>
      <w:r>
        <w:rPr>
          <w:rFonts w:ascii="Times New Roman;Times;Serif" w:hAnsi="Times New Roman;Times;Serif"/>
          <w:b w:val="false"/>
          <w:i w:val="false"/>
          <w:caps w:val="false"/>
          <w:smallCaps w:val="false"/>
          <w:sz w:val="20"/>
        </w:rPr>
        <w:t>”) in connection with any dispute, claim, or controversy arising out of or relating to this Agreement or the transactions contemplated hereby, (ii) waives any objection to the laying of venue of any such litigation in any of the Delaware Courts, (iii) agrees not to plead or claim in any such court that such litigation brought therein has been brought in an inconvenient forum and agrees not otherwise to attempt to deny or defeat such personal jurisdiction or venue by motion or other request for leave from any such court, and (iv) agrees that it will not bring any action in connection with any dispute, claim, or controversy arising out of or relating to this Agreement or the transactions contemplated hereby, in any court or other tribunal, other than any of the Delaware Courts. All actions arising out of or relating to this Agreement or the transactions contemplated hereby shall be heard and determined in the Delaware Courts. Each of the Parties hereto hereby irrevocably and unconditionally agrees that service of process in connection with any dispute, claim, or controversy arising out of or relating to this Agreement or the transactions contemplated hereby may be made upon such Party by prepaid certified or registered mail, with a validated proof of mailing receipt constituting evidence of valid service, directed to such Party at the address specified in Section 5(o) hereof. Service made in such manner, to the fullest extent permitted by applicable law, shall have the same legal force and effect as if served upon such Party personally within the State of Delaware. Nothing herein shall be deemed to limit or prohibit service of process by any other manner as may be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Electronically executed and/or transmitted signature pages shall be accepted as originals for all purposes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Titles and Subtitles</w:t>
      </w:r>
      <w:r>
        <w:rPr>
          <w:rFonts w:ascii="Times New Roman;Times;Serif" w:hAnsi="Times New Roman;Times;Serif"/>
          <w:b w:val="false"/>
          <w:i w:val="false"/>
          <w:caps w:val="false"/>
          <w:smallCaps w:val="false"/>
          <w:sz w:val="20"/>
        </w:rPr>
        <w:t>. The titles and subtitles used in this Agreement are used for convenience only and are not to be considered in construing or interpreting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Finder’s Fee</w:t>
      </w:r>
      <w:r>
        <w:rPr>
          <w:rFonts w:ascii="Times New Roman;Times;Serif" w:hAnsi="Times New Roman;Times;Serif"/>
          <w:b w:val="false"/>
          <w:i w:val="false"/>
          <w:caps w:val="false"/>
          <w:smallCaps w:val="false"/>
          <w:sz w:val="20"/>
        </w:rPr>
        <w:t>. Each Party represents that it neither is nor will be obligated for any finders’ fee or commission in connection with the Share Repurchase. Each Party also represents that it has not entered into any agreements for which such Party would be liable for finders’ fees or commissions in connection with this transaction or any other contemplated transaction. Each Party agrees to indemnify and hold harmless the other Party from any liability for any commission or compensation in the nature of a finders’ fee (and the costs and expenses of defending against such liability or asserted liability) for which such Party or any of its directors, stockholders, employees or representatives is responsible.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Amendment and Waivers</w:t>
      </w:r>
      <w:r>
        <w:rPr>
          <w:rFonts w:ascii="Times New Roman;Times;Serif" w:hAnsi="Times New Roman;Times;Serif"/>
          <w:b w:val="false"/>
          <w:i w:val="false"/>
          <w:caps w:val="false"/>
          <w:smallCaps w:val="false"/>
          <w:sz w:val="20"/>
        </w:rPr>
        <w:t>. Any term of this Agreement may be amended or waived only with the written consent of the Corporation and the Seller. Any waiver by any Party hereto of a breach of any provision of this Agreement shall not operate as or be construed to be a waiver of any other breach of such provision or of any breach of any other provision of this Agreement. The failure of a Party hereto to insist upon strict adherence to any term of this Agreement on one or more occasions shall not be considered a waiver or deprive that Party of the right thereafter to insist upon strict adherence to that term or any other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Survival of Representations and Warranties</w:t>
      </w:r>
      <w:r>
        <w:rPr>
          <w:rFonts w:ascii="Times New Roman;Times;Serif" w:hAnsi="Times New Roman;Times;Serif"/>
          <w:b w:val="false"/>
          <w:i w:val="false"/>
          <w:caps w:val="false"/>
          <w:smallCaps w:val="false"/>
          <w:sz w:val="20"/>
        </w:rPr>
        <w:t>. The representations, warranties and covenants made by the Seller and the Corporation shall survive the Closing Date. Notwithstanding any knowledge of facts determined or determinable by any Party by investigation, each Party shall have the right to fully rely on the representations, warranties and covenants of the other Party contained in this Agreement or in any other documents or papers delivered in connection herewith. Each representation, warranty and covenant of the Parties contained in this Agreement is independent of each other representation, warranty and covenant. Except as expressly set forth in this Agreement, no Party has made any representation, warranty or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 This Agreement constitutes the entire agreement and understanding among the Parties with respect to the subject matter hereof and supersedes all prior agreements and understandings related to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Irrespective of whether the Closing Date is effected, each of the Corporation and the Seller shall pay all costs and expenses that such Party incurs with respect to the negotiation, execution, delivery and performance of this Agreement and the transactions thereby contemplated (it being understood, for the avoidance of doubt, that the Seller shall bear all underwriting discounts and commissions and transfer taxes in respect of the Offering in accordance with Section 4.4 of the Master Transaction Agreement between the Corporation and Intel Corporation, dated as of October 25, 2022).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Further Assurances</w:t>
      </w:r>
      <w:r>
        <w:rPr>
          <w:rFonts w:ascii="Times New Roman;Times;Serif" w:hAnsi="Times New Roman;Times;Serif"/>
          <w:b w:val="false"/>
          <w:i w:val="false"/>
          <w:caps w:val="false"/>
          <w:smallCaps w:val="false"/>
          <w:sz w:val="20"/>
        </w:rPr>
        <w:t>. Upon the terms and subject to the conditions of this Agreement, each of the Parties hereto agrees to execute such additional documents, to use commercially reasonable efforts to take, or cause to be taken, all actions, and to do, or cause to be done, and to assist and cooperate with the other parties in doing, all things necessary, proper or advisable to consummate or make effective, in the most expeditious manner practicable,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All notices, requests, consents, and other communications under this Agreement shall be in writing and shall be deemed delivered (i) three (3) business days after being sent by registered or certified mail, return receipt requested, postage prepaid or (ii) one (1) business day after being sent via a reputable nationwide overnight courier service guaranteeing next business day delivery, in each case to the intended recipient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Corporation, at the address set forth below, or at such other address as may have been furnished in writing by the Corporation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 Global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 Hotzvim, 1 Shlomo Momo HaLevi Street</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Jerusalem, Israel</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Liz Cohen-Yerushalmi</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Liz.CohenYerushalmi@mobileye.com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 Lexington Ave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Michael Kaplan</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Michael.Kaplan@davispolk.com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Seller, at the address set forth below, or at such other address as may have been furnished in writing by the Seller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 Overseas Funding Corporation</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 Mission College Boulevard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Clara, CA 95054</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Patrick Bombach</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MA_LegalNotice@intel.com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Skadden, Arps, Slate, Meagher &amp; Flom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 Avenue of the Stars</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90067</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Michelle Gasaway</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Michelle.Gasaway@skadden.com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may give any notice, request, consent or other communication under this Agreement using any other means (including, without limitation, personal delivery, messenger service, first class mail or electronic mail), but no such notice, request, consent or other communication shall be deemed to have been duly given unless and until it is actually received by the Party for whom it is intended. Any Party may change the address to which notices, requests, consents or other communications hereunder are to be delivered by giving the other parties notice in the manner set forth in this Section 5(o).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320"/>
        <w:gridCol w:w="4340"/>
      </w:tblGrid>
      <w:tr>
        <w:trPr/>
        <w:tc>
          <w:tcPr>
            <w:tcW w:w="75" w:type="dxa"/>
            <w:tcBorders/>
            <w:vAlign w:val="center"/>
          </w:tcPr>
          <w:p>
            <w:pPr>
              <w:pStyle w:val="TableContents"/>
              <w:bidi w:val="0"/>
              <w:spacing w:before="0" w:after="283"/>
              <w:jc w:val="left"/>
              <w:rPr/>
            </w:pPr>
            <w:r>
              <w:rPr/>
              <w:t> </w:t>
            </w:r>
          </w:p>
        </w:tc>
        <w:tc>
          <w:tcPr>
            <w:tcW w:w="46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CORPORATION:</w:t>
              <w:br/>
              <w:t>MOBILEYE GLOBAL INC.</w:t>
            </w:r>
          </w:p>
        </w:tc>
      </w:tr>
      <w:tr>
        <w:trPr/>
        <w:tc>
          <w:tcPr>
            <w:tcW w:w="75" w:type="dxa"/>
            <w:tcBorders/>
            <w:vAlign w:val="center"/>
          </w:tcPr>
          <w:p>
            <w:pPr>
              <w:pStyle w:val="TableContents"/>
              <w:bidi w:val="0"/>
              <w:spacing w:before="0" w:after="283"/>
              <w:jc w:val="left"/>
              <w:rPr/>
            </w:pPr>
            <w:r>
              <w:rPr/>
              <w:t> </w:t>
            </w:r>
          </w:p>
        </w:tc>
        <w:tc>
          <w:tcPr>
            <w:tcW w:w="46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 Shashua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Professor Amnon Shashua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 President and Director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Share Repurchase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320"/>
        <w:gridCol w:w="8735"/>
      </w:tblGrid>
      <w:tr>
        <w:trPr/>
        <w:tc>
          <w:tcPr>
            <w:tcW w:w="75"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SELLER:</w:t>
              <w:br/>
              <w:t>INTEL OVERSEAS FUNDING CORPORATION</w:t>
            </w:r>
          </w:p>
        </w:tc>
      </w:tr>
      <w:tr>
        <w:trPr/>
        <w:tc>
          <w:tcPr>
            <w:tcW w:w="75"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7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Patrick Bombach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Patrick Bombach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283"/>
              <w:jc w:val="left"/>
              <w:rPr/>
            </w:pPr>
            <w:r>
              <w:rPr/>
              <w:t>Title: Corporate Vice President, Head of Corporate Legal and Assistant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Share Repurchase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7195</Words>
  <Characters>39854</Characters>
  <CharactersWithSpaces>47505</CharactersWithSpaces>
  <Paragraphs>555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