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31,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2"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Har Hotzvim, 1 Shlomo Momo HaLevi Street</w:t>
      </w:r>
    </w:p>
    <w:p>
      <w:pPr>
        <w:spacing w:after="0" w:line="2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Jerusalem, Israel</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9777015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76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October 31, 2024, Mobileye Global Inc. issued a press release announcing its financial results for the quarter ended September 28, 2024.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76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October 31, 2024</w:t>
            </w:r>
          </w:p>
        </w:tc>
      </w:tr>
      <w:tr>
        <w:trPr>
          <w:trHeight w:val="20"/>
        </w:trPr>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9"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Mobileye Releases Third Quarter 2024 Results and Provides Business Overview</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Revenue decreased 8% year over year to $486 million in the third quarter. Revenue increased 11% versus the second quarter of 2024. Full year 2024 revenue guidance, at the midpoint, is unchanged compared to prior guidance.</w:t>
      </w:r>
    </w:p>
    <w:p>
      <w:pPr>
        <w:spacing w:after="0" w:line="161"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Diluted EPS (GAAP) was $(3.35) and Adjusted Diluted EPS (Non-GAAP) was $0.10 in the third quarter of 2024. GAAP EPS was impacted by a non-cash impairment loss related to the Goodwill asset on our balance sheet.</w:t>
      </w:r>
    </w:p>
    <w:p>
      <w:pPr>
        <w:spacing w:after="0" w:line="161" w:lineRule="exact"/>
        <w:rPr>
          <w:rFonts w:ascii="Times New Roman" w:cs="Times New Roman" w:eastAsia="Times New Roman" w:hAnsi="Times New Roman"/>
          <w:sz w:val="18"/>
          <w:szCs w:val="18"/>
          <w:color w:val="101820"/>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Generated net cash from operating activities of </w:t>
      </w:r>
      <w:r>
        <w:rPr>
          <w:rFonts w:ascii="Times New Roman" w:cs="Times New Roman" w:eastAsia="Times New Roman" w:hAnsi="Times New Roman"/>
          <w:sz w:val="18"/>
          <w:szCs w:val="18"/>
          <w:color w:val="000000"/>
        </w:rPr>
        <w:t>$196</w:t>
      </w:r>
      <w:r>
        <w:rPr>
          <w:rFonts w:ascii="Times New Roman" w:cs="Times New Roman" w:eastAsia="Times New Roman" w:hAnsi="Times New Roman"/>
          <w:sz w:val="18"/>
          <w:szCs w:val="18"/>
          <w:color w:val="101820"/>
        </w:rPr>
        <w:t xml:space="preserve"> million in the </w:t>
      </w:r>
      <w:r>
        <w:rPr>
          <w:rFonts w:ascii="Times New Roman" w:cs="Times New Roman" w:eastAsia="Times New Roman" w:hAnsi="Times New Roman"/>
          <w:sz w:val="18"/>
          <w:szCs w:val="18"/>
          <w:color w:val="000000"/>
        </w:rPr>
        <w:t>nine months ended September 28, 2024, including $126 million in the third</w:t>
      </w:r>
      <w:r>
        <w:rPr>
          <w:rFonts w:ascii="Times New Roman" w:cs="Times New Roman" w:eastAsia="Times New Roman" w:hAnsi="Times New Roman"/>
          <w:sz w:val="18"/>
          <w:szCs w:val="18"/>
          <w:color w:val="101820"/>
        </w:rPr>
        <w:t xml:space="preserve"> </w:t>
      </w:r>
      <w:r>
        <w:rPr>
          <w:rFonts w:ascii="Times New Roman" w:cs="Times New Roman" w:eastAsia="Times New Roman" w:hAnsi="Times New Roman"/>
          <w:sz w:val="18"/>
          <w:szCs w:val="18"/>
          <w:color w:val="000000"/>
        </w:rPr>
        <w:t>quarter of 2024</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01820"/>
        </w:rPr>
        <w:t xml:space="preserve">JERUSALEM – October 31, 2024 – Mobileye Global Inc. (Nasdaq: MBLY) (“Mobileye”) today released its financial results for the three months ended </w:t>
      </w:r>
      <w:r>
        <w:rPr>
          <w:rFonts w:ascii="Times New Roman" w:cs="Times New Roman" w:eastAsia="Times New Roman" w:hAnsi="Times New Roman"/>
          <w:sz w:val="18"/>
          <w:szCs w:val="18"/>
          <w:color w:val="000000"/>
        </w:rPr>
        <w:t>September 28, 2024</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101820"/>
        </w:rPr>
        <w:t>“We continue to focus on our core strategic objectives for the next two years, which include maintaining and growing our ADAS position outside of domestic China, deepening the relationship with our top 10 customers through advanced product design wins, and executing our EyeQ</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6-based set of advanced products that leverage historic Mobileye competitive advantages augmented by novel AI approaches,” said Mobileye President and CEO Prof. Amnon Shashua. “While the near-term growth environment remains challenging, our objectives are focused on medium- and long-term opportunities and we expect those to become more evident in the coming months.”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Business Highlights</w:t>
      </w:r>
    </w:p>
    <w:p>
      <w:pPr>
        <w:spacing w:after="0" w:line="229" w:lineRule="exact"/>
        <w:rPr>
          <w:sz w:val="20"/>
          <w:szCs w:val="20"/>
          <w:color w:val="auto"/>
        </w:rPr>
      </w:pPr>
    </w:p>
    <w:p>
      <w:pPr>
        <w:jc w:val="both"/>
        <w:ind w:left="660" w:hanging="328"/>
        <w:spacing w:after="0" w:line="26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business development front, our top ten customers represent more than 80% of our volume and approximately 50% of industry volume. We believe we continue to gain long-term ADAS visibility through recent design wins with all these customers, many of which stretch through the early 2030’s. On the advanced product side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Surround ADAS, SuperVision, Chauffeur), we continue to make progress on advanced engagements with nine of the ten (in addition to other OEMs). While timing is ultimately in the control of OEMs, these engagements have scheduled decision points in the upcoming months. </w:t>
      </w:r>
      <w:r>
        <w:rPr>
          <w:rFonts w:ascii="Times New Roman" w:cs="Times New Roman" w:eastAsia="Times New Roman" w:hAnsi="Times New Roman"/>
          <w:sz w:val="29"/>
          <w:szCs w:val="29"/>
          <w:color w:val="auto"/>
          <w:vertAlign w:val="superscript"/>
        </w:rPr>
        <w:t>1</w:t>
      </w:r>
    </w:p>
    <w:p>
      <w:pPr>
        <w:spacing w:after="0" w:line="54" w:lineRule="exact"/>
        <w:rPr>
          <w:rFonts w:ascii="Times New Roman" w:cs="Times New Roman" w:eastAsia="Times New Roman" w:hAnsi="Times New Roman"/>
          <w:sz w:val="18"/>
          <w:szCs w:val="18"/>
          <w:color w:val="auto"/>
        </w:rPr>
      </w:pPr>
    </w:p>
    <w:p>
      <w:pPr>
        <w:ind w:left="660" w:right="20" w:hanging="328"/>
        <w:spacing w:after="0" w:line="292" w:lineRule="auto"/>
        <w:tabs>
          <w:tab w:leader="none" w:pos="660" w:val="left"/>
        </w:tabs>
        <w:numPr>
          <w:ilvl w:val="0"/>
          <w:numId w:val="3"/>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Execution of the Volkswagen Group production programs for SuperVision, Chauffeur, and Drive are progressing on-plan, including recent installation of the EyeQ</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6-based software and hardware stack into test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published CEO / CTO video presentations on October 2nd that included a deep exposition of our Compound AI Systems approach to software and hardware and our goal to leverage our competitive advantages in this area to achieve intervention-rates that support better-than-human autonomous vehicle performance. See link here.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wind-down of the internal FMCW Lidar development was announced last month. This decision was the result of higher confidence that third-party lidar will be sufficient given increased clarity of the performance of our next-generation computer vision stack and in-house imaging radar technology. This decision also enables our expectation to maintain adjusted operating expenses at or below the third quarter of 2024 level on average in 2025.</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Mobileye Drive product intended for mobility-as-a-service (i.e. robotaxi) is also making progress. We are approaching closed user-group testing in a variety of projects including VW Commercial Vehicles / MOIA, Deutsche Bahn, Holo / Ruter, and Verne.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Summary and Key Highlights (Unaudited)</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vMerge w:val="restart"/>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w w:val="93"/>
              </w:rPr>
              <w:t>% Y/Y</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272</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7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(256)bps</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(2,807)</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7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(2,715)</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0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vMerge w:val="restart"/>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w w:val="93"/>
              </w:rPr>
              <w:t>% Y/Y</w:t>
            </w:r>
          </w:p>
        </w:tc>
        <w:tc>
          <w:tcPr>
            <w:tcW w:w="0" w:type="dxa"/>
            <w:vAlign w:val="bottom"/>
          </w:tcPr>
          <w:p>
            <w:pPr>
              <w:spacing w:after="0"/>
              <w:rPr>
                <w:sz w:val="1"/>
                <w:szCs w:val="1"/>
                <w:color w:val="auto"/>
              </w:rPr>
            </w:pPr>
          </w:p>
        </w:tc>
      </w:tr>
      <w:tr>
        <w:trPr>
          <w:trHeight w:val="236"/>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7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(95)bps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(1,829)bps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0.22</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0.22</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auto"/>
        </w:rPr>
        <w:t xml:space="preserve">Revenue of $486 million decreased by 8% compared to the third quarter of 2023, </w:t>
      </w:r>
      <w:r>
        <w:rPr>
          <w:rFonts w:ascii="Times New Roman" w:cs="Times New Roman" w:eastAsia="Times New Roman" w:hAnsi="Times New Roman"/>
          <w:sz w:val="18"/>
          <w:szCs w:val="18"/>
          <w:color w:val="101820"/>
        </w:rPr>
        <w:t>primarily due to a</w:t>
      </w:r>
      <w:r>
        <w:rPr>
          <w:rFonts w:ascii="Times New Roman" w:cs="Times New Roman" w:eastAsia="Times New Roman" w:hAnsi="Times New Roman"/>
          <w:sz w:val="18"/>
          <w:szCs w:val="18"/>
          <w:color w:val="auto"/>
        </w:rPr>
        <w:t xml:space="preserve"> 9% </w:t>
      </w:r>
      <w:r>
        <w:rPr>
          <w:rFonts w:ascii="Times New Roman" w:cs="Times New Roman" w:eastAsia="Times New Roman" w:hAnsi="Times New Roman"/>
          <w:sz w:val="18"/>
          <w:szCs w:val="18"/>
          <w:color w:val="101820"/>
        </w:rPr>
        <w:t>reduction in EyeQ volumes. This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01820"/>
        </w:rPr>
        <w:t>primarily attributable to a reduction in volumes shipped to China OEMs as well as modest declines in overall global vehicle production.</w:t>
      </w:r>
    </w:p>
    <w:p>
      <w:pPr>
        <w:spacing w:after="0" w:line="165" w:lineRule="exact"/>
        <w:rPr>
          <w:rFonts w:ascii="Times New Roman" w:cs="Times New Roman" w:eastAsia="Times New Roman" w:hAnsi="Times New Roman"/>
          <w:sz w:val="18"/>
          <w:szCs w:val="18"/>
          <w:color w:val="101820"/>
        </w:rPr>
      </w:pPr>
    </w:p>
    <w:p>
      <w:pPr>
        <w:ind w:left="660" w:hanging="652"/>
        <w:spacing w:after="0" w:line="188"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Average System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was $53.3 in the third quarter of 2024 as compared to $53.8 in the prior year period primarily due to modestly unfavorable mix of EyeQ feature bundles as compared to the third quarter of 2023.</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Gross Margin declined by approximately </w:t>
      </w:r>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101820"/>
        </w:rPr>
        <w:t xml:space="preserve"> percentage points in the third quarter of 2024 as compared to the prior year period. The decrease was primarily due to the impact of the cost attributable to amortization of intangible assets which was similar to the prior year but on a lower revenue base, as well as higher EyeQ-related costs per unit given a different mix of EyeQ generations sold.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Adjusted Gross Margin declined by approximately </w:t>
      </w:r>
      <w:r>
        <w:rPr>
          <w:rFonts w:ascii="Times New Roman" w:cs="Times New Roman" w:eastAsia="Times New Roman" w:hAnsi="Times New Roman"/>
          <w:sz w:val="18"/>
          <w:szCs w:val="18"/>
          <w:color w:val="000000"/>
        </w:rPr>
        <w:t>1</w:t>
      </w:r>
      <w:r>
        <w:rPr>
          <w:rFonts w:ascii="Times New Roman" w:cs="Times New Roman" w:eastAsia="Times New Roman" w:hAnsi="Times New Roman"/>
          <w:sz w:val="18"/>
          <w:szCs w:val="18"/>
          <w:color w:val="101820"/>
        </w:rPr>
        <w:t xml:space="preserve"> percentage point in the third quarter of 2024 as compared to the prior year period. The decrease was primarily due to higher EyeQ-related costs per unit given a different mix of EyeQ generations sold.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An additional item that is part of this quarter’s reconciliation of GAAP to Non-GAAP earnings is a non-cash impairment loss related to the Goodwill asset on our balance sheet. This asset, which is significant in the context of Mobileye’s total assets, originally resulted from the Intel acquisition of Mobileye in 2017 and was pushed down to our balance sheet in connection with the IPO in 2022 and separation from Intel. During the quarter, due to our market capitalization falling below our book equity value, an interim impairment test was triggered. The resulting analysis led to an approximately </w:t>
      </w:r>
      <w:r>
        <w:rPr>
          <w:rFonts w:ascii="Times New Roman" w:cs="Times New Roman" w:eastAsia="Times New Roman" w:hAnsi="Times New Roman"/>
          <w:sz w:val="18"/>
          <w:szCs w:val="18"/>
          <w:color w:val="000000"/>
        </w:rPr>
        <w:t>$2,613</w:t>
      </w:r>
      <w:r>
        <w:rPr>
          <w:rFonts w:ascii="Times New Roman" w:cs="Times New Roman" w:eastAsia="Times New Roman" w:hAnsi="Times New Roman"/>
          <w:sz w:val="18"/>
          <w:szCs w:val="18"/>
          <w:color w:val="101820"/>
        </w:rPr>
        <w:t xml:space="preserve"> million write-down of goodwill, net of tax. For more information, see our third quarter 2024 10-Q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Operating Margin declined from </w:t>
      </w:r>
      <w:r>
        <w:rPr>
          <w:rFonts w:ascii="Times New Roman" w:cs="Times New Roman" w:eastAsia="Times New Roman" w:hAnsi="Times New Roman"/>
          <w:sz w:val="18"/>
          <w:szCs w:val="18"/>
          <w:color w:val="000000"/>
        </w:rPr>
        <w:t>2% in the third quarter of 2023 to (578%)</w:t>
      </w:r>
      <w:r>
        <w:rPr>
          <w:rFonts w:ascii="Times New Roman" w:cs="Times New Roman" w:eastAsia="Times New Roman" w:hAnsi="Times New Roman"/>
          <w:sz w:val="18"/>
          <w:szCs w:val="18"/>
          <w:color w:val="101820"/>
        </w:rPr>
        <w:t xml:space="preserve"> in the third quarter of 2024 due to goodwill impairment loss of </w:t>
      </w:r>
      <w:r>
        <w:rPr>
          <w:rFonts w:ascii="Times New Roman" w:cs="Times New Roman" w:eastAsia="Times New Roman" w:hAnsi="Times New Roman"/>
          <w:sz w:val="18"/>
          <w:szCs w:val="18"/>
          <w:color w:val="000000"/>
        </w:rPr>
        <w:t>$2,695</w:t>
      </w:r>
      <w:r>
        <w:rPr>
          <w:rFonts w:ascii="Times New Roman" w:cs="Times New Roman" w:eastAsia="Times New Roman" w:hAnsi="Times New Roman"/>
          <w:sz w:val="18"/>
          <w:szCs w:val="18"/>
          <w:color w:val="101820"/>
        </w:rPr>
        <w:t xml:space="preserve"> million recognized in the third quarter of 2024.</w:t>
      </w:r>
    </w:p>
    <w:p>
      <w:pPr>
        <w:spacing w:after="0" w:line="161" w:lineRule="exact"/>
        <w:rPr>
          <w:rFonts w:ascii="Times New Roman" w:cs="Times New Roman" w:eastAsia="Times New Roman" w:hAnsi="Times New Roman"/>
          <w:sz w:val="18"/>
          <w:szCs w:val="18"/>
          <w:color w:val="101820"/>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Adjusted Operating Margin declined by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101820"/>
        </w:rPr>
        <w:t xml:space="preserve"> percentage points in the third quarter of 2024 as compared to the prior year period. The decrease was primarily due to higher operating expenses on a lower revenue base.</w:t>
      </w:r>
    </w:p>
    <w:p>
      <w:pPr>
        <w:spacing w:after="0" w:line="161" w:lineRule="exact"/>
        <w:rPr>
          <w:rFonts w:ascii="Times New Roman" w:cs="Times New Roman" w:eastAsia="Times New Roman" w:hAnsi="Times New Roman"/>
          <w:sz w:val="18"/>
          <w:szCs w:val="18"/>
          <w:color w:val="101820"/>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for the nine months ended September 28, 2024 was $196 million. Cash used in purchases of property and equipment was $68 million for that same period.</w:t>
      </w:r>
    </w:p>
    <w:p>
      <w:pPr>
        <w:spacing w:after="0" w:line="202" w:lineRule="exact"/>
        <w:rPr>
          <w:sz w:val="20"/>
          <w:szCs w:val="20"/>
          <w:color w:val="auto"/>
        </w:rPr>
      </w:pPr>
    </w:p>
    <w:p>
      <w:pPr>
        <w:jc w:val="both"/>
        <w:ind w:left="340" w:hanging="8"/>
        <w:spacing w:after="0" w:line="219" w:lineRule="auto"/>
        <w:tabs>
          <w:tab w:leader="none" w:pos="45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These expectations are based on estimated volumes, which are based on projections of future production volumes that were provided by our current and prospective OEMs at the time of sourcing the design wins for the models related to those design wins. Further, achievement of a design win is subject to multiple factors, many of which are outside of Mobileye’s control. Any statement on the timing of a design win is an estimate only and subject to change. See the disclaimer under the heading “Forward-Looking Statements” below for important limitations applicable to these estimates.</w:t>
      </w:r>
    </w:p>
    <w:p>
      <w:pPr>
        <w:spacing w:after="0" w:line="202" w:lineRule="exact"/>
        <w:rPr>
          <w:sz w:val="20"/>
          <w:szCs w:val="20"/>
          <w:color w:val="auto"/>
        </w:rPr>
      </w:pPr>
    </w:p>
    <w:p>
      <w:pPr>
        <w:ind w:left="440" w:hanging="108"/>
        <w:spacing w:after="0"/>
        <w:tabs>
          <w:tab w:leader="none" w:pos="4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29"/>
          <w:szCs w:val="29"/>
          <w:color w:val="000000"/>
          <w:vertAlign w:val="superscript"/>
        </w:rPr>
        <w:t>TM</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2024 Fiscal Year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01820"/>
        </w:rPr>
        <w:t>The following information reflects Mobileye’s expectations for Revenue, Operating Loss and Adjusted Operating Income results for the year ending December 28, 2024. Our guidance, at the midpoint, is unchanged from the expectations last disclosed on August 1, 2024 with the exception of Operating Loss, as a result of the impact of the goodwill impairment listed specifically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2) Share-based compensation expense; and 3) Goodwill impairment. These statements represent forward-looking information and may not represent a financial outlook, and actual results may vary. Please see the risks and assumptions referred to in the Forward-Looking Statements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Updated Guidance</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Full Year 2024</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r>
      <w:tr>
        <w:trPr>
          <w:trHeight w:val="232"/>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20"/>
                <w:szCs w:val="20"/>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October 31, 2024, </w:t>
      </w:r>
      <w:r>
        <w:rPr>
          <w:rFonts w:ascii="Times New Roman" w:cs="Times New Roman" w:eastAsia="Times New Roman" w:hAnsi="Times New Roman"/>
          <w:sz w:val="18"/>
          <w:szCs w:val="18"/>
          <w:color w:val="000000"/>
        </w:rPr>
        <w:t>at 8:00am ET (2:00pm IT)</w:t>
      </w:r>
      <w:r>
        <w:rPr>
          <w:rFonts w:ascii="Times New Roman" w:cs="Times New Roman" w:eastAsia="Times New Roman" w:hAnsi="Times New Roman"/>
          <w:sz w:val="18"/>
          <w:szCs w:val="18"/>
          <w:color w:val="101820"/>
        </w:rPr>
        <w:t xml:space="preserve">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101820"/>
        </w:rPr>
        <w:t>, and a replay of the webcast will be made available shortly after the event’s conclusion.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and impairment of goodwill.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impairment of goodwill, as well as the related income tax effects. Income tax effects have been calculated using the applicable statutory tax rate for each adjustment taking into consideration the associated valuation allowance impacts.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approximately 190 million vehicles worldwide have been built with Mobileye technology inside. In 2022 Mobileye listed as an independent company separate from Intel (Nasdaq: INTC), which retains majority ownership. For more information, visit https://www.mobileye.com.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2024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62626"/>
        </w:rPr>
        <w:t xml:space="preserve">Important factors that may materially affect such forward-looking statements and projections include the following: </w:t>
      </w:r>
      <w:r>
        <w:rPr>
          <w:rFonts w:ascii="Times New Roman" w:cs="Times New Roman" w:eastAsia="Times New Roman" w:hAnsi="Times New Roman"/>
          <w:sz w:val="18"/>
          <w:szCs w:val="18"/>
          <w:color w:val="000000"/>
        </w:rPr>
        <w:t>future business, social and</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effects of the COVID-19 pandemic and responses to future pandemics;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30, 2023,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141"/>
              <w:spacing w:after="0" w:line="188"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6"/>
                <w:szCs w:val="16"/>
                <w:color w:val="auto"/>
              </w:rPr>
            </w:pPr>
          </w:p>
        </w:tc>
        <w:tc>
          <w:tcPr>
            <w:tcW w:w="1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6"/>
                <w:szCs w:val="16"/>
                <w:color w:val="auto"/>
              </w:rPr>
            </w:pPr>
          </w:p>
        </w:tc>
        <w:tc>
          <w:tcPr>
            <w:tcW w:w="1360" w:type="dxa"/>
            <w:vAlign w:val="bottom"/>
            <w:gridSpan w:val="3"/>
          </w:tcPr>
          <w:p>
            <w:pPr>
              <w:jc w:val="right"/>
              <w:ind w:right="121"/>
              <w:spacing w:after="0" w:line="188"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80" w:type="dxa"/>
            <w:vAlign w:val="bottom"/>
          </w:tcPr>
          <w:p>
            <w:pPr>
              <w:spacing w:after="0"/>
              <w:rPr>
                <w:sz w:val="16"/>
                <w:szCs w:val="16"/>
                <w:color w:val="auto"/>
              </w:rPr>
            </w:pPr>
          </w:p>
        </w:tc>
        <w:tc>
          <w:tcPr>
            <w:tcW w:w="12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739</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w:t>
            </w:r>
          </w:p>
        </w:tc>
        <w:tc>
          <w:tcPr>
            <w:tcW w:w="940" w:type="dxa"/>
            <w:vAlign w:val="bottom"/>
            <w:gridSpan w:val="2"/>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(3.74)</w:t>
            </w:r>
          </w:p>
        </w:tc>
        <w:tc>
          <w:tcPr>
            <w:tcW w:w="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(3.35)</w:t>
            </w:r>
          </w:p>
        </w:tc>
        <w:tc>
          <w:tcPr>
            <w:tcW w:w="940" w:type="dxa"/>
            <w:vAlign w:val="bottom"/>
            <w:gridSpan w:val="2"/>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(in millions):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804</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804</w:t>
            </w:r>
          </w:p>
        </w:tc>
      </w:tr>
      <w:tr>
        <w:trPr>
          <w:trHeight w:val="657"/>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100" w:type="dxa"/>
            <w:vAlign w:val="bottom"/>
            <w:tcBorders>
              <w:bottom w:val="single" w:sz="8" w:color="CCEEFF"/>
            </w:tcBorders>
          </w:tcPr>
          <w:p>
            <w:pPr>
              <w:spacing w:after="0"/>
              <w:rPr>
                <w:sz w:val="22"/>
                <w:szCs w:val="22"/>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100" w:type="dxa"/>
            <w:vAlign w:val="bottom"/>
            <w:shd w:val="clear" w:color="auto" w:fill="CCEEFF"/>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14,924</w:t>
            </w:r>
          </w:p>
        </w:tc>
        <w:tc>
          <w:tcPr>
            <w:tcW w:w="100" w:type="dxa"/>
            <w:vAlign w:val="bottom"/>
            <w:tcBorders>
              <w:bottom w:val="single" w:sz="8" w:color="CCEEFF"/>
            </w:tcBorders>
          </w:tcPr>
          <w:p>
            <w:pPr>
              <w:spacing w:after="0"/>
              <w:rPr>
                <w:sz w:val="18"/>
                <w:szCs w:val="18"/>
                <w:color w:val="auto"/>
              </w:rPr>
            </w:pP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2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16"/>
                <w:szCs w:val="16"/>
                <w:color w:val="auto"/>
              </w:rPr>
            </w:pPr>
          </w:p>
        </w:tc>
      </w:tr>
      <w:tr>
        <w:trPr>
          <w:trHeight w:val="23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r>
      <w:tr>
        <w:trPr>
          <w:trHeight w:val="210"/>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0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with related party, net</w:t>
            </w:r>
          </w:p>
        </w:tc>
        <w:tc>
          <w:tcPr>
            <w:tcW w:w="10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0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0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0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100" w:type="dxa"/>
            <w:vAlign w:val="bottom"/>
          </w:tcPr>
          <w:p>
            <w:pPr>
              <w:spacing w:after="0"/>
              <w:rPr>
                <w:sz w:val="19"/>
                <w:szCs w:val="19"/>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20" w:type="dxa"/>
            <w:vAlign w:val="bottom"/>
            <w:tcBorders>
              <w:top w:val="single" w:sz="8" w:color="CCEEFF"/>
            </w:tcBorders>
            <w:shd w:val="clear" w:color="auto" w:fill="CCEEFF"/>
          </w:tcPr>
          <w:p>
            <w:pPr>
              <w:spacing w:after="0"/>
              <w:rPr>
                <w:sz w:val="18"/>
                <w:szCs w:val="18"/>
                <w:color w:val="auto"/>
              </w:rPr>
            </w:pPr>
          </w:p>
        </w:tc>
      </w:tr>
      <w:tr>
        <w:trPr>
          <w:trHeight w:val="20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0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00" w:type="dxa"/>
            <w:vAlign w:val="bottom"/>
          </w:tcPr>
          <w:p>
            <w:pPr>
              <w:spacing w:after="0"/>
              <w:rPr>
                <w:sz w:val="19"/>
                <w:szCs w:val="19"/>
                <w:color w:val="auto"/>
              </w:rPr>
            </w:pPr>
          </w:p>
        </w:tc>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7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00" w:type="dxa"/>
            <w:vAlign w:val="bottom"/>
          </w:tcPr>
          <w:p>
            <w:pPr>
              <w:spacing w:after="0"/>
              <w:rPr>
                <w:sz w:val="19"/>
                <w:szCs w:val="19"/>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1,035</w:t>
            </w:r>
          </w:p>
        </w:tc>
      </w:tr>
      <w:tr>
        <w:trPr>
          <w:trHeight w:val="210"/>
        </w:trPr>
        <w:tc>
          <w:tcPr>
            <w:tcW w:w="7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20" w:type="dxa"/>
            <w:vAlign w:val="bottom"/>
            <w:tcBorders>
              <w:top w:val="single" w:sz="8" w:color="CCEEFF"/>
            </w:tcBorders>
            <w:shd w:val="clear" w:color="auto" w:fill="CCEEFF"/>
          </w:tcPr>
          <w:p>
            <w:pPr>
              <w:spacing w:after="0"/>
              <w:rPr>
                <w:sz w:val="18"/>
                <w:szCs w:val="18"/>
                <w:color w:val="auto"/>
              </w:rPr>
            </w:pPr>
          </w:p>
        </w:tc>
      </w:tr>
      <w:tr>
        <w:trPr>
          <w:trHeight w:val="425"/>
        </w:trPr>
        <w:tc>
          <w:tcPr>
            <w:tcW w:w="7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300" w:type="dxa"/>
            <w:vAlign w:val="bottom"/>
          </w:tcPr>
          <w:p>
            <w:pPr>
              <w:spacing w:after="0"/>
              <w:rPr>
                <w:sz w:val="19"/>
                <w:szCs w:val="19"/>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220" w:type="dxa"/>
            <w:vAlign w:val="bottom"/>
          </w:tcPr>
          <w:p>
            <w:pPr>
              <w:spacing w:after="0"/>
              <w:rPr>
                <w:sz w:val="18"/>
                <w:szCs w:val="18"/>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220" w:type="dxa"/>
            <w:vAlign w:val="bottom"/>
          </w:tcPr>
          <w:p>
            <w:pPr>
              <w:spacing w:after="0"/>
              <w:rPr>
                <w:sz w:val="18"/>
                <w:szCs w:val="18"/>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67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200" w:type="dxa"/>
            <w:vAlign w:val="bottom"/>
          </w:tcPr>
          <w:p>
            <w:pPr>
              <w:spacing w:after="0"/>
              <w:rPr>
                <w:sz w:val="18"/>
                <w:szCs w:val="18"/>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88"/>
              </w:rPr>
              <w:t>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(loss) and Margin to Non-GAAP Adjusted Operating Income and Margin</w:t>
      </w:r>
      <w:r>
        <w:rPr>
          <w:rFonts w:ascii="Times New Roman" w:cs="Times New Roman" w:eastAsia="Times New Roman" w:hAnsi="Times New Roman"/>
          <w:sz w:val="29"/>
          <w:szCs w:val="29"/>
          <w:color w:val="101820"/>
          <w:vertAlign w:val="superscript"/>
        </w:rPr>
        <w:t>4</w:t>
      </w:r>
      <w:r>
        <w:rPr>
          <w:rFonts w:ascii="Times New Roman" w:cs="Times New Roman" w:eastAsia="Times New Roman" w:hAnsi="Times New Roman"/>
          <w:sz w:val="18"/>
          <w:szCs w:val="18"/>
          <w:b w:val="1"/>
          <w:bCs w:val="1"/>
          <w:i w:val="1"/>
          <w:iCs w:val="1"/>
          <w:color w:val="auto"/>
        </w:rPr>
        <w:t xml:space="preserve">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300" w:type="dxa"/>
            <w:vAlign w:val="bottom"/>
          </w:tcPr>
          <w:p>
            <w:pPr>
              <w:spacing w:after="0"/>
              <w:rPr>
                <w:sz w:val="18"/>
                <w:szCs w:val="18"/>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Revenue</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Revenue</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(2,807)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(3,139)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2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(loss)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5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320" w:type="dxa"/>
            <w:vAlign w:val="bottom"/>
          </w:tcPr>
          <w:p>
            <w:pPr>
              <w:spacing w:after="0"/>
              <w:rPr>
                <w:sz w:val="19"/>
                <w:szCs w:val="19"/>
                <w:color w:val="auto"/>
              </w:rPr>
            </w:pPr>
          </w:p>
        </w:tc>
        <w:tc>
          <w:tcPr>
            <w:tcW w:w="18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5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vMerge w:val="restart"/>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Revenue</w:t>
            </w:r>
          </w:p>
        </w:tc>
        <w:tc>
          <w:tcPr>
            <w:tcW w:w="320" w:type="dxa"/>
            <w:vAlign w:val="bottom"/>
          </w:tcPr>
          <w:p>
            <w:pPr>
              <w:spacing w:after="0"/>
              <w:rPr>
                <w:sz w:val="20"/>
                <w:szCs w:val="20"/>
                <w:color w:val="auto"/>
              </w:rPr>
            </w:pPr>
          </w:p>
        </w:tc>
        <w:tc>
          <w:tcPr>
            <w:tcW w:w="18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Amount   Revenue</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Revenue</w:t>
            </w:r>
          </w:p>
        </w:tc>
        <w:tc>
          <w:tcPr>
            <w:tcW w:w="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8"/>
              </w:rPr>
              <w:t>Revenue</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(2,715)</w:t>
            </w:r>
          </w:p>
        </w:tc>
        <w:tc>
          <w:tcPr>
            <w:tcW w:w="2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(3,019)</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(259)</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1040" w:type="dxa"/>
            <w:vAlign w:val="bottom"/>
            <w:gridSpan w:val="4"/>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42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 (unaudited)</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20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2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120" w:type="dxa"/>
            <w:vAlign w:val="bottom"/>
          </w:tcPr>
          <w:p>
            <w:pPr>
              <w:spacing w:after="0"/>
              <w:rPr>
                <w:sz w:val="24"/>
                <w:szCs w:val="24"/>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Q3 2024</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EyeQ and SuperVision revenue (U.S. dollars in millions)</w:t>
            </w:r>
          </w:p>
        </w:tc>
        <w:tc>
          <w:tcPr>
            <w:tcW w:w="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2024-10-31T06:09:21Z</dcterms:created>
  <dcterms:modified xsi:type="dcterms:W3CDTF">2024-10-31T06:09:21Z</dcterms:modified>
</cp:coreProperties>
</file>