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July 27,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Mobileye Global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the Registrant as Specified in Charter)</w:t>
      </w:r>
    </w:p>
    <w:p>
      <w:pPr>
        <w:sectPr>
          <w:pgSz w:w="11900" w:h="16838" w:orient="portrait"/>
          <w:cols w:equalWidth="0" w:num="1">
            <w:col w:w="11240"/>
          </w:cols>
          <w:pgMar w:left="320" w:top="769"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001-41541</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88-0666433</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380" w:space="720"/>
            <w:col w:w="2920" w:space="720"/>
            <w:col w:w="2500"/>
          </w:cols>
          <w:pgMar w:left="320" w:top="769" w:right="339" w:bottom="1440" w:gutter="0" w:footer="0" w:header="0"/>
          <w:type w:val="continuous"/>
        </w:sectPr>
      </w:pPr>
    </w:p>
    <w:p>
      <w:pPr>
        <w:spacing w:after="0" w:line="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c/o Mobileye B.V.</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Har Hotzvim, 13 Hartom Street</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P.O. Box 45157</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Jerusalem 9777513, Israel</w:t>
      </w:r>
    </w:p>
    <w:p>
      <w:pPr>
        <w:spacing w:after="0" w:line="9"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9777513</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6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9"/>
        </w:trPr>
        <w:tc>
          <w:tcPr>
            <w:tcW w:w="4500" w:type="dxa"/>
            <w:vAlign w:val="bottom"/>
            <w:tcBorders>
              <w:top w:val="single" w:sz="8" w:color="auto"/>
              <w:left w:val="single" w:sz="8" w:color="auto"/>
              <w:right w:val="single" w:sz="8" w:color="auto"/>
            </w:tcBorders>
          </w:tcPr>
          <w:p>
            <w:pPr>
              <w:spacing w:after="0"/>
              <w:rPr>
                <w:sz w:val="19"/>
                <w:szCs w:val="19"/>
                <w:color w:val="auto"/>
              </w:rPr>
            </w:pPr>
          </w:p>
        </w:tc>
        <w:tc>
          <w:tcPr>
            <w:tcW w:w="2260" w:type="dxa"/>
            <w:vAlign w:val="bottom"/>
            <w:tcBorders>
              <w:top w:val="single" w:sz="8" w:color="auto"/>
              <w:right w:val="single" w:sz="8" w:color="auto"/>
            </w:tcBorders>
          </w:tcPr>
          <w:p>
            <w:pPr>
              <w:spacing w:after="0"/>
              <w:rPr>
                <w:sz w:val="19"/>
                <w:szCs w:val="19"/>
                <w:color w:val="auto"/>
              </w:rPr>
            </w:pP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exchange on which</w:t>
            </w:r>
          </w:p>
        </w:tc>
      </w:tr>
      <w:tr>
        <w:trPr>
          <w:trHeight w:val="234"/>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$0.01 par value</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MBLY</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Select Market</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 July 27, 2023 Mobileye Global Inc. issued a press release announcing its financial results for the quarter ended July 1, 2023. A copy of the press release is furnished as Exhibit 99.1 to this Current Report on Form 8-K.</w:t>
      </w:r>
    </w:p>
    <w:p>
      <w:pPr>
        <w:spacing w:after="0" w:line="1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5640" w:type="dxa"/>
            <w:vAlign w:val="bottom"/>
          </w:tcPr>
          <w:p>
            <w:pPr>
              <w:spacing w:after="0"/>
              <w:rPr>
                <w:sz w:val="20"/>
                <w:szCs w:val="20"/>
                <w:color w:val="auto"/>
              </w:rPr>
            </w:pP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640" w:type="dxa"/>
            <w:vAlign w:val="bottom"/>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680" w:type="dxa"/>
            <w:vAlign w:val="bottom"/>
          </w:tcPr>
          <w:p>
            <w:pPr>
              <w:spacing w:after="0"/>
              <w:rPr>
                <w:sz w:val="24"/>
                <w:szCs w:val="24"/>
                <w:color w:val="auto"/>
              </w:rPr>
            </w:pPr>
          </w:p>
        </w:tc>
        <w:tc>
          <w:tcPr>
            <w:tcW w:w="10240" w:type="dxa"/>
            <w:vAlign w:val="bottom"/>
            <w:gridSpan w:val="3"/>
          </w:tcPr>
          <w:p>
            <w:pPr>
              <w:ind w:left="140"/>
              <w:spacing w:after="0"/>
              <w:rPr>
                <w:sz w:val="20"/>
                <w:szCs w:val="20"/>
                <w:color w:val="auto"/>
              </w:rPr>
            </w:pPr>
            <w:r>
              <w:rPr>
                <w:rFonts w:ascii="Arial" w:cs="Arial" w:eastAsia="Arial" w:hAnsi="Arial"/>
                <w:sz w:val="18"/>
                <w:szCs w:val="18"/>
                <w:color w:val="0000EE"/>
              </w:rPr>
              <w:t>Press release issued by Mobileye Global Inc. on July 27, 2023</w:t>
            </w:r>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80" w:type="dxa"/>
            <w:vAlign w:val="bottom"/>
          </w:tcPr>
          <w:p>
            <w:pPr>
              <w:spacing w:after="0"/>
              <w:rPr>
                <w:sz w:val="24"/>
                <w:szCs w:val="24"/>
                <w:color w:val="auto"/>
              </w:rPr>
            </w:pP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MOBILEYE GLOBAL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Moran Shemesh Rojansky</w:t>
      </w:r>
    </w:p>
    <w:p>
      <w:pPr>
        <w:spacing w:after="0" w:line="9"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Acting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Discloses Second Quarter 2023 Results, Updates Guidance and Provides Business Update</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decreased 1% year over year to $454 million in the second quarter.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Margin and Adjusted Operating Margin both improved meaningfully versus the first quarter of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Diluted EPS (GAAP) was $(0.04) and Adjusted Diluted EPS (Non-GAAP) was $0.17 in the second quarter of 2023.</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to execute on strategic collaboration with VW Group in the second quarter. Expanded future cloud-enhanced ADAS volumes, announced SuperVision design win with Porsche, and shipped Mobileye Drive self-driving systems to VW Commercial Vehicles to support global testing.</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net cash from operating activities of $197 million in the six months ended July 1, 2023. Our balance sheet is strong with $1.1 billion of cash and cash equivalents and zero debt as of July 1, 2023.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JERUSALEM – July 26, 2023 – Mobileye Global Inc. (Nasdaq: MBLY) (“Mobileye”) today released its financial results for the three months ended July 1, 2023.</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business again performed well in Q2. Operating margin improved as compared to the first quarter of 2023 despite relatively consistent revenue and we’re positioned well for the increased revenue growth in the 2nd half of 2023 indicated by our guidance,” said Mobileye President and CEO Prof. Amnon Shashua. “Future business highlights of the quarter included tangible evidence of the depth of our relationship with VW Group and an expansion of meaningful engagements for our advanced portfolio to 9 large OEMs. VW Group’s engagement across our entire product portfolio is quite encouraging as it underlines the scalability and flexibility of Mobileye’s technology platform and is a template we are pursuing with other key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Second Quarter 2023 Business Highlights</w:t>
      </w:r>
    </w:p>
    <w:p>
      <w:pPr>
        <w:spacing w:after="0" w:line="229" w:lineRule="exact"/>
        <w:rPr>
          <w:sz w:val="20"/>
          <w:szCs w:val="20"/>
          <w:color w:val="auto"/>
        </w:rPr>
      </w:pPr>
    </w:p>
    <w:p>
      <w:pPr>
        <w:jc w:val="both"/>
        <w:ind w:left="660" w:hanging="328"/>
        <w:spacing w:after="0" w:line="27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business development pipeline activity remained robust in the quarter. Based on design wins achieved in the first half of 2023 and the current opportunity pipeline, we are on-track for 2023 to match or exceed the record design win activity generated in 2022 on a volume, revenue, and average system price basis</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continued to expand on our Basic ADAS leadership position including a design win with a key customer that extended our relationship through 2035 (including meaningful Cloud-Enhanced ADAS volumes). Additionally, we leveraged our computer vision expertise and massive video database to achieve European certification of the first vision-only solution for use by OEMs to efficiently comply with the European General Safety Regulation (GSR) for Intelligent Speed Assist.</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first major SuperVision design win beyond Geely Automotive Group was announced by Porsche during Q2 and we see excellent potential for similarly timed launches across other VW Group brands. Additionally, VW of America announced a testing program of Mobileye Drive-equipped VW ID.Buzz vehicles in Austin, Texas after only months of development and integration activity.</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Near-term SuperVision launches remain on-track and we expect to have SuperVision equipped on 5 production vehicle models (including 2 models sold outside of China) by the first quarter of 2024 as compared to 1 vehicle model at the beginning of 2023. Additionally, the software roll-out of Navigate-on-Pilot functions for Zeekr vehicles is proceeding well and garnering accolades from key China media influencers, particularly for its assertive, efficient driving style.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Second Quarter 2023 Financial Summary and Key Highlights (Unaudited)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52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Q2 2023</w:t>
            </w:r>
          </w:p>
        </w:tc>
        <w:tc>
          <w:tcPr>
            <w:tcW w:w="260" w:type="dxa"/>
            <w:vAlign w:val="bottom"/>
            <w:gridSpan w:val="2"/>
            <w:vMerge w:val="restart"/>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Q2 2022</w:t>
            </w:r>
          </w:p>
        </w:tc>
        <w:tc>
          <w:tcPr>
            <w:tcW w:w="260" w:type="dxa"/>
            <w:vAlign w:val="bottom"/>
            <w:gridSpan w:val="2"/>
            <w:vMerge w:val="restart"/>
          </w:tcPr>
          <w:p>
            <w:pPr>
              <w:spacing w:after="0"/>
              <w:rPr>
                <w:sz w:val="24"/>
                <w:szCs w:val="24"/>
                <w:color w:val="auto"/>
              </w:rPr>
            </w:pPr>
          </w:p>
        </w:tc>
        <w:tc>
          <w:tcPr>
            <w:tcW w:w="118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 Y/Y</w:t>
            </w:r>
          </w:p>
        </w:tc>
        <w:tc>
          <w:tcPr>
            <w:tcW w:w="3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U.S. dollars in millions</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(44)bps</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(33)</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(953)bps</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(28)</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EPS - Basic</w:t>
            </w:r>
          </w:p>
        </w:tc>
        <w:tc>
          <w:tcPr>
            <w:tcW w:w="42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EPS - Diluted</w:t>
            </w:r>
          </w:p>
        </w:tc>
        <w:tc>
          <w:tcPr>
            <w:tcW w:w="42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417"/>
        </w:trPr>
        <w:tc>
          <w:tcPr>
            <w:tcW w:w="6520" w:type="dxa"/>
            <w:vAlign w:val="bottom"/>
          </w:tcPr>
          <w:p>
            <w:pPr>
              <w:spacing w:after="0"/>
              <w:rPr>
                <w:sz w:val="20"/>
                <w:szCs w:val="20"/>
                <w:color w:val="auto"/>
              </w:rPr>
            </w:pPr>
            <w:r>
              <w:rPr>
                <w:rFonts w:ascii="Arial" w:cs="Arial" w:eastAsia="Arial" w:hAnsi="Arial"/>
                <w:sz w:val="18"/>
                <w:szCs w:val="18"/>
                <w:b w:val="1"/>
                <w:bCs w:val="1"/>
                <w:color w:val="auto"/>
              </w:rPr>
              <w:t>Non-GAAP</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Q2 2023</w:t>
            </w:r>
          </w:p>
        </w:tc>
        <w:tc>
          <w:tcPr>
            <w:tcW w:w="2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Q2 2022</w:t>
            </w:r>
          </w:p>
        </w:tc>
        <w:tc>
          <w:tcPr>
            <w:tcW w:w="26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18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 Y/Y</w:t>
            </w:r>
          </w:p>
        </w:tc>
        <w:tc>
          <w:tcPr>
            <w:tcW w:w="3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U.S. dollars in millions</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Adjusted Gross Profit</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326</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(299)bps</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140</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Margin</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(884)bps</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Adjusted Net Income</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135</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Adjusted EPS - Basic</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Adjusted EPS - Diluted</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0.17</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$454 million decreased 1% compared to the second quarter of 2022. As noted on our prior earnings call, de-stocking of SuperVision units at our main customer was a headwind in the quarter.</w:t>
      </w:r>
    </w:p>
    <w:p>
      <w:pPr>
        <w:spacing w:after="0" w:line="173" w:lineRule="exact"/>
        <w:rPr>
          <w:rFonts w:ascii="Arial" w:cs="Arial" w:eastAsia="Arial" w:hAnsi="Arial"/>
          <w:sz w:val="18"/>
          <w:szCs w:val="18"/>
          <w:color w:val="auto"/>
        </w:rPr>
      </w:pPr>
    </w:p>
    <w:p>
      <w:pPr>
        <w:ind w:left="660" w:hanging="328"/>
        <w:spacing w:after="0" w:line="186" w:lineRule="auto"/>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Average System Price</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was $51.7 in the second quarter of 2023, which is largely flat on a year-over-year basis. Slightly higher core EyeQ prices were offset by slightly lower SuperVision volumes as a percentage of overall revenue.</w:t>
      </w:r>
    </w:p>
    <w:p>
      <w:pPr>
        <w:spacing w:after="0" w:line="203" w:lineRule="exact"/>
        <w:rPr>
          <w:rFonts w:ascii="Arial" w:cs="Arial" w:eastAsia="Arial" w:hAnsi="Arial"/>
          <w:sz w:val="36"/>
          <w:szCs w:val="36"/>
          <w:color w:val="auto"/>
          <w:vertAlign w:val="superscript"/>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in the second quarter of 2023 was largely consistent with the prior year period, as the downward impact of the increased cost of our EyeQ® chip (and associated price increase to customers), was mostly offset by lower impact of the cost attributable to amortization of intangible assets as a percentage of revenue.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Gross Margin declined by 3 percentage points in the second quarter of 2023 as compared to the prior year period. The decrease was primarily due to the increased cost of our EyeQ® chip which was passed through as a price increase to customers as of the beginning of 2023 on a zero-margin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328" w:hanging="328"/>
        <w:spacing w:after="0" w:line="263"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Margin declined by approximately 9 percentage points in the second quarter of 2023 as compared to the prior year period. The decrease was primarily due to an increase in research and development expenses which resulted in a year-over-year increase in operating expenses as a percentage of revenue.</w:t>
      </w:r>
    </w:p>
    <w:p>
      <w:pPr>
        <w:spacing w:after="0" w:line="183" w:lineRule="exact"/>
        <w:rPr>
          <w:rFonts w:ascii="Arial" w:cs="Arial" w:eastAsia="Arial" w:hAnsi="Arial"/>
          <w:sz w:val="18"/>
          <w:szCs w:val="18"/>
          <w:color w:val="auto"/>
        </w:rPr>
      </w:pPr>
    </w:p>
    <w:p>
      <w:pPr>
        <w:ind w:left="328" w:hanging="328"/>
        <w:spacing w:after="0" w:line="342" w:lineRule="auto"/>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Operating Margin declined by approximately 9 percentage points in the second quarter of 2023 as compared to the prior year period. The decrease was mainly due to an increase in research and development expenses attributable to headcount, as well as lower Adjusted Gross Margin.</w:t>
      </w:r>
    </w:p>
    <w:p>
      <w:pPr>
        <w:spacing w:after="0" w:line="123" w:lineRule="exact"/>
        <w:rPr>
          <w:rFonts w:ascii="Arial" w:cs="Arial" w:eastAsia="Arial" w:hAnsi="Arial"/>
          <w:sz w:val="16"/>
          <w:szCs w:val="16"/>
          <w:color w:val="auto"/>
        </w:rPr>
      </w:pPr>
    </w:p>
    <w:p>
      <w:pPr>
        <w:jc w:val="both"/>
        <w:ind w:left="328" w:hanging="328"/>
        <w:spacing w:after="0" w:line="263"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cash flow for the six months ended July 1, 2023 was $197 million. This included significant outflows related to re-building our strategic inventory of EyeQ chips which had been significantly reduced during the semiconductor supply chain crisis in 2021 and 2022. Cash used in purchases of property and equipment was $58 million for that same period.</w:t>
      </w:r>
    </w:p>
    <w:p>
      <w:pPr>
        <w:spacing w:after="0" w:line="230" w:lineRule="exact"/>
        <w:rPr>
          <w:sz w:val="20"/>
          <w:szCs w:val="20"/>
          <w:color w:val="auto"/>
        </w:rPr>
      </w:pPr>
    </w:p>
    <w:p>
      <w:pPr>
        <w:jc w:val="both"/>
        <w:ind w:left="8" w:hanging="8"/>
        <w:spacing w:after="0" w:line="207" w:lineRule="auto"/>
        <w:tabs>
          <w:tab w:leader="none" w:pos="128"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Mobileye’s revenue for the periods presented represent estimated volumes based on projections of future production volumes that were provided by our current and prospective OEMs at the time of sourcing the design wins for the models related to those design wins. See the disclaimer under the heading “Forward-Looking Statements” below for important limitations applicable to these estimates.</w:t>
      </w:r>
    </w:p>
    <w:p>
      <w:pPr>
        <w:spacing w:after="0" w:line="170" w:lineRule="exact"/>
        <w:rPr>
          <w:sz w:val="20"/>
          <w:szCs w:val="20"/>
          <w:color w:val="auto"/>
        </w:rPr>
      </w:pPr>
    </w:p>
    <w:p>
      <w:pPr>
        <w:ind w:left="108" w:hanging="108"/>
        <w:spacing w:after="0"/>
        <w:tabs>
          <w:tab w:leader="none" w:pos="108"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Average System Price is calculated as the sum of revenue related to EyeQ® and SuperVision systems, divided by the number of systems shipped.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433705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Updated Financial Guidance for the 2023 Fiscal Year</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color w:val="auto"/>
                <w:w w:val="94"/>
              </w:rPr>
              <w:t>We are updating our guidance for the 2023 fiscal year we provided on April 27, 2023:</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Updated Guidance</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Previous Guidance</w:t>
            </w:r>
          </w:p>
        </w:tc>
      </w:tr>
      <w:tr>
        <w:trPr>
          <w:trHeight w:val="234"/>
        </w:trPr>
        <w:tc>
          <w:tcPr>
            <w:tcW w:w="6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0"/>
              </w:rPr>
              <w:t>Full Year 2023</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Full Year 2023</w:t>
            </w: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U.S. dollars in millions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Low</w:t>
            </w:r>
          </w:p>
        </w:tc>
        <w:tc>
          <w:tcPr>
            <w:tcW w:w="4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Range</w:t>
            </w:r>
          </w:p>
        </w:tc>
        <w:tc>
          <w:tcPr>
            <w:tcW w:w="100" w:type="dxa"/>
            <w:vAlign w:val="bottom"/>
          </w:tcPr>
          <w:p>
            <w:pPr>
              <w:spacing w:after="0"/>
              <w:rPr>
                <w:sz w:val="19"/>
                <w:szCs w:val="19"/>
                <w:color w:val="auto"/>
              </w:rPr>
            </w:pPr>
          </w:p>
        </w:tc>
      </w:tr>
      <w:tr>
        <w:trPr>
          <w:trHeight w:val="223"/>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2,065</w:t>
            </w:r>
          </w:p>
        </w:tc>
        <w:tc>
          <w:tcPr>
            <w:tcW w:w="2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2,114</w:t>
            </w:r>
          </w:p>
        </w:tc>
        <w:tc>
          <w:tcPr>
            <w:tcW w:w="24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$2,065 - 2,114</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9"/>
              </w:rPr>
              <w:t>(129)</w:t>
            </w:r>
          </w:p>
        </w:tc>
        <w:tc>
          <w:tcPr>
            <w:tcW w:w="22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$(195) - (166)</w:t>
            </w:r>
          </w:p>
        </w:tc>
        <w:tc>
          <w:tcPr>
            <w:tcW w:w="100" w:type="dxa"/>
            <w:vAlign w:val="bottom"/>
          </w:tcPr>
          <w:p>
            <w:pPr>
              <w:spacing w:after="0"/>
              <w:rPr>
                <w:sz w:val="18"/>
                <w:szCs w:val="18"/>
                <w:color w:val="auto"/>
              </w:rPr>
            </w:pPr>
          </w:p>
        </w:tc>
      </w:tr>
      <w:tr>
        <w:trPr>
          <w:trHeight w:val="216"/>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$474</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 expense</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$269</w:t>
            </w:r>
          </w:p>
        </w:tc>
        <w:tc>
          <w:tcPr>
            <w:tcW w:w="100" w:type="dxa"/>
            <w:vAlign w:val="bottom"/>
          </w:tcPr>
          <w:p>
            <w:pPr>
              <w:spacing w:after="0"/>
              <w:rPr>
                <w:sz w:val="18"/>
                <w:szCs w:val="18"/>
                <w:color w:val="auto"/>
              </w:rPr>
            </w:pPr>
          </w:p>
        </w:tc>
      </w:tr>
      <w:tr>
        <w:trPr>
          <w:trHeight w:val="210"/>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$548 - 577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updated guidance reflects an improvement in expected Operating Loss (GAAP) and Adjusted Operating Income (Non-GAAP), at the midpoint, of 37% and 9%, respectively. Lower than expected operating expenses, both in Q2 and second half of 2023, are primarily being driven by certain macro factors, higher-than-expected non-recurring engineering (“NRE”) reimbursements, a modest shift in the timing of occupation of the new Jerusalem campus, and ongoing initiatives to improve the efficiency of R&amp;D in certain areas. Our revenue guidance remains consistent with the guidance provided on April 27, 2023 and, at the midpoint, implies 16% growth in the 2nd half of 2023 as compared to the 2nd half of 2022.</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information reflects Mobileye’s expectations for Revenue, Operating Loss and Adjusted Operating Income results for the year ending December 30, 2023. We believe Adjusted Operating Income (a non-GAAP metric) is an appropriate metric as it excludes significant non-cash expenses including: 1) Amortization charges related to intangible assets consisting of developed technology, customer relationships, and brands as a result of Intel’s acquisition of Mobileye in 2017 and the acquisition of Moovit in 2020; and, 2) Share-based compensation expense. These statements represent forward-looking information and may not represent a financial outlook, and actual results may vary. Please see the risks and assumptions referred to in the Forward-Looking Statements section of this release.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 Webcast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Mobileye will host a conference call today, July 27, 2023, at 8:00am ET (3:00pm IT) to review its results and provide a general business update. The conference call will be accessible live via a webcast on Mobileye’s investor relations site, which can be found at ir.mobileye.com, and a replay of the webcast will be made available shortly after the event’s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Adjusted Gross Profit and Margin, Adjusted Operating Income and Margin, Adjusted Net Income and Adjusted EPS (Earnings Per Share),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as operating loss presented in accordance with GAAP, adjusted to exclude amortization of acquisition related intangibles, share-based compensation expenses and expenses related to our initial public offering that was completed on October 28, 2022 (the “Mobileye IPO”). Operating margin is calculated as operating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and expenses related to the Mobileye IPO,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is calculated by dividing Adjusted Net Income for the period by the weighted-average number of common shares outstanding during the period. Adjusted Diluted EPS is calculated by dividing Adjusted Net Income by the weighted-average number of common shares outstanding during the period, while giving effect to all potentially dilutive common shares to the extent they are dilutive.</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Mobileye Global Inc.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Mobileye (Nasdaq: MBLY) leads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more than 150 million vehicles worldwide have been built with Mobileye technology inside. In 2022 Mobileye listed as an independent company separate from Intel (Nasdaq: INTC), which retains majority ownership. For more information, visit https://www.mobileye.com.</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“Mobileye,” the Mobileye logo and Mobileye product names are registered trademarks of Mobileye Global. All other marks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2023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7"/>
          <w:szCs w:val="17"/>
          <w:color w:val="auto"/>
        </w:rPr>
        <w:t>Important factors that may materially affect such forward-looking statements and projections include the following: future business, social and 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future products and technology, and the expected availability and benefits of such products and technology; development of regulatory frameworks for current and future technology;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future responses to and effects of the COVID-19 pandemic; availability, uses, sufficiency and cost of capital and capital resources, including expected returns to stockholders such as dividends, and the expected timing of future dividends; tax- and accounting-related expectations.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Detailed information regarding these and other factors that could affect Mobileye’s business and results is included in Mobileye’s SEC filings, including the company’s Annual Report on Form 10-K for the year ended December 31, 2022, particularly in the section entitled “Item 1A. Risk Factors”. Copies of these filings may be obtained by visiting our Investor Relations website at ir.mobileye.com or the SEC’s website at www.sec.gov.</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Second Quarter 2023 Financial Results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280" w:type="dxa"/>
            <w:vAlign w:val="bottom"/>
          </w:tcPr>
          <w:p>
            <w:pPr>
              <w:spacing w:after="0"/>
              <w:rPr>
                <w:sz w:val="20"/>
                <w:szCs w:val="20"/>
                <w:color w:val="auto"/>
              </w:rPr>
            </w:pPr>
            <w:r>
              <w:rPr>
                <w:rFonts w:ascii="Arial" w:cs="Arial" w:eastAsia="Arial" w:hAnsi="Arial"/>
                <w:sz w:val="18"/>
                <w:szCs w:val="18"/>
                <w:b w:val="1"/>
                <w:bCs w:val="1"/>
                <w:color w:val="auto"/>
              </w:rPr>
              <w:t>Mobileye Global Inc.</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i w:val="1"/>
                <w:iCs w:val="1"/>
                <w:color w:val="auto"/>
                <w:w w:val="96"/>
              </w:rPr>
              <w:t>Condensed Consolidated Statements of Operations (unaudited)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68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U.S. dollars in millions, except share and per share amounts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221"/>
              <w:spacing w:after="0"/>
              <w:rPr>
                <w:sz w:val="20"/>
                <w:szCs w:val="20"/>
                <w:color w:val="auto"/>
              </w:rPr>
            </w:pPr>
            <w:r>
              <w:rPr>
                <w:rFonts w:ascii="Arial" w:cs="Arial" w:eastAsia="Arial" w:hAnsi="Arial"/>
                <w:sz w:val="18"/>
                <w:szCs w:val="18"/>
                <w:b w:val="1"/>
                <w:bCs w:val="1"/>
                <w:color w:val="auto"/>
                <w:w w:val="90"/>
              </w:rPr>
              <w:t>July 1, 2023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July 2, 2022</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341"/>
              <w:spacing w:after="0"/>
              <w:rPr>
                <w:sz w:val="20"/>
                <w:szCs w:val="20"/>
                <w:color w:val="auto"/>
              </w:rPr>
            </w:pPr>
            <w:r>
              <w:rPr>
                <w:rFonts w:ascii="Arial" w:cs="Arial" w:eastAsia="Arial" w:hAnsi="Arial"/>
                <w:sz w:val="18"/>
                <w:szCs w:val="18"/>
                <w:b w:val="1"/>
                <w:bCs w:val="1"/>
                <w:color w:val="auto"/>
                <w:w w:val="90"/>
              </w:rPr>
              <w:t>July 1, 2023</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July 2, 2022</w:t>
            </w:r>
          </w:p>
        </w:tc>
        <w:tc>
          <w:tcPr>
            <w:tcW w:w="100" w:type="dxa"/>
            <w:vAlign w:val="bottom"/>
          </w:tcPr>
          <w:p>
            <w:pPr>
              <w:spacing w:after="0"/>
              <w:rPr>
                <w:sz w:val="19"/>
                <w:szCs w:val="19"/>
                <w:color w:val="auto"/>
              </w:rPr>
            </w:pPr>
          </w:p>
        </w:tc>
      </w:tr>
      <w:tr>
        <w:trPr>
          <w:trHeight w:val="209"/>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100" w:type="dxa"/>
            <w:vAlign w:val="bottom"/>
            <w:shd w:val="clear" w:color="auto" w:fill="CCEEFF"/>
          </w:tcPr>
          <w:p>
            <w:pPr>
              <w:spacing w:after="0"/>
              <w:rPr>
                <w:sz w:val="19"/>
                <w:szCs w:val="19"/>
                <w:color w:val="auto"/>
              </w:rPr>
            </w:pPr>
          </w:p>
        </w:tc>
      </w:tr>
      <w:tr>
        <w:trPr>
          <w:trHeight w:val="209"/>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200" w:type="dxa"/>
            <w:vAlign w:val="bottom"/>
            <w:tcBorders>
              <w:bottom w:val="single" w:sz="8" w:color="CCEEFF"/>
            </w:tcBorders>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with related party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Interest expense with related party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(9)</w:t>
            </w:r>
          </w:p>
        </w:tc>
      </w:tr>
      <w:tr>
        <w:trPr>
          <w:trHeight w:val="22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income (expense), net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200" w:type="dxa"/>
            <w:vAlign w:val="bottom"/>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w:t>
            </w:r>
          </w:p>
        </w:tc>
      </w:tr>
      <w:tr>
        <w:trPr>
          <w:trHeight w:val="20"/>
        </w:trPr>
        <w:tc>
          <w:tcPr>
            <w:tcW w:w="5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(28)</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(107)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(67)</w:t>
            </w:r>
          </w:p>
        </w:tc>
      </w:tr>
      <w:tr>
        <w:trPr>
          <w:trHeight w:val="216"/>
        </w:trPr>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(0.09)</w:t>
            </w:r>
          </w:p>
        </w:tc>
      </w:tr>
      <w:tr>
        <w:trPr>
          <w:trHeight w:val="198"/>
        </w:trPr>
        <w:tc>
          <w:tcPr>
            <w:tcW w:w="5280" w:type="dxa"/>
            <w:vAlign w:val="bottom"/>
          </w:tcPr>
          <w:p>
            <w:pPr>
              <w:spacing w:after="0" w:line="198" w:lineRule="exact"/>
              <w:rPr>
                <w:sz w:val="20"/>
                <w:szCs w:val="20"/>
                <w:color w:val="auto"/>
              </w:rPr>
            </w:pPr>
            <w:r>
              <w:rPr>
                <w:rFonts w:ascii="Arial" w:cs="Arial" w:eastAsia="Arial" w:hAnsi="Arial"/>
                <w:sz w:val="18"/>
                <w:szCs w:val="18"/>
                <w:b w:val="1"/>
                <w:bCs w:val="1"/>
                <w:color w:val="auto"/>
                <w:w w:val="88"/>
              </w:rPr>
              <w:t>Weighted-average number of shares used in computation of earnings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(loss) per share (in millions):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r>
      <w:tr>
        <w:trPr>
          <w:trHeight w:val="675"/>
        </w:trPr>
        <w:tc>
          <w:tcPr>
            <w:tcW w:w="5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Balance sheets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July 1, 2023</w:t>
            </w:r>
          </w:p>
        </w:tc>
        <w:tc>
          <w:tcPr>
            <w:tcW w:w="22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2022</w:t>
            </w:r>
          </w:p>
        </w:tc>
      </w:tr>
      <w:tr>
        <w:trPr>
          <w:trHeight w:val="209"/>
        </w:trPr>
        <w:tc>
          <w:tcPr>
            <w:tcW w:w="7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7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Trade accounts receivable,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r>
      <w:tr>
        <w:trPr>
          <w:trHeight w:val="229"/>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1,516</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2,276</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r>
      <w:tr>
        <w:trPr>
          <w:trHeight w:val="223"/>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13,713</w:t>
            </w:r>
          </w:p>
        </w:tc>
        <w:tc>
          <w:tcPr>
            <w:tcW w:w="2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13,925</w:t>
            </w:r>
          </w:p>
        </w:tc>
        <w:tc>
          <w:tcPr>
            <w:tcW w:w="100" w:type="dxa"/>
            <w:vAlign w:val="bottom"/>
            <w:shd w:val="clear" w:color="auto" w:fill="CCEEFF"/>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15,430</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15,441</w:t>
            </w:r>
          </w:p>
        </w:tc>
        <w:tc>
          <w:tcPr>
            <w:tcW w:w="100" w:type="dxa"/>
            <w:vAlign w:val="bottom"/>
          </w:tcPr>
          <w:p>
            <w:pPr>
              <w:spacing w:after="0"/>
              <w:rPr>
                <w:sz w:val="19"/>
                <w:szCs w:val="19"/>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7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Employee related accrued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party payable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30"/>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employee benefits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r>
      <w:tr>
        <w:trPr>
          <w:trHeight w:val="229"/>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18"/>
                <w:szCs w:val="18"/>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7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c>
          <w:tcPr>
            <w:tcW w:w="100" w:type="dxa"/>
            <w:vAlign w:val="bottom"/>
            <w:shd w:val="clear" w:color="auto" w:fill="CCEEFF"/>
          </w:tcPr>
          <w:p>
            <w:pPr>
              <w:spacing w:after="0"/>
              <w:rPr>
                <w:sz w:val="18"/>
                <w:szCs w:val="18"/>
                <w:color w:val="auto"/>
              </w:rPr>
            </w:pPr>
          </w:p>
        </w:tc>
      </w:tr>
      <w:tr>
        <w:trPr>
          <w:trHeight w:val="223"/>
        </w:trPr>
        <w:tc>
          <w:tcPr>
            <w:tcW w:w="77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14,800</w:t>
            </w:r>
          </w:p>
        </w:tc>
        <w:tc>
          <w:tcPr>
            <w:tcW w:w="220" w:type="dxa"/>
            <w:vAlign w:val="bottom"/>
            <w:tcBorders>
              <w:top w:val="single" w:sz="8" w:color="CCEEFF"/>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14,794</w:t>
            </w:r>
          </w:p>
        </w:tc>
        <w:tc>
          <w:tcPr>
            <w:tcW w:w="100" w:type="dxa"/>
            <w:vAlign w:val="bottom"/>
            <w:tcBorders>
              <w:top w:val="single" w:sz="8" w:color="CCEEFF"/>
              <w:bottom w:val="single" w:sz="8" w:color="CCEEFF"/>
            </w:tcBorders>
          </w:tcPr>
          <w:p>
            <w:pPr>
              <w:spacing w:after="0"/>
              <w:rPr>
                <w:sz w:val="19"/>
                <w:szCs w:val="19"/>
                <w:color w:val="auto"/>
              </w:rPr>
            </w:pPr>
          </w:p>
        </w:tc>
      </w:tr>
      <w:tr>
        <w:trPr>
          <w:trHeight w:val="26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15,430</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56"/>
        </w:trPr>
        <w:tc>
          <w:tcPr>
            <w:tcW w:w="7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941"/>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21"/>
              <w:spacing w:after="0"/>
              <w:rPr>
                <w:sz w:val="20"/>
                <w:szCs w:val="20"/>
                <w:color w:val="auto"/>
              </w:rPr>
            </w:pPr>
            <w:r>
              <w:rPr>
                <w:rFonts w:ascii="Arial" w:cs="Arial" w:eastAsia="Arial" w:hAnsi="Arial"/>
                <w:sz w:val="18"/>
                <w:szCs w:val="18"/>
                <w:b w:val="1"/>
                <w:bCs w:val="1"/>
                <w:color w:val="auto"/>
                <w:w w:val="98"/>
              </w:rPr>
              <w:t>July 1, 2023</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July 2, 2022</w:t>
            </w:r>
          </w:p>
        </w:tc>
        <w:tc>
          <w:tcPr>
            <w:tcW w:w="100" w:type="dxa"/>
            <w:vAlign w:val="bottom"/>
          </w:tcPr>
          <w:p>
            <w:pPr>
              <w:spacing w:after="0"/>
              <w:rPr>
                <w:sz w:val="19"/>
                <w:szCs w:val="19"/>
                <w:color w:val="auto"/>
              </w:rPr>
            </w:pPr>
          </w:p>
        </w:tc>
      </w:tr>
      <w:tr>
        <w:trPr>
          <w:trHeight w:val="210"/>
        </w:trPr>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
              <w:spacing w:after="0"/>
              <w:rPr>
                <w:sz w:val="20"/>
                <w:szCs w:val="20"/>
                <w:color w:val="auto"/>
              </w:rPr>
            </w:pPr>
            <w:r>
              <w:rPr>
                <w:rFonts w:ascii="Arial" w:cs="Arial" w:eastAsia="Arial" w:hAnsi="Arial"/>
                <w:sz w:val="18"/>
                <w:szCs w:val="18"/>
                <w:color w:val="auto"/>
              </w:rPr>
              <w:t>(107)</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(67)</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(loss) to net cash provided by operating activities: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rate differences on cash and cash equivalents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Dividend Note to related party, net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Interest with related party, net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w:t>
            </w: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trade accounts receivable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Decrease (increase) in other current assets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inventories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Increase (decrease) in accounts payable, accrued expenses and related party payable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(5)</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employee-related accrued expenses and long term benefits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Increase (decrease) in other current liabilities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(3)</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other long term assets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Increase (decrease) in long-term liabilities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(3)</w:t>
            </w:r>
          </w:p>
        </w:tc>
      </w:tr>
      <w:tr>
        <w:trPr>
          <w:trHeight w:val="223"/>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CCEEFF"/>
          </w:tcPr>
          <w:p>
            <w:pPr>
              <w:spacing w:after="0"/>
              <w:rPr>
                <w:sz w:val="19"/>
                <w:szCs w:val="19"/>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Repayment of loan due from related party</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8"/>
                <w:szCs w:val="18"/>
                <w:color w:val="auto"/>
              </w:rPr>
            </w:pP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loan to related party</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(336)</w:t>
            </w: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tcBorders>
              <w:bottom w:val="single" w:sz="8" w:color="CCEEFF"/>
            </w:tcBorders>
          </w:tcPr>
          <w:p>
            <w:pPr>
              <w:spacing w:after="0"/>
              <w:rPr>
                <w:sz w:val="18"/>
                <w:szCs w:val="18"/>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Net transfers from Parent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paid</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(336)</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Share-based compensation recharge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(186)</w:t>
            </w: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w:t>
            </w:r>
          </w:p>
        </w:tc>
      </w:tr>
      <w:tr>
        <w:trPr>
          <w:trHeight w:val="210"/>
        </w:trPr>
        <w:tc>
          <w:tcPr>
            <w:tcW w:w="776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r>
      <w:tr>
        <w:trPr>
          <w:trHeight w:val="23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Balance of cash, cash equivalents and restricted cash, at beginning of year</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8"/>
                <w:szCs w:val="18"/>
                <w:b w:val="1"/>
                <w:bCs w:val="1"/>
                <w:color w:val="auto"/>
              </w:rPr>
              <w:t>Balance of cash, cash equivalents and restricted cash, at end of period</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784</w:t>
            </w:r>
          </w:p>
        </w:tc>
        <w:tc>
          <w:tcPr>
            <w:tcW w:w="100" w:type="dxa"/>
            <w:vAlign w:val="bottom"/>
          </w:tcPr>
          <w:p>
            <w:pPr>
              <w:spacing w:after="0"/>
              <w:rPr>
                <w:sz w:val="18"/>
                <w:szCs w:val="18"/>
                <w:color w:val="auto"/>
              </w:rPr>
            </w:pPr>
          </w:p>
        </w:tc>
      </w:tr>
      <w:tr>
        <w:trPr>
          <w:trHeight w:val="669"/>
        </w:trPr>
        <w:tc>
          <w:tcPr>
            <w:tcW w:w="7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Gross Profit and Margin to Non-GAAP Adjusted Gross Profit and Margin</w:t>
      </w:r>
      <w:r>
        <w:rPr>
          <w:rFonts w:ascii="Arial" w:cs="Arial" w:eastAsia="Arial" w:hAnsi="Arial"/>
          <w:sz w:val="29"/>
          <w:szCs w:val="29"/>
          <w:color w:val="auto"/>
          <w:vertAlign w:val="superscript"/>
        </w:rPr>
        <w:t>3</w:t>
      </w:r>
      <w:r>
        <w:rPr>
          <w:rFonts w:ascii="Arial" w:cs="Arial" w:eastAsia="Arial" w:hAnsi="Arial"/>
          <w:sz w:val="18"/>
          <w:szCs w:val="18"/>
          <w:b w:val="1"/>
          <w:bCs w:val="1"/>
          <w:i w:val="1"/>
          <w:iCs w:val="1"/>
          <w:color w:val="auto"/>
        </w:rPr>
        <w:t xml:space="preserve"> (unaudited)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w w:val="95"/>
              </w:rPr>
              <w:t>Three Months Ended</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Six Months Ended</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July 1, 2023</w:t>
            </w:r>
          </w:p>
        </w:tc>
        <w:tc>
          <w:tcPr>
            <w:tcW w:w="100" w:type="dxa"/>
            <w:vAlign w:val="bottom"/>
          </w:tcPr>
          <w:p>
            <w:pPr>
              <w:spacing w:after="0"/>
              <w:rPr>
                <w:sz w:val="19"/>
                <w:szCs w:val="19"/>
                <w:color w:val="auto"/>
              </w:rPr>
            </w:pPr>
          </w:p>
        </w:tc>
        <w:tc>
          <w:tcPr>
            <w:tcW w:w="1680" w:type="dxa"/>
            <w:vAlign w:val="bottom"/>
            <w:gridSpan w:val="3"/>
          </w:tcPr>
          <w:p>
            <w:pPr>
              <w:ind w:left="340"/>
              <w:spacing w:after="0"/>
              <w:rPr>
                <w:sz w:val="20"/>
                <w:szCs w:val="20"/>
                <w:color w:val="auto"/>
              </w:rPr>
            </w:pPr>
            <w:r>
              <w:rPr>
                <w:rFonts w:ascii="Arial" w:cs="Arial" w:eastAsia="Arial" w:hAnsi="Arial"/>
                <w:sz w:val="18"/>
                <w:szCs w:val="18"/>
                <w:b w:val="1"/>
                <w:bCs w:val="1"/>
                <w:color w:val="auto"/>
              </w:rPr>
              <w:t>July 2, 2022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July 1, 2023</w:t>
            </w:r>
          </w:p>
        </w:tc>
        <w:tc>
          <w:tcPr>
            <w:tcW w:w="100" w:type="dxa"/>
            <w:vAlign w:val="bottom"/>
          </w:tcPr>
          <w:p>
            <w:pPr>
              <w:spacing w:after="0"/>
              <w:rPr>
                <w:sz w:val="19"/>
                <w:szCs w:val="19"/>
                <w:color w:val="auto"/>
              </w:rPr>
            </w:pPr>
          </w:p>
        </w:tc>
        <w:tc>
          <w:tcPr>
            <w:tcW w:w="1680" w:type="dxa"/>
            <w:vAlign w:val="bottom"/>
            <w:gridSpan w:val="3"/>
          </w:tcPr>
          <w:p>
            <w:pPr>
              <w:ind w:left="340"/>
              <w:spacing w:after="0"/>
              <w:rPr>
                <w:sz w:val="20"/>
                <w:szCs w:val="20"/>
                <w:color w:val="auto"/>
              </w:rPr>
            </w:pPr>
            <w:r>
              <w:rPr>
                <w:rFonts w:ascii="Arial" w:cs="Arial" w:eastAsia="Arial" w:hAnsi="Arial"/>
                <w:sz w:val="18"/>
                <w:szCs w:val="18"/>
                <w:b w:val="1"/>
                <w:bCs w:val="1"/>
                <w:color w:val="auto"/>
              </w:rPr>
              <w:t>July 2, 2022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900" w:type="dxa"/>
            <w:vAlign w:val="bottom"/>
            <w:vMerge w:val="restart"/>
          </w:tcPr>
          <w:p>
            <w:pPr>
              <w:spacing w:after="0"/>
              <w:rPr>
                <w:sz w:val="20"/>
                <w:szCs w:val="20"/>
                <w:color w:val="auto"/>
              </w:rPr>
            </w:pPr>
            <w:r>
              <w:rPr>
                <w:rFonts w:ascii="Arial" w:cs="Arial" w:eastAsia="Arial" w:hAnsi="Arial"/>
                <w:sz w:val="18"/>
                <w:szCs w:val="18"/>
                <w:b w:val="1"/>
                <w:bCs w:val="1"/>
                <w:color w:val="auto"/>
              </w:rPr>
              <w:t>U.S. dollars in millions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 of</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 of</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 of</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Revenue</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4"/>
              </w:rPr>
              <w:t>Revenue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4"/>
              </w:rPr>
              <w:t>Revenue</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4"/>
              </w:rPr>
              <w:t>Revenue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4"/>
              </w:rPr>
              <w:t>47%</w:t>
            </w:r>
          </w:p>
        </w:tc>
        <w:tc>
          <w:tcPr>
            <w:tcW w:w="0" w:type="dxa"/>
            <w:vAlign w:val="bottom"/>
          </w:tcPr>
          <w:p>
            <w:pPr>
              <w:spacing w:after="0"/>
              <w:rPr>
                <w:sz w:val="1"/>
                <w:szCs w:val="1"/>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Add: Amortization of acquired</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260" w:type="dxa"/>
            <w:vAlign w:val="bottom"/>
            <w:gridSpan w:val="3"/>
          </w:tcPr>
          <w:p>
            <w:pPr>
              <w:ind w:left="8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w:t>
            </w:r>
          </w:p>
        </w:tc>
        <w:tc>
          <w:tcPr>
            <w:tcW w:w="1260" w:type="dxa"/>
            <w:vAlign w:val="bottom"/>
            <w:gridSpan w:val="3"/>
          </w:tcPr>
          <w:p>
            <w:pPr>
              <w:ind w:left="8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w w:val="94"/>
              </w:rPr>
              <w:t>28%</w:t>
            </w: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Share-based compensation</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290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w w:val="79"/>
              </w:rPr>
              <w:t>72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w w:val="79"/>
              </w:rPr>
              <w:t>75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w w:val="79"/>
              </w:rPr>
              <w:t>71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w w:val="79"/>
              </w:rPr>
              <w:t>76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Adjusted gross margin is calculated as adjusted gross profit as a percentage of revenue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Operating Income (loss) and Margin to Non-GAAP Adjusted Operating Income and Margin</w:t>
      </w:r>
      <w:r>
        <w:rPr>
          <w:rFonts w:ascii="Arial" w:cs="Arial" w:eastAsia="Arial" w:hAnsi="Arial"/>
          <w:sz w:val="29"/>
          <w:szCs w:val="29"/>
          <w:color w:val="auto"/>
          <w:vertAlign w:val="superscript"/>
        </w:rPr>
        <w:t>4</w:t>
      </w:r>
      <w:r>
        <w:rPr>
          <w:rFonts w:ascii="Arial" w:cs="Arial" w:eastAsia="Arial" w:hAnsi="Arial"/>
          <w:sz w:val="18"/>
          <w:szCs w:val="18"/>
          <w:b w:val="1"/>
          <w:bCs w:val="1"/>
          <w:i w:val="1"/>
          <w:iCs w:val="1"/>
          <w:color w:val="auto"/>
        </w:rPr>
        <w:t xml:space="preserve"> (unaudited)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ind w:left="220"/>
              <w:spacing w:after="0"/>
              <w:rPr>
                <w:sz w:val="20"/>
                <w:szCs w:val="20"/>
                <w:color w:val="auto"/>
              </w:rPr>
            </w:pPr>
            <w:r>
              <w:rPr>
                <w:rFonts w:ascii="Arial" w:cs="Arial" w:eastAsia="Arial" w:hAnsi="Arial"/>
                <w:sz w:val="18"/>
                <w:szCs w:val="18"/>
                <w:b w:val="1"/>
                <w:bCs w:val="1"/>
                <w:color w:val="auto"/>
              </w:rPr>
              <w:t>Six Months Ended</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July 1, 2023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July 2, 2022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July 1, 2023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ind w:left="320"/>
              <w:spacing w:after="0"/>
              <w:rPr>
                <w:sz w:val="20"/>
                <w:szCs w:val="20"/>
                <w:color w:val="auto"/>
              </w:rPr>
            </w:pPr>
            <w:r>
              <w:rPr>
                <w:rFonts w:ascii="Arial" w:cs="Arial" w:eastAsia="Arial" w:hAnsi="Arial"/>
                <w:sz w:val="18"/>
                <w:szCs w:val="18"/>
                <w:b w:val="1"/>
                <w:bCs w:val="1"/>
                <w:color w:val="auto"/>
              </w:rPr>
              <w:t>July 2, 2022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U.S. dollars in millions</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 of</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 of</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 of</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Revenue</w:t>
            </w:r>
          </w:p>
        </w:tc>
        <w:tc>
          <w:tcPr>
            <w:tcW w:w="2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Revenue</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Revenue</w:t>
            </w:r>
          </w:p>
        </w:tc>
        <w:tc>
          <w:tcPr>
            <w:tcW w:w="2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Revenue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7"/>
                <w:szCs w:val="17"/>
                <w:color w:val="auto"/>
                <w:w w:val="72"/>
              </w:rPr>
              <w:t>(13)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Add: Amortization of acquired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Share-based compensation</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Add: Expenses related to the IPO</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31</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29</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38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Adjusted operating margin is calculated as adjusted operating income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Net Income (loss) to Non-GAAP Adjusted Net Income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93"/>
              </w:rPr>
              <w:t>Three Months Ended</w:t>
            </w: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July 1, 2023</w:t>
            </w:r>
          </w:p>
        </w:tc>
        <w:tc>
          <w:tcPr>
            <w:tcW w:w="200" w:type="dxa"/>
            <w:vAlign w:val="bottom"/>
          </w:tcPr>
          <w:p>
            <w:pPr>
              <w:spacing w:after="0"/>
              <w:rPr>
                <w:sz w:val="19"/>
                <w:szCs w:val="19"/>
                <w:color w:val="auto"/>
              </w:rPr>
            </w:pPr>
          </w:p>
        </w:tc>
        <w:tc>
          <w:tcPr>
            <w:tcW w:w="15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July 2, 2022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8"/>
              </w:rPr>
              <w:t>July 1, 2023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July 2, 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U.S. dollars in millions</w:t>
            </w:r>
          </w:p>
        </w:tc>
        <w:tc>
          <w:tcPr>
            <w:tcW w:w="200" w:type="dxa"/>
            <w:vAlign w:val="bottom"/>
            <w:vMerge w:val="restart"/>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 of</w:t>
            </w: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ind w:right="110"/>
              <w:spacing w:after="0" w:line="195" w:lineRule="exact"/>
              <w:rPr>
                <w:sz w:val="20"/>
                <w:szCs w:val="20"/>
                <w:color w:val="auto"/>
              </w:rPr>
            </w:pPr>
            <w:r>
              <w:rPr>
                <w:rFonts w:ascii="Arial" w:cs="Arial" w:eastAsia="Arial" w:hAnsi="Arial"/>
                <w:sz w:val="18"/>
                <w:szCs w:val="18"/>
                <w:color w:val="auto"/>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right"/>
              <w:ind w:right="130"/>
              <w:spacing w:after="0" w:line="195" w:lineRule="exact"/>
              <w:rPr>
                <w:sz w:val="20"/>
                <w:szCs w:val="20"/>
                <w:color w:val="auto"/>
              </w:rPr>
            </w:pPr>
            <w:r>
              <w:rPr>
                <w:rFonts w:ascii="Arial" w:cs="Arial" w:eastAsia="Arial" w:hAnsi="Arial"/>
                <w:sz w:val="18"/>
                <w:szCs w:val="18"/>
                <w:color w:val="auto"/>
              </w:rPr>
              <w:t>% of</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2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Revenue</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Amount</w:t>
            </w:r>
          </w:p>
        </w:tc>
        <w:tc>
          <w:tcPr>
            <w:tcW w:w="3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Revenue</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Amount</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Revenue</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3"/>
              </w:rPr>
              <w:t>Amount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Revenue</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0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w:t>
            </w:r>
          </w:p>
        </w:tc>
        <w:tc>
          <w:tcPr>
            <w:tcW w:w="3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rPr>
              <w:t>Add: Amortization of acquired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gridSpan w:val="3"/>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Add: Share-based compensation</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right w:val="single" w:sz="8" w:color="CCEEFF"/>
            </w:tcBorders>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w w:val="97"/>
              </w:rPr>
              <w:t>Add: Expenses related to the Mobileye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IPO</w:t>
            </w: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Income tax effects</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3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276</w:t>
            </w:r>
          </w:p>
        </w:tc>
        <w:tc>
          <w:tcPr>
            <w:tcW w:w="1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0"/>
        </w:trPr>
        <w:tc>
          <w:tcPr>
            <w:tcW w:w="304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5"/>
              </w:rPr>
              <w:t>Supplemental Information - Average System Price (unaudited)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Q2 2022</w:t>
            </w:r>
          </w:p>
        </w:tc>
        <w:tc>
          <w:tcPr>
            <w:tcW w:w="200" w:type="dxa"/>
            <w:vAlign w:val="bottom"/>
          </w:tcPr>
          <w:p>
            <w:pPr>
              <w:spacing w:after="0"/>
              <w:rPr>
                <w:sz w:val="24"/>
                <w:szCs w:val="24"/>
                <w:color w:val="auto"/>
              </w:rPr>
            </w:pPr>
          </w:p>
        </w:tc>
        <w:tc>
          <w:tcPr>
            <w:tcW w:w="11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Q3 2022</w:t>
            </w:r>
          </w:p>
        </w:tc>
        <w:tc>
          <w:tcPr>
            <w:tcW w:w="120" w:type="dxa"/>
            <w:vAlign w:val="bottom"/>
          </w:tcPr>
          <w:p>
            <w:pPr>
              <w:spacing w:after="0"/>
              <w:rPr>
                <w:sz w:val="24"/>
                <w:szCs w:val="24"/>
                <w:color w:val="auto"/>
              </w:rPr>
            </w:pPr>
          </w:p>
        </w:tc>
        <w:tc>
          <w:tcPr>
            <w:tcW w:w="10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Q4 2022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Q1 2023</w:t>
            </w:r>
          </w:p>
        </w:tc>
        <w:tc>
          <w:tcPr>
            <w:tcW w:w="140" w:type="dxa"/>
            <w:vAlign w:val="bottom"/>
          </w:tcPr>
          <w:p>
            <w:pPr>
              <w:spacing w:after="0"/>
              <w:rPr>
                <w:sz w:val="24"/>
                <w:szCs w:val="2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Q2 2023</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righ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0"/>
              </w:rPr>
              <w:t>EyeQ and SuperVision revenue (U.S. dollars in millions)</w:t>
            </w: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432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w w:val="94"/>
              </w:rPr>
              <w:t>Number of systems shipped (in millions)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system price (U.S. dollars)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5"/>
              </w:rPr>
              <w:t>53.0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0" w:type="dxa"/>
            <w:vAlign w:val="bottom"/>
            <w:tcBorders>
              <w:right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Dan Galves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investors@mobileye.com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Justin Hyde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2023-07-27T05:45:03Z</dcterms:created>
  <dcterms:modified xsi:type="dcterms:W3CDTF">2023-07-27T05:45:03Z</dcterms:modified>
</cp:coreProperties>
</file>