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00" w:type="dxa"/>
            <w:vAlign w:val="bottom"/>
            <w:gridSpan w:val="19"/>
            <w:vMerge w:val="restart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1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Shemesh Rojansky Moran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Mobileye Global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MBLY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Acting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MOBILEYE B.V., HAR HOTZVIM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 HARTOM STREET, P.O. BOX 45157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JERUSALEM   L3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977513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14,815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14,815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14,815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-5815965</wp:posOffset>
            </wp:positionV>
            <wp:extent cx="7045325" cy="5829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2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(RSU) represents the right to receive, following vesting, one share of Class A common stock of Mobileye Global Inc.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4"/>
        <w:spacing w:after="0" w:line="242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Unless forfeited earlier under the terms of the RSU Agreement, the RSUs will vest as follows: (a) 40% of the RSUs vest and convert into common stock on the first anniversary of the grant date (which grant date is July 10, 2023),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982649" TargetMode="External"/><Relationship Id="rId9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2023-07-12T15:27:12Z</dcterms:created>
  <dcterms:modified xsi:type="dcterms:W3CDTF">2023-07-12T15:27:12Z</dcterms:modified>
</cp:coreProperties>
</file>