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DOCUMENT TYPE SC 13G/A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0" w:lineRule="auto"/>
        <w:rPr>
          <w:sz w:val="20"/>
          <w:szCs w:val="20"/>
          <w:color w:val="auto"/>
        </w:rPr>
      </w:pPr>
      <w:r>
        <w:rPr>
          <w:rFonts w:ascii="Times New Roman" w:cs="Times New Roman" w:eastAsia="Times New Roman" w:hAnsi="Times New Roman"/>
          <w:sz w:val="22"/>
          <w:szCs w:val="22"/>
          <w:color w:val="auto"/>
        </w:rPr>
        <w:t>SCHEDULE 13G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 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 Mobileye Global Inc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of Class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 Securities: Common Stock</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 60741F104</w:t>
      </w:r>
    </w:p>
    <w:p>
      <w:pPr>
        <w:spacing w:after="0" w:line="233" w:lineRule="exact"/>
        <w:rPr>
          <w:sz w:val="24"/>
          <w:szCs w:val="24"/>
          <w:color w:val="auto"/>
        </w:rPr>
      </w:pPr>
    </w:p>
    <w:p>
      <w:pPr>
        <w:ind w:right="3539" w:firstLine="8"/>
        <w:spacing w:after="0" w:line="461"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I.R.S. IDENTIFICATION NO. OF REPORTING PERSON Prudential Financial, Inc. 22-3703799</w:t>
      </w:r>
    </w:p>
    <w:p>
      <w:pPr>
        <w:spacing w:after="0"/>
        <w:rPr>
          <w:sz w:val="20"/>
          <w:szCs w:val="20"/>
          <w:color w:val="auto"/>
        </w:rPr>
      </w:pPr>
      <w:r>
        <w:rPr>
          <w:rFonts w:ascii="Times New Roman" w:cs="Times New Roman" w:eastAsia="Times New Roman" w:hAnsi="Times New Roman"/>
          <w:sz w:val="22"/>
          <w:szCs w:val="22"/>
          <w:color w:val="auto"/>
        </w:rPr>
        <w:t>2.) MEMBER OF A GROUP: (a) N/A</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w:t>
      </w:r>
    </w:p>
    <w:p>
      <w:pPr>
        <w:spacing w:after="0" w:line="209"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OF ORGANIZATION: New Jersey</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NUMBER OF SHARES BENEFICIALLY OWNED BY REPORTING PERSON WITH:</w:t>
      </w:r>
    </w:p>
    <w:p>
      <w:pPr>
        <w:spacing w:after="0" w:line="233" w:lineRule="exact"/>
        <w:rPr>
          <w:sz w:val="24"/>
          <w:szCs w:val="24"/>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233,459 See Exhibit A</w:t>
      </w:r>
    </w:p>
    <w:p>
      <w:pPr>
        <w:spacing w:after="0" w:line="14"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13,106,005 See Exhibit A</w:t>
      </w: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233,459 See Exhibit A</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13,799,547 See Exhibit A</w:t>
      </w:r>
    </w:p>
    <w:p>
      <w:pPr>
        <w:spacing w:after="0" w:line="20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14,033,006 See Exhibit A</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IN ROW (9) EXCLUDES SHARES: Not applicable</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 OF CLASS REPRESENTED BY AMOUNT IN ROW (9): 14.83 See Exhibit A</w:t>
      </w:r>
    </w:p>
    <w:p>
      <w:pPr>
        <w:spacing w:after="0" w:line="24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EXECUTIVE OFFICES: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 Hotzvim 13 Hartom Street P.O.Box 45157 Jerusalem , Israel 9777513</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2(a). NAME OF PERSON FILING: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2(b). ADDRESS OF PRINCIPAL BUSINESS OFFICE: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751 Broad Street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 New Jersey 07102-3777</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ITEM 2(c). CITIZENSHIP:</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ectPr>
          <w:pgSz w:w="11900" w:h="16838" w:orient="portrait"/>
          <w:cols w:equalWidth="0" w:num="1">
            <w:col w:w="10139"/>
          </w:cols>
          <w:pgMar w:left="320" w:top="220" w:right="1440" w:bottom="5" w:gutter="0" w:footer="0" w:header="0"/>
        </w:sectPr>
      </w:pPr>
    </w:p>
    <w:bookmarkStart w:id="1" w:name="page2"/>
    <w:bookmarkEnd w:id="1"/>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2(d). TITLE OF CLASS OF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60741F104</w:t>
      </w:r>
    </w:p>
    <w:p>
      <w:pPr>
        <w:spacing w:after="0" w:line="233" w:lineRule="exact"/>
        <w:rPr>
          <w:sz w:val="20"/>
          <w:szCs w:val="20"/>
          <w:color w:val="auto"/>
        </w:rPr>
      </w:pPr>
    </w:p>
    <w:p>
      <w:pPr>
        <w:ind w:right="4500"/>
        <w:spacing w:after="0" w:line="244" w:lineRule="auto"/>
        <w:rPr>
          <w:sz w:val="20"/>
          <w:szCs w:val="20"/>
          <w:color w:val="auto"/>
        </w:rPr>
      </w:pPr>
      <w:r>
        <w:rPr>
          <w:rFonts w:ascii="Times New Roman" w:cs="Times New Roman" w:eastAsia="Times New Roman" w:hAnsi="Times New Roman"/>
          <w:sz w:val="22"/>
          <w:szCs w:val="22"/>
          <w:color w:val="auto"/>
        </w:rPr>
        <w:t>ITEM 3. The Person filing this statement is a Parent Holding Company as defined in Section 240.13d-1(b)(1)(ii)(G) 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Number of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Beneficially Owned: 14,033,006 See Exhibit 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Percent of Class: 14.83</w:t>
      </w:r>
    </w:p>
    <w:p>
      <w:pPr>
        <w:sectPr>
          <w:pgSz w:w="11900" w:h="16857" w:orient="portrait"/>
          <w:cols w:equalWidth="0" w:num="1">
            <w:col w:w="10900"/>
          </w:cols>
          <w:pgMar w:left="320" w:top="111"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57" w:orient="portrait"/>
          <w:cols w:equalWidth="0" w:num="2">
            <w:col w:w="1820" w:space="720"/>
            <w:col w:w="8360"/>
          </w:cols>
          <w:pgMar w:left="320" w:top="111" w:right="679" w:bottom="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57" w:orient="portrait"/>
          <w:cols w:equalWidth="0" w:num="2">
            <w:col w:w="1620" w:space="720"/>
            <w:col w:w="8560"/>
          </w:cols>
          <w:pgMar w:left="320" w:top="111" w:right="6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233,459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92" w:lineRule="exact"/>
        <w:rPr>
          <w:sz w:val="20"/>
          <w:szCs w:val="20"/>
          <w:color w:val="auto"/>
        </w:rPr>
      </w:pPr>
    </w:p>
    <w:p>
      <w:pPr>
        <w:sectPr>
          <w:pgSz w:w="11900" w:h="16857" w:orient="portrait"/>
          <w:cols w:equalWidth="0" w:num="3">
            <w:col w:w="2040" w:space="400"/>
            <w:col w:w="680" w:space="200"/>
            <w:col w:w="7580"/>
          </w:cols>
          <w:pgMar w:left="320" w:top="111" w:right="6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57" w:orient="portrait"/>
          <w:cols w:equalWidth="0" w:num="1">
            <w:col w:w="10900"/>
          </w:cols>
          <w:pgMar w:left="320" w:top="111" w:right="679" w:bottom="0" w:gutter="0" w:footer="0" w:header="0"/>
          <w:type w:val="continuous"/>
        </w:sectPr>
      </w:pPr>
    </w:p>
    <w:p>
      <w:pPr>
        <w:spacing w:after="0" w:line="113" w:lineRule="exact"/>
        <w:rPr>
          <w:sz w:val="20"/>
          <w:szCs w:val="20"/>
          <w:color w:val="auto"/>
        </w:rPr>
      </w:pPr>
    </w:p>
    <w:p>
      <w:pPr>
        <w:spacing w:after="0"/>
        <w:tabs>
          <w:tab w:leader="none" w:pos="2420" w:val="left"/>
          <w:tab w:leader="none" w:pos="3580" w:val="left"/>
        </w:tabs>
        <w:rPr>
          <w:sz w:val="20"/>
          <w:szCs w:val="20"/>
          <w:color w:val="auto"/>
        </w:rPr>
      </w:pPr>
      <w:r>
        <w:rPr>
          <w:rFonts w:ascii="Courier New" w:cs="Courier New" w:eastAsia="Courier New" w:hAnsi="Courier New"/>
          <w:sz w:val="16"/>
          <w:szCs w:val="16"/>
          <w:color w:val="auto"/>
        </w:rPr>
        <w:t>Shared power to vote or</w:t>
        <w:tab/>
        <w:t>13,106,005</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the vote</w:t>
      </w:r>
    </w:p>
    <w:p>
      <w:pPr>
        <w:spacing w:after="0" w:line="167"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6"/>
          <w:szCs w:val="16"/>
          <w:color w:val="auto"/>
        </w:rPr>
        <w:t>Sole power to dispose or 233,459</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pacing w:after="0" w:line="167" w:lineRule="exact"/>
        <w:rPr>
          <w:sz w:val="20"/>
          <w:szCs w:val="20"/>
          <w:color w:val="auto"/>
        </w:rPr>
      </w:pPr>
    </w:p>
    <w:p>
      <w:pPr>
        <w:spacing w:after="0"/>
        <w:tabs>
          <w:tab w:leader="none" w:pos="2420" w:val="left"/>
          <w:tab w:leader="none" w:pos="3580" w:val="left"/>
        </w:tabs>
        <w:rPr>
          <w:sz w:val="20"/>
          <w:szCs w:val="20"/>
          <w:color w:val="auto"/>
        </w:rPr>
      </w:pPr>
      <w:r>
        <w:rPr>
          <w:rFonts w:ascii="Courier New" w:cs="Courier New" w:eastAsia="Courier New" w:hAnsi="Courier New"/>
          <w:sz w:val="16"/>
          <w:szCs w:val="16"/>
          <w:color w:val="auto"/>
        </w:rPr>
        <w:t>Shared power to dispose</w:t>
        <w:tab/>
        <w:t>13,799,547</w:t>
        <w:tab/>
        <w:t>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to direct disposition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OWNERSHIP OF 5%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ind w:right="5240"/>
        <w:spacing w:after="0" w:line="258" w:lineRule="auto"/>
        <w:rPr>
          <w:sz w:val="20"/>
          <w:szCs w:val="20"/>
          <w:color w:val="auto"/>
        </w:rPr>
      </w:pPr>
      <w:r>
        <w:rPr>
          <w:rFonts w:ascii="Times New Roman" w:cs="Times New Roman" w:eastAsia="Times New Roman" w:hAnsi="Times New Roman"/>
          <w:sz w:val="22"/>
          <w:szCs w:val="22"/>
          <w:color w:val="auto"/>
        </w:rPr>
        <w:t>ITEM 6. OWNERSHIP OF MORE THAN 5% ON BEHALF OF ANOTHER PERSON:</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Our clients may have the right to receive or the power to direct the receipt of dividends from, or the proceeds from the sale of, such securities which are the subject of this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 AND CLASSIFICATION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WHICH ACQUIRED THE SECURITY BEING</w:t>
      </w:r>
    </w:p>
    <w:p>
      <w:pPr>
        <w:spacing w:after="0"/>
        <w:rPr>
          <w:sz w:val="20"/>
          <w:szCs w:val="20"/>
          <w:color w:val="auto"/>
        </w:rPr>
      </w:pPr>
      <w:r>
        <w:rPr>
          <w:rFonts w:ascii="Times New Roman" w:cs="Times New Roman" w:eastAsia="Times New Roman" w:hAnsi="Times New Roman"/>
          <w:sz w:val="22"/>
          <w:szCs w:val="22"/>
          <w:color w:val="auto"/>
        </w:rPr>
        <w:t>REPORTED ON BY THE ULTIMATE PARENT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 IDENTIFICATION AND CLASSIFICATION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OF THE GROUP: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w:t>
      </w:r>
    </w:p>
    <w:p>
      <w:pPr>
        <w:spacing w:after="0" w:line="200" w:lineRule="exact"/>
        <w:rPr>
          <w:sz w:val="20"/>
          <w:szCs w:val="20"/>
          <w:color w:val="auto"/>
        </w:rPr>
      </w:pPr>
    </w:p>
    <w:p>
      <w:pPr>
        <w:spacing w:after="0" w:line="249" w:lineRule="exact"/>
        <w:rPr>
          <w:sz w:val="20"/>
          <w:szCs w:val="20"/>
          <w:color w:val="auto"/>
        </w:rPr>
      </w:pPr>
    </w:p>
    <w:p>
      <w:pPr>
        <w:ind w:right="4420"/>
        <w:spacing w:after="0" w:line="251" w:lineRule="auto"/>
        <w:rPr>
          <w:sz w:val="20"/>
          <w:szCs w:val="20"/>
          <w:color w:val="auto"/>
        </w:rPr>
      </w:pPr>
      <w:r>
        <w:rPr>
          <w:rFonts w:ascii="Times New Roman" w:cs="Times New Roman" w:eastAsia="Times New Roman" w:hAnsi="Times New Roman"/>
          <w:sz w:val="21"/>
          <w:szCs w:val="21"/>
          <w:color w:val="auto"/>
        </w:rPr>
        <w:t>By signing below, Prudential Financial, Inc.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w:t>
      </w:r>
    </w:p>
    <w:p>
      <w:pPr>
        <w:sectPr>
          <w:pgSz w:w="11900" w:h="16857" w:orient="portrait"/>
          <w:cols w:equalWidth="0" w:num="1">
            <w:col w:w="10900"/>
          </w:cols>
          <w:pgMar w:left="320" w:top="111" w:right="679" w:bottom="0" w:gutter="0" w:footer="0" w:header="0"/>
          <w:type w:val="continuous"/>
        </w:sectPr>
      </w:pPr>
    </w:p>
    <w:bookmarkStart w:id="2" w:name="page3"/>
    <w:bookmarkEnd w:id="2"/>
    <w:p>
      <w:pPr>
        <w:ind w:right="4760"/>
        <w:spacing w:after="0" w:line="259" w:lineRule="auto"/>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180"/>
        <w:spacing w:after="0" w:line="244" w:lineRule="auto"/>
        <w:rPr>
          <w:sz w:val="20"/>
          <w:szCs w:val="20"/>
          <w:color w:val="auto"/>
        </w:rPr>
      </w:pPr>
      <w:r>
        <w:rPr>
          <w:rFonts w:ascii="Times New Roman" w:cs="Times New Roman" w:eastAsia="Times New Roman" w:hAnsi="Times New Roman"/>
          <w:sz w:val="22"/>
          <w:szCs w:val="22"/>
          <w:color w:val="auto"/>
        </w:rPr>
        <w:t>The filing of this statement should not be construed as an admission that Prudential Financial, Inc. is, for purposes of Sections 13 or 16 of the Securities Exchange Act of 1934, the beneficial owner of such shares.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right="4940"/>
        <w:spacing w:after="0" w:line="244"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Prudential Financial, Inc. certifies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By:Richard Baker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Vice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Date:2-12-2024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of:12-31-2023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w:t>
      </w:r>
    </w:p>
    <w:p>
      <w:pPr>
        <w:spacing w:after="0" w:line="393" w:lineRule="exact"/>
        <w:rPr>
          <w:sz w:val="20"/>
          <w:szCs w:val="20"/>
          <w:color w:val="auto"/>
        </w:rPr>
      </w:pPr>
    </w:p>
    <w:p>
      <w:pPr>
        <w:ind w:left="200" w:right="3600"/>
        <w:spacing w:after="0" w:line="290"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14,033,006 shares.</w:t>
      </w:r>
    </w:p>
    <w:p>
      <w:pPr>
        <w:spacing w:after="0" w:line="200" w:lineRule="exact"/>
        <w:rPr>
          <w:sz w:val="20"/>
          <w:szCs w:val="20"/>
          <w:color w:val="auto"/>
        </w:rPr>
      </w:pPr>
    </w:p>
    <w:p>
      <w:pPr>
        <w:spacing w:after="0" w:line="247" w:lineRule="exact"/>
        <w:rPr>
          <w:sz w:val="20"/>
          <w:szCs w:val="20"/>
          <w:color w:val="auto"/>
        </w:rPr>
      </w:pPr>
    </w:p>
    <w:p>
      <w:pPr>
        <w:ind w:left="200" w:right="3600"/>
        <w:spacing w:after="0" w:line="274"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 IDENTIFICATION/CLASSIFICATION:</w:t>
      </w:r>
    </w:p>
    <w:p>
      <w:pPr>
        <w:spacing w:after="0" w:line="393" w:lineRule="exact"/>
        <w:rPr>
          <w:sz w:val="20"/>
          <w:szCs w:val="20"/>
          <w:color w:val="auto"/>
        </w:rPr>
      </w:pPr>
    </w:p>
    <w:p>
      <w:pPr>
        <w:spacing w:after="0" w:line="310"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600" w:type="dxa"/>
            <w:vAlign w:val="bottom"/>
          </w:tcPr>
          <w:p>
            <w:pPr>
              <w:spacing w:after="0"/>
              <w:rPr>
                <w:sz w:val="16"/>
                <w:szCs w:val="16"/>
                <w:color w:val="auto"/>
              </w:rPr>
            </w:pP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color w:val="auto"/>
                <w:w w:val="99"/>
              </w:rPr>
              <w:t>Number of</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Percentage</w:t>
            </w:r>
          </w:p>
        </w:tc>
        <w:tc>
          <w:tcPr>
            <w:tcW w:w="0" w:type="dxa"/>
            <w:vAlign w:val="bottom"/>
          </w:tcPr>
          <w:p>
            <w:pPr>
              <w:spacing w:after="0"/>
              <w:rPr>
                <w:sz w:val="1"/>
                <w:szCs w:val="1"/>
                <w:color w:val="auto"/>
              </w:rPr>
            </w:pPr>
          </w:p>
        </w:tc>
      </w:tr>
      <w:tr>
        <w:trPr>
          <w:trHeight w:val="211"/>
        </w:trPr>
        <w:tc>
          <w:tcPr>
            <w:tcW w:w="4280" w:type="dxa"/>
            <w:vAlign w:val="bottom"/>
            <w:vMerge w:val="restart"/>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600" w:type="dxa"/>
            <w:vAlign w:val="bottom"/>
            <w:vMerge w:val="restart"/>
          </w:tcPr>
          <w:p>
            <w:pPr>
              <w:ind w:left="100"/>
              <w:spacing w:after="0"/>
              <w:rPr>
                <w:sz w:val="20"/>
                <w:szCs w:val="20"/>
                <w:color w:val="auto"/>
              </w:rPr>
            </w:pPr>
            <w:r>
              <w:rPr>
                <w:rFonts w:ascii="Courier New" w:cs="Courier New" w:eastAsia="Courier New" w:hAnsi="Courier New"/>
                <w:sz w:val="16"/>
                <w:szCs w:val="16"/>
                <w:b w:val="1"/>
                <w:bCs w:val="1"/>
                <w:color w:val="auto"/>
              </w:rPr>
              <w:t>IC</w:t>
            </w: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Shares</w:t>
            </w:r>
          </w:p>
        </w:tc>
        <w:tc>
          <w:tcPr>
            <w:tcW w:w="1020" w:type="dxa"/>
            <w:vAlign w:val="bottom"/>
            <w:vMerge w:val="restart"/>
          </w:tcPr>
          <w:p>
            <w:pPr>
              <w:jc w:val="center"/>
              <w:spacing w:after="0"/>
              <w:rPr>
                <w:sz w:val="20"/>
                <w:szCs w:val="20"/>
                <w:color w:val="auto"/>
              </w:rPr>
            </w:pPr>
            <w:r>
              <w:rPr>
                <w:rFonts w:ascii="Courier New" w:cs="Courier New" w:eastAsia="Courier New" w:hAnsi="Courier New"/>
                <w:sz w:val="16"/>
                <w:szCs w:val="16"/>
                <w:b w:val="1"/>
                <w:bCs w:val="1"/>
                <w:color w:val="auto"/>
              </w:rPr>
              <w:t>0.02</w:t>
            </w: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b w:val="1"/>
                <w:bCs w:val="1"/>
                <w:color w:val="auto"/>
              </w:rPr>
              <w:t>21,691</w:t>
            </w: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60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b w:val="1"/>
                <w:bCs w:val="1"/>
                <w:color w:val="auto"/>
              </w:rPr>
              <w:t>14,011,315</w:t>
            </w:r>
          </w:p>
        </w:tc>
        <w:tc>
          <w:tcPr>
            <w:tcW w:w="10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14.80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60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b w:val="1"/>
                <w:bCs w:val="1"/>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PGIM Quantitative Solutions LLC</w:t>
            </w:r>
          </w:p>
        </w:tc>
        <w:tc>
          <w:tcPr>
            <w:tcW w:w="60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b w:val="1"/>
                <w:bCs w:val="1"/>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PRUCO Securities, LLC</w:t>
            </w:r>
          </w:p>
        </w:tc>
        <w:tc>
          <w:tcPr>
            <w:tcW w:w="60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320" w:type="dxa"/>
            <w:vAlign w:val="bottom"/>
          </w:tcPr>
          <w:p>
            <w:pPr>
              <w:jc w:val="center"/>
              <w:ind w:left="139"/>
              <w:spacing w:after="0"/>
              <w:rPr>
                <w:sz w:val="20"/>
                <w:szCs w:val="20"/>
                <w:color w:val="auto"/>
              </w:rPr>
            </w:pPr>
            <w:r>
              <w:rPr>
                <w:rFonts w:ascii="Courier New" w:cs="Courier New" w:eastAsia="Courier New" w:hAnsi="Courier New"/>
                <w:sz w:val="16"/>
                <w:szCs w:val="16"/>
                <w:b w:val="1"/>
                <w:bCs w:val="1"/>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0.00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2024-02-12T13:50:06Z</dcterms:created>
  <dcterms:modified xsi:type="dcterms:W3CDTF">2024-02-12T13:50:06Z</dcterms:modified>
</cp:coreProperties>
</file>