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605790</wp:posOffset>
            </wp:positionH>
            <wp:positionV relativeFrom="page">
              <wp:posOffset>605790</wp:posOffset>
            </wp:positionV>
            <wp:extent cx="1835785" cy="278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5785" cy="278130"/>
                    </a:xfrm>
                    <a:prstGeom prst="rect">
                      <a:avLst/>
                    </a:prstGeom>
                    <a:noFill/>
                  </pic:spPr>
                </pic:pic>
              </a:graphicData>
            </a:graphic>
          </wp:anchor>
        </w:drawing>
        <w:drawing>
          <wp:anchor simplePos="0" relativeHeight="251657728" behindDoc="1" locked="0" layoutInCell="0" allowOverlap="1">
            <wp:simplePos x="0" y="0"/>
            <wp:positionH relativeFrom="page">
              <wp:posOffset>596900</wp:posOffset>
            </wp:positionH>
            <wp:positionV relativeFrom="page">
              <wp:posOffset>2804795</wp:posOffset>
            </wp:positionV>
            <wp:extent cx="6341110" cy="6419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1110" cy="641921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1186180</wp:posOffset>
                </wp:positionV>
                <wp:extent cx="68961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93.4pt" to="568.5pt,93.4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323850</wp:posOffset>
                </wp:positionH>
                <wp:positionV relativeFrom="page">
                  <wp:posOffset>1248410</wp:posOffset>
                </wp:positionV>
                <wp:extent cx="68961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98.3pt" to="568.5pt,98.3pt" o:allowincell="f" strokecolor="#000000" strokeweight="0.48pt">
                <w10:wrap anchorx="page" anchory="page"/>
              </v:line>
            </w:pict>
          </mc:Fallback>
        </mc:AlternateConten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119380</wp:posOffset>
                </wp:positionV>
                <wp:extent cx="17145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9.4pt" to="337.4pt,9.4pt" o:allowincell="f" strokecolor="#000000" strokeweight="1.02pt"/>
            </w:pict>
          </mc:Fallback>
        </mc:AlternateConten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119380</wp:posOffset>
                </wp:positionV>
                <wp:extent cx="17145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9.4pt" to="337.4pt,9.4pt" o:allowincell="f" strokecolor="#000000" strokeweight="1.0199pt"/>
            </w:pict>
          </mc:Fallback>
        </mc:AlternateContent>
      </w:r>
    </w:p>
    <w:p>
      <w:pPr>
        <w:spacing w:after="0" w:line="293" w:lineRule="exact"/>
        <w:rPr>
          <w:sz w:val="20"/>
          <w:szCs w:val="20"/>
          <w:color w:val="auto"/>
        </w:rPr>
      </w:pPr>
    </w:p>
    <w:p>
      <w:pPr>
        <w:ind w:left="4080" w:right="3800" w:hanging="4080"/>
        <w:spacing w:after="0" w:line="376" w:lineRule="auto"/>
        <w:tabs>
          <w:tab w:leader="none" w:pos="15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27, 2025</w:t>
      </w:r>
    </w:p>
    <w:p>
      <w:pPr>
        <w:spacing w:after="0" w:line="63" w:lineRule="exact"/>
        <w:rPr>
          <w:sz w:val="20"/>
          <w:szCs w:val="20"/>
          <w:color w:val="auto"/>
        </w:rPr>
      </w:pPr>
    </w:p>
    <w:p>
      <w:pPr>
        <w:ind w:left="160" w:hanging="160"/>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7" w:lineRule="exact"/>
        <w:rPr>
          <w:sz w:val="20"/>
          <w:szCs w:val="20"/>
          <w:color w:val="auto"/>
        </w:rPr>
      </w:pPr>
    </w:p>
    <w:tbl>
      <w:tblPr>
        <w:tblLayout w:type="fixed"/>
        <w:tblInd w:w="3840" w:type="dxa"/>
        <w:tblCellMar>
          <w:top w:w="0" w:type="dxa"/>
          <w:left w:w="0" w:type="dxa"/>
          <w:bottom w:w="0" w:type="dxa"/>
          <w:right w:w="0" w:type="dxa"/>
        </w:tblCellMar>
      </w:tblPr>
      <w:tr>
        <w:trPr>
          <w:trHeight w:val="164"/>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0"/>
        </w:trPr>
        <w:tc>
          <w:tcPr>
            <w:tcW w:w="1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21"/>
        </w:trPr>
        <w:tc>
          <w:tcPr>
            <w:tcW w:w="31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Commission File Number: 001-41501</w:t>
            </w:r>
          </w:p>
        </w:tc>
      </w:tr>
      <w:tr>
        <w:trPr>
          <w:trHeight w:val="20"/>
        </w:trPr>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107315</wp:posOffset>
                </wp:positionV>
                <wp:extent cx="17145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8.45pt" to="337.4pt,8.45pt" o:allowincell="f" strokecolor="#000000" strokeweight="1.02pt"/>
            </w:pict>
          </mc:Fallback>
        </mc:AlternateConten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26"/>
                <w:szCs w:val="26"/>
                <w:b w:val="1"/>
                <w:bCs w:val="1"/>
                <w:color w:val="auto"/>
                <w:w w:val="99"/>
              </w:rPr>
              <w:t>Mobileye Global Inc.</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(Exact name of registrant as specified in its charter)</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3780" w:type="dxa"/>
            <w:vAlign w:val="bottom"/>
            <w:gridSpan w:val="2"/>
            <w:vMerge w:val="restart"/>
          </w:tcPr>
          <w:p>
            <w:pPr>
              <w:jc w:val="center"/>
              <w:ind w:left="1510"/>
              <w:spacing w:after="0"/>
              <w:rPr>
                <w:sz w:val="20"/>
                <w:szCs w:val="20"/>
                <w:color w:val="auto"/>
              </w:rPr>
            </w:pPr>
            <w:r>
              <w:rPr>
                <w:rFonts w:ascii="Times New Roman" w:cs="Times New Roman" w:eastAsia="Times New Roman" w:hAnsi="Times New Roman"/>
                <w:sz w:val="14"/>
                <w:szCs w:val="14"/>
                <w:b w:val="1"/>
                <w:bCs w:val="1"/>
                <w:color w:val="auto"/>
              </w:rPr>
              <w:t>DE</w:t>
            </w:r>
          </w:p>
        </w:tc>
        <w:tc>
          <w:tcPr>
            <w:tcW w:w="260" w:type="dxa"/>
            <w:vAlign w:val="bottom"/>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gridSpan w:val="3"/>
            <w:vMerge w:val="restart"/>
          </w:tcPr>
          <w:p>
            <w:pPr>
              <w:jc w:val="right"/>
              <w:ind w:right="2230"/>
              <w:spacing w:after="0"/>
              <w:rPr>
                <w:sz w:val="20"/>
                <w:szCs w:val="20"/>
                <w:color w:val="auto"/>
              </w:rPr>
            </w:pPr>
            <w:r>
              <w:rPr>
                <w:rFonts w:ascii="Times New Roman" w:cs="Times New Roman" w:eastAsia="Times New Roman" w:hAnsi="Times New Roman"/>
                <w:sz w:val="14"/>
                <w:szCs w:val="14"/>
                <w:b w:val="1"/>
                <w:bCs w:val="1"/>
                <w:color w:val="auto"/>
              </w:rPr>
              <w:t>88-0666433</w:t>
            </w:r>
          </w:p>
        </w:tc>
        <w:tc>
          <w:tcPr>
            <w:tcW w:w="0" w:type="dxa"/>
            <w:vAlign w:val="bottom"/>
          </w:tcPr>
          <w:p>
            <w:pPr>
              <w:spacing w:after="0"/>
              <w:rPr>
                <w:sz w:val="1"/>
                <w:szCs w:val="1"/>
                <w:color w:val="auto"/>
              </w:rPr>
            </w:pPr>
          </w:p>
        </w:tc>
      </w:tr>
      <w:tr>
        <w:trPr>
          <w:trHeight w:val="261"/>
        </w:trPr>
        <w:tc>
          <w:tcPr>
            <w:tcW w:w="378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780" w:type="dxa"/>
            <w:vAlign w:val="bottom"/>
            <w:gridSpan w:val="2"/>
          </w:tcPr>
          <w:p>
            <w:pPr>
              <w:jc w:val="center"/>
              <w:ind w:left="151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Pr>
          <w:p>
            <w:pPr>
              <w:jc w:val="center"/>
              <w:ind w:right="1970"/>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c>
          <w:tcPr>
            <w:tcW w:w="0" w:type="dxa"/>
            <w:vAlign w:val="bottom"/>
          </w:tcPr>
          <w:p>
            <w:pPr>
              <w:spacing w:after="0"/>
              <w:rPr>
                <w:sz w:val="1"/>
                <w:szCs w:val="1"/>
                <w:color w:val="auto"/>
              </w:rPr>
            </w:pPr>
          </w:p>
        </w:tc>
      </w:tr>
      <w:tr>
        <w:trPr>
          <w:trHeight w:val="161"/>
        </w:trPr>
        <w:tc>
          <w:tcPr>
            <w:tcW w:w="3780" w:type="dxa"/>
            <w:vAlign w:val="bottom"/>
            <w:gridSpan w:val="2"/>
          </w:tcPr>
          <w:p>
            <w:pPr>
              <w:jc w:val="center"/>
              <w:ind w:left="165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Pr>
          <w:p>
            <w:pPr>
              <w:jc w:val="center"/>
              <w:ind w:right="197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162"/>
        </w:trPr>
        <w:tc>
          <w:tcPr>
            <w:tcW w:w="3780" w:type="dxa"/>
            <w:vAlign w:val="bottom"/>
            <w:gridSpan w:val="2"/>
          </w:tcPr>
          <w:p>
            <w:pPr>
              <w:jc w:val="center"/>
              <w:ind w:left="1490"/>
              <w:spacing w:after="0"/>
              <w:rPr>
                <w:sz w:val="20"/>
                <w:szCs w:val="20"/>
                <w:color w:val="auto"/>
              </w:rPr>
            </w:pPr>
            <w:r>
              <w:rPr>
                <w:rFonts w:ascii="Times New Roman" w:cs="Times New Roman" w:eastAsia="Times New Roman" w:hAnsi="Times New Roman"/>
                <w:sz w:val="14"/>
                <w:szCs w:val="14"/>
                <w:b w:val="1"/>
                <w:bCs w:val="1"/>
                <w:color w:val="auto"/>
              </w:rPr>
              <w:t>c/o Mobileye B.V.</w:t>
            </w:r>
          </w:p>
        </w:tc>
        <w:tc>
          <w:tcPr>
            <w:tcW w:w="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60" w:type="dxa"/>
            <w:vAlign w:val="bottom"/>
            <w:gridSpan w:val="5"/>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w w:val="99"/>
              </w:rPr>
              <w:t>Har Hotzvim, 1 Shlomo Momo HaLevi Street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780" w:type="dxa"/>
            <w:vAlign w:val="bottom"/>
            <w:gridSpan w:val="2"/>
          </w:tcPr>
          <w:p>
            <w:pPr>
              <w:jc w:val="center"/>
              <w:ind w:left="1650"/>
              <w:spacing w:after="0"/>
              <w:rPr>
                <w:sz w:val="20"/>
                <w:szCs w:val="20"/>
                <w:color w:val="auto"/>
              </w:rPr>
            </w:pPr>
            <w:r>
              <w:rPr>
                <w:rFonts w:ascii="Times New Roman" w:cs="Times New Roman" w:eastAsia="Times New Roman" w:hAnsi="Times New Roman"/>
                <w:sz w:val="14"/>
                <w:szCs w:val="14"/>
                <w:b w:val="1"/>
                <w:bCs w:val="1"/>
                <w:color w:val="auto"/>
                <w:w w:val="99"/>
              </w:rPr>
              <w:t>Jerusalem, Israel</w:t>
            </w:r>
          </w:p>
        </w:tc>
        <w:tc>
          <w:tcPr>
            <w:tcW w:w="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40" w:type="dxa"/>
            <w:vAlign w:val="bottom"/>
            <w:gridSpan w:val="3"/>
          </w:tcPr>
          <w:p>
            <w:pPr>
              <w:jc w:val="right"/>
              <w:ind w:right="2330"/>
              <w:spacing w:after="0"/>
              <w:rPr>
                <w:sz w:val="20"/>
                <w:szCs w:val="20"/>
                <w:color w:val="auto"/>
              </w:rPr>
            </w:pPr>
            <w:r>
              <w:rPr>
                <w:rFonts w:ascii="Times New Roman" w:cs="Times New Roman" w:eastAsia="Times New Roman" w:hAnsi="Times New Roman"/>
                <w:sz w:val="14"/>
                <w:szCs w:val="14"/>
                <w:color w:val="auto"/>
              </w:rPr>
              <w:t>9777015</w:t>
            </w:r>
          </w:p>
        </w:tc>
        <w:tc>
          <w:tcPr>
            <w:tcW w:w="0" w:type="dxa"/>
            <w:vAlign w:val="bottom"/>
          </w:tcPr>
          <w:p>
            <w:pPr>
              <w:spacing w:after="0"/>
              <w:rPr>
                <w:sz w:val="1"/>
                <w:szCs w:val="1"/>
                <w:color w:val="auto"/>
              </w:rPr>
            </w:pPr>
          </w:p>
        </w:tc>
      </w:tr>
      <w:tr>
        <w:trPr>
          <w:trHeight w:val="163"/>
        </w:trPr>
        <w:tc>
          <w:tcPr>
            <w:tcW w:w="6960" w:type="dxa"/>
            <w:vAlign w:val="bottom"/>
            <w:gridSpan w:val="5"/>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Pr>
          <w:p>
            <w:pPr>
              <w:jc w:val="center"/>
              <w:ind w:right="199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60" w:type="dxa"/>
            <w:vAlign w:val="bottom"/>
            <w:gridSpan w:val="2"/>
          </w:tcPr>
          <w:p>
            <w:pPr>
              <w:jc w:val="center"/>
              <w:ind w:left="210"/>
              <w:spacing w:after="0" w:line="159" w:lineRule="exact"/>
              <w:rPr>
                <w:sz w:val="20"/>
                <w:szCs w:val="20"/>
                <w:color w:val="auto"/>
              </w:rPr>
            </w:pPr>
            <w:r>
              <w:rPr>
                <w:rFonts w:ascii="Times New Roman" w:cs="Times New Roman" w:eastAsia="Times New Roman" w:hAnsi="Times New Roman"/>
                <w:sz w:val="14"/>
                <w:szCs w:val="14"/>
                <w:color w:val="auto"/>
              </w:rPr>
              <w:t>+972-2-541-7333</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20" w:type="dxa"/>
            <w:vAlign w:val="bottom"/>
            <w:gridSpan w:val="6"/>
          </w:tcPr>
          <w:p>
            <w:pPr>
              <w:jc w:val="center"/>
              <w:ind w:right="373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143"/>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0" w:type="dxa"/>
            <w:vAlign w:val="bottom"/>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37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78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5"/>
                <w:szCs w:val="15"/>
                <w:color w:val="auto"/>
              </w:rPr>
            </w:pPr>
          </w:p>
        </w:tc>
        <w:tc>
          <w:tcPr>
            <w:tcW w:w="292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 e on which registered</w:t>
            </w:r>
          </w:p>
        </w:tc>
        <w:tc>
          <w:tcPr>
            <w:tcW w:w="0" w:type="dxa"/>
            <w:vAlign w:val="bottom"/>
          </w:tcPr>
          <w:p>
            <w:pPr>
              <w:spacing w:after="0"/>
              <w:rPr>
                <w:sz w:val="1"/>
                <w:szCs w:val="1"/>
                <w:color w:val="auto"/>
              </w:rPr>
            </w:pPr>
          </w:p>
        </w:tc>
      </w:tr>
      <w:tr>
        <w:trPr>
          <w:trHeight w:val="157"/>
        </w:trPr>
        <w:tc>
          <w:tcPr>
            <w:tcW w:w="3580" w:type="dxa"/>
            <w:vAlign w:val="bottom"/>
            <w:tcBorders>
              <w:top w:val="single" w:sz="8" w:color="auto"/>
            </w:tcBorders>
          </w:tcPr>
          <w:p>
            <w:pPr>
              <w:ind w:left="360"/>
              <w:spacing w:after="0" w:line="157" w:lineRule="exact"/>
              <w:rPr>
                <w:sz w:val="20"/>
                <w:szCs w:val="20"/>
                <w:color w:val="auto"/>
              </w:rPr>
            </w:pPr>
            <w:r>
              <w:rPr>
                <w:rFonts w:ascii="Times New Roman" w:cs="Times New Roman" w:eastAsia="Times New Roman" w:hAnsi="Times New Roman"/>
                <w:sz w:val="14"/>
                <w:szCs w:val="14"/>
                <w:b w:val="1"/>
                <w:bCs w:val="1"/>
                <w:color w:val="auto"/>
              </w:rPr>
              <w:t>Class A common stock, $0.01 par value per share</w:t>
            </w: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2"/>
          </w:tcPr>
          <w:p>
            <w:pPr>
              <w:jc w:val="center"/>
              <w:ind w:left="55"/>
              <w:spacing w:after="0" w:line="157" w:lineRule="exact"/>
              <w:rPr>
                <w:sz w:val="20"/>
                <w:szCs w:val="20"/>
                <w:color w:val="auto"/>
              </w:rPr>
            </w:pPr>
            <w:r>
              <w:rPr>
                <w:rFonts w:ascii="Times New Roman" w:cs="Times New Roman" w:eastAsia="Times New Roman" w:hAnsi="Times New Roman"/>
                <w:sz w:val="14"/>
                <w:szCs w:val="14"/>
                <w:b w:val="1"/>
                <w:bCs w:val="1"/>
                <w:color w:val="auto"/>
                <w:w w:val="99"/>
              </w:rPr>
              <w:t>MBLY</w:t>
            </w:r>
          </w:p>
        </w:tc>
        <w:tc>
          <w:tcPr>
            <w:tcW w:w="4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Nasdaq Global Select Market</w:t>
            </w:r>
          </w:p>
        </w:tc>
        <w:tc>
          <w:tcPr>
            <w:tcW w:w="0" w:type="dxa"/>
            <w:vAlign w:val="bottom"/>
          </w:tcPr>
          <w:p>
            <w:pPr>
              <w:spacing w:after="0"/>
              <w:rPr>
                <w:sz w:val="1"/>
                <w:szCs w:val="1"/>
                <w:color w:val="auto"/>
              </w:rPr>
            </w:pPr>
          </w:p>
        </w:tc>
      </w:tr>
      <w:tr>
        <w:trPr>
          <w:trHeight w:val="148"/>
        </w:trPr>
        <w:tc>
          <w:tcPr>
            <w:tcW w:w="10800" w:type="dxa"/>
            <w:vAlign w:val="bottom"/>
            <w:gridSpan w:val="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12(g) of the Act: None</w:t>
            </w:r>
          </w:p>
        </w:tc>
        <w:tc>
          <w:tcPr>
            <w:tcW w:w="0" w:type="dxa"/>
            <w:vAlign w:val="bottom"/>
          </w:tcPr>
          <w:p>
            <w:pPr>
              <w:spacing w:after="0"/>
              <w:rPr>
                <w:sz w:val="1"/>
                <w:szCs w:val="1"/>
                <w:color w:val="auto"/>
              </w:rPr>
            </w:pPr>
          </w:p>
        </w:tc>
      </w:tr>
      <w:tr>
        <w:trPr>
          <w:trHeight w:val="204"/>
        </w:trPr>
        <w:tc>
          <w:tcPr>
            <w:tcW w:w="696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840" w:type="dxa"/>
            <w:vAlign w:val="bottom"/>
            <w:gridSpan w:val="3"/>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0" w:type="dxa"/>
            <w:vAlign w:val="bottom"/>
          </w:tcPr>
          <w:p>
            <w:pPr>
              <w:spacing w:after="0"/>
              <w:rPr>
                <w:sz w:val="1"/>
                <w:szCs w:val="1"/>
                <w:color w:val="auto"/>
              </w:rPr>
            </w:pPr>
          </w:p>
        </w:tc>
      </w:tr>
    </w:tbl>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92" w:lineRule="exact"/>
        <w:rPr>
          <w:sz w:val="20"/>
          <w:szCs w:val="20"/>
          <w:color w:val="auto"/>
        </w:rPr>
      </w:pPr>
    </w:p>
    <w:p>
      <w:pPr>
        <w:jc w:val="both"/>
        <w:ind w:firstLine="360"/>
        <w:spacing w:after="0" w:line="18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jc w:val="both"/>
        <w:ind w:firstLine="36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Accelerated filer</w:t>
            </w:r>
          </w:p>
        </w:tc>
        <w:tc>
          <w:tcPr>
            <w:tcW w:w="172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7"/>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72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4"/>
        </w:trPr>
        <w:tc>
          <w:tcPr>
            <w:tcW w:w="3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72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71"/>
              </w:rPr>
              <w:t>☐</w:t>
            </w:r>
          </w:p>
        </w:tc>
      </w:tr>
    </w:tbl>
    <w:p>
      <w:pPr>
        <w:jc w:val="both"/>
        <w:ind w:firstLine="360"/>
        <w:spacing w:after="0" w:line="19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0"/>
          <w:szCs w:val="20"/>
          <w:color w:val="auto"/>
        </w:rPr>
      </w:pPr>
    </w:p>
    <w:p>
      <w:pPr>
        <w:jc w:val="both"/>
        <w:ind w:firstLine="36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jc w:val="both"/>
        <w:ind w:firstLine="360"/>
        <w:spacing w:after="0" w:line="19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0"/>
          <w:szCs w:val="20"/>
          <w:color w:val="auto"/>
        </w:rPr>
      </w:pPr>
    </w:p>
    <w:p>
      <w:pPr>
        <w:jc w:val="both"/>
        <w:ind w:firstLine="360"/>
        <w:spacing w:after="0" w:line="175"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0"/>
          <w:szCs w:val="20"/>
          <w:color w:val="auto"/>
        </w:rPr>
      </w:pP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15"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4"/>
          <w:szCs w:val="14"/>
          <w:color w:val="auto"/>
        </w:rPr>
        <w:t>Aggregate market value of voting and non -voting common equity held by non-affiliates of the registrant as of June 28, 2025, based upon the closing price of the common stock as reported by the Nasdaq Global Select Market on June 28, 2025, was $1.84 billion. 243,613,499 shares of Class A common stock and 597,768,015 shares of Class B common stock were outstanding as of February 3, 2026.</w:t>
      </w:r>
    </w:p>
    <w:p>
      <w:pPr>
        <w:spacing w:after="0" w:line="22"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4"/>
          <w:szCs w:val="14"/>
          <w:color w:val="auto"/>
        </w:rPr>
        <w:t>Portions of the Mobileye Global Inc. 2026 definitive Proxy Statement, which will be filed with the Securities and Exchange Commission within 120 days after December 27, 2025, are incorporated by reference in Part III of this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38735</wp:posOffset>
                </wp:positionV>
                <wp:extent cx="6896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3.05pt" to="541.5pt,3.0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99695</wp:posOffset>
                </wp:positionV>
                <wp:extent cx="68961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7.85pt" to="541.5pt,7.85pt" o:allowincell="f" strokecolor="#000000" strokeweight="3pt"/>
            </w:pict>
          </mc:Fallback>
        </mc:AlternateContent>
      </w:r>
    </w:p>
    <w:p>
      <w:pPr>
        <w:sectPr>
          <w:pgSz w:w="11880" w:h="15480" w:orient="portrait"/>
          <w:cols w:equalWidth="0" w:num="1">
            <w:col w:w="10800"/>
          </w:cols>
          <w:pgMar w:left="540" w:top="1440" w:right="540" w:bottom="1440" w:gutter="0" w:footer="0" w:header="0"/>
        </w:sectPr>
      </w:pPr>
    </w:p>
    <w:bookmarkStart w:id="3" w:name="page4"/>
    <w:bookmarkEnd w:id="3"/>
    <w:p>
      <w:pPr>
        <w:ind w:left="4500"/>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spacing w:after="0" w:line="23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12" w:lineRule="exact"/>
        <w:rPr>
          <w:sz w:val="20"/>
          <w:szCs w:val="20"/>
          <w:color w:val="auto"/>
        </w:rPr>
      </w:pPr>
    </w:p>
    <w:p>
      <w:pPr>
        <w:spacing w:after="0"/>
        <w:tabs>
          <w:tab w:leader="none" w:pos="10200" w:val="left"/>
        </w:tabs>
        <w:rPr>
          <w:sz w:val="20"/>
          <w:szCs w:val="20"/>
          <w:color w:val="auto"/>
        </w:rPr>
      </w:pPr>
      <w:r>
        <w:rPr>
          <w:rFonts w:ascii="Times New Roman" w:cs="Times New Roman" w:eastAsia="Times New Roman" w:hAnsi="Times New Roman"/>
          <w:sz w:val="20"/>
          <w:szCs w:val="20"/>
          <w:color w:val="auto"/>
        </w:rPr>
        <w:t>CAUTIONARY NOTE REGARDING FORWARD-LOOKING STATEMENTS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6184265</wp:posOffset>
                </wp:positionH>
                <wp:positionV relativeFrom="paragraph">
                  <wp:posOffset>-134620</wp:posOffset>
                </wp:positionV>
                <wp:extent cx="67373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95pt,-10.5999pt" to="540pt,-10.5999pt" o:allowincell="f" strokecolor="#000000" strokeweight="0.4809pt"/>
            </w:pict>
          </mc:Fallback>
        </mc:AlternateContent>
      </w:r>
    </w:p>
    <w:p>
      <w:pPr>
        <w:spacing w:after="0"/>
        <w:tabs>
          <w:tab w:leader="none" w:pos="10200" w:val="left"/>
        </w:tabs>
        <w:rPr>
          <w:sz w:val="20"/>
          <w:szCs w:val="20"/>
          <w:color w:val="auto"/>
        </w:rPr>
      </w:pPr>
      <w:r>
        <w:rPr>
          <w:rFonts w:ascii="Times New Roman" w:cs="Times New Roman" w:eastAsia="Times New Roman" w:hAnsi="Times New Roman"/>
          <w:sz w:val="20"/>
          <w:szCs w:val="20"/>
          <w:color w:val="auto"/>
        </w:rPr>
        <w:t>PART I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spacing w:after="0"/>
        <w:tabs>
          <w:tab w:leader="none" w:pos="960" w:val="left"/>
          <w:tab w:leader="none" w:pos="1020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34</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71</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1C.</w:t>
        <w:tab/>
        <w:t>Cybersecurity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71</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73</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73</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75</w:t>
      </w:r>
    </w:p>
    <w:p>
      <w:pPr>
        <w:spacing w:after="0"/>
        <w:tabs>
          <w:tab w:leader="none" w:pos="10140" w:val="left"/>
        </w:tabs>
        <w:rPr>
          <w:sz w:val="20"/>
          <w:szCs w:val="20"/>
          <w:color w:val="auto"/>
        </w:rPr>
      </w:pPr>
      <w:r>
        <w:rPr>
          <w:rFonts w:ascii="Times New Roman" w:cs="Times New Roman" w:eastAsia="Times New Roman" w:hAnsi="Times New Roman"/>
          <w:sz w:val="20"/>
          <w:szCs w:val="20"/>
          <w:color w:val="auto"/>
        </w:rPr>
        <w:t>PART II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76</w:t>
      </w: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 Purchases of Equity</w:t>
      </w:r>
    </w:p>
    <w:p>
      <w:pPr>
        <w:ind w:left="980"/>
        <w:spacing w:after="0"/>
        <w:tabs>
          <w:tab w:leader="none" w:pos="10140" w:val="left"/>
        </w:tabs>
        <w:rPr>
          <w:sz w:val="20"/>
          <w:szCs w:val="20"/>
          <w:color w:val="auto"/>
        </w:rPr>
      </w:pPr>
      <w:r>
        <w:rPr>
          <w:rFonts w:ascii="Times New Roman" w:cs="Times New Roman" w:eastAsia="Times New Roman" w:hAnsi="Times New Roman"/>
          <w:sz w:val="20"/>
          <w:szCs w:val="20"/>
          <w:color w:val="auto"/>
        </w:rPr>
        <w:t>Securities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76</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77</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 . . . . . . . . . . . . . . .</w:t>
      </w:r>
      <w:r>
        <w:rPr>
          <w:sz w:val="20"/>
          <w:szCs w:val="20"/>
          <w:color w:val="auto"/>
        </w:rPr>
        <w:tab/>
      </w:r>
      <w:r>
        <w:rPr>
          <w:rFonts w:ascii="Times New Roman" w:cs="Times New Roman" w:eastAsia="Times New Roman" w:hAnsi="Times New Roman"/>
          <w:sz w:val="20"/>
          <w:szCs w:val="20"/>
          <w:color w:val="auto"/>
        </w:rPr>
        <w:t>77</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 . . . . . . . . . . . . . . . . . . . . . . . . . . .</w:t>
      </w:r>
      <w:r>
        <w:rPr>
          <w:sz w:val="20"/>
          <w:szCs w:val="20"/>
          <w:color w:val="auto"/>
        </w:rPr>
        <w:tab/>
      </w:r>
      <w:r>
        <w:rPr>
          <w:rFonts w:ascii="Times New Roman" w:cs="Times New Roman" w:eastAsia="Times New Roman" w:hAnsi="Times New Roman"/>
          <w:sz w:val="20"/>
          <w:szCs w:val="20"/>
          <w:color w:val="auto"/>
        </w:rPr>
        <w:t>97</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98</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Disclosures . . . . . . . . . . . . .</w:t>
      </w:r>
      <w:r>
        <w:rPr>
          <w:sz w:val="20"/>
          <w:szCs w:val="20"/>
          <w:color w:val="auto"/>
        </w:rPr>
        <w:tab/>
      </w:r>
      <w:r>
        <w:rPr>
          <w:rFonts w:ascii="Times New Roman" w:cs="Times New Roman" w:eastAsia="Times New Roman" w:hAnsi="Times New Roman"/>
          <w:sz w:val="20"/>
          <w:szCs w:val="20"/>
          <w:color w:val="auto"/>
        </w:rPr>
        <w:t>137</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137</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138</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 . . . . . . . . . . . . . . . . . . . . . . . . . . . .</w:t>
      </w:r>
      <w:r>
        <w:rPr>
          <w:sz w:val="20"/>
          <w:szCs w:val="20"/>
          <w:color w:val="auto"/>
        </w:rPr>
        <w:tab/>
      </w:r>
      <w:r>
        <w:rPr>
          <w:rFonts w:ascii="Times New Roman" w:cs="Times New Roman" w:eastAsia="Times New Roman" w:hAnsi="Times New Roman"/>
          <w:sz w:val="20"/>
          <w:szCs w:val="20"/>
          <w:color w:val="auto"/>
        </w:rPr>
        <w:t>138</w:t>
      </w:r>
    </w:p>
    <w:p>
      <w:pPr>
        <w:spacing w:after="0"/>
        <w:tabs>
          <w:tab w:leader="none" w:pos="10100" w:val="left"/>
        </w:tabs>
        <w:rPr>
          <w:sz w:val="20"/>
          <w:szCs w:val="20"/>
          <w:color w:val="auto"/>
        </w:rPr>
      </w:pPr>
      <w:r>
        <w:rPr>
          <w:rFonts w:ascii="Times New Roman" w:cs="Times New Roman" w:eastAsia="Times New Roman" w:hAnsi="Times New Roman"/>
          <w:sz w:val="20"/>
          <w:szCs w:val="20"/>
          <w:color w:val="auto"/>
        </w:rPr>
        <w:t>Part III .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139</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 . . . . . . . . . . . . . . . . .</w:t>
      </w:r>
      <w:r>
        <w:rPr>
          <w:sz w:val="20"/>
          <w:szCs w:val="20"/>
          <w:color w:val="auto"/>
        </w:rPr>
        <w:tab/>
      </w:r>
      <w:r>
        <w:rPr>
          <w:rFonts w:ascii="Times New Roman" w:cs="Times New Roman" w:eastAsia="Times New Roman" w:hAnsi="Times New Roman"/>
          <w:sz w:val="20"/>
          <w:szCs w:val="20"/>
          <w:color w:val="auto"/>
        </w:rPr>
        <w:t>139</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139</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 Stockholder Matters . . . . .</w:t>
      </w:r>
      <w:r>
        <w:rPr>
          <w:sz w:val="20"/>
          <w:szCs w:val="20"/>
          <w:color w:val="auto"/>
        </w:rPr>
        <w:tab/>
      </w:r>
      <w:r>
        <w:rPr>
          <w:rFonts w:ascii="Times New Roman" w:cs="Times New Roman" w:eastAsia="Times New Roman" w:hAnsi="Times New Roman"/>
          <w:sz w:val="20"/>
          <w:szCs w:val="20"/>
          <w:color w:val="auto"/>
        </w:rPr>
        <w:t>139</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 . . . . . . . . . . . . . . . .</w:t>
      </w:r>
      <w:r>
        <w:rPr>
          <w:sz w:val="20"/>
          <w:szCs w:val="20"/>
          <w:color w:val="auto"/>
        </w:rPr>
        <w:tab/>
      </w:r>
      <w:r>
        <w:rPr>
          <w:rFonts w:ascii="Times New Roman" w:cs="Times New Roman" w:eastAsia="Times New Roman" w:hAnsi="Times New Roman"/>
          <w:sz w:val="20"/>
          <w:szCs w:val="20"/>
          <w:color w:val="auto"/>
        </w:rPr>
        <w:t>139</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 . . . . . . . . . . . . . . . . . . . . . . . . . . . . . . . . . . . . . . . . . . . . . . . . . . . . . . . .</w:t>
      </w:r>
      <w:r>
        <w:rPr>
          <w:sz w:val="20"/>
          <w:szCs w:val="20"/>
          <w:color w:val="auto"/>
        </w:rPr>
        <w:tab/>
      </w:r>
      <w:r>
        <w:rPr>
          <w:rFonts w:ascii="Times New Roman" w:cs="Times New Roman" w:eastAsia="Times New Roman" w:hAnsi="Times New Roman"/>
          <w:sz w:val="20"/>
          <w:szCs w:val="20"/>
          <w:color w:val="auto"/>
        </w:rPr>
        <w:t>139</w:t>
      </w:r>
    </w:p>
    <w:p>
      <w:pPr>
        <w:spacing w:after="0"/>
        <w:tabs>
          <w:tab w:leader="none" w:pos="10100" w:val="left"/>
        </w:tabs>
        <w:rPr>
          <w:sz w:val="20"/>
          <w:szCs w:val="20"/>
          <w:color w:val="auto"/>
        </w:rPr>
      </w:pPr>
      <w:r>
        <w:rPr>
          <w:rFonts w:ascii="Times New Roman" w:cs="Times New Roman" w:eastAsia="Times New Roman" w:hAnsi="Times New Roman"/>
          <w:sz w:val="20"/>
          <w:szCs w:val="20"/>
          <w:color w:val="auto"/>
        </w:rPr>
        <w:t>Part IV .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140</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Financial Statement Schedules . . . . . . . . . . . . . . . . . . . . . . . . . . . . . . . . . . . . . . . . . . . . . . . . . . . . . . . .</w:t>
      </w:r>
      <w:r>
        <w:rPr>
          <w:sz w:val="20"/>
          <w:szCs w:val="20"/>
          <w:color w:val="auto"/>
        </w:rPr>
        <w:tab/>
      </w:r>
      <w:r>
        <w:rPr>
          <w:rFonts w:ascii="Times New Roman" w:cs="Times New Roman" w:eastAsia="Times New Roman" w:hAnsi="Times New Roman"/>
          <w:sz w:val="20"/>
          <w:szCs w:val="20"/>
          <w:color w:val="auto"/>
        </w:rPr>
        <w:t>140</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141</w:t>
      </w:r>
    </w:p>
    <w:p>
      <w:pPr>
        <w:ind w:left="980"/>
        <w:spacing w:after="0"/>
        <w:tabs>
          <w:tab w:leader="none" w:pos="1010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142</w:t>
      </w:r>
    </w:p>
    <w:p>
      <w:pPr>
        <w:sectPr>
          <w:pgSz w:w="11880" w:h="15480" w:orient="portrait"/>
          <w:cols w:equalWidth="0" w:num="1">
            <w:col w:w="10480"/>
          </w:cols>
          <w:pgMar w:left="540" w:top="1345" w:right="8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i</w:t>
      </w:r>
    </w:p>
    <w:p>
      <w:pPr>
        <w:sectPr>
          <w:pgSz w:w="11880" w:h="15480" w:orient="portrait"/>
          <w:cols w:equalWidth="0" w:num="1">
            <w:col w:w="10480"/>
          </w:cols>
          <w:pgMar w:left="540" w:top="1345" w:right="860" w:bottom="66"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2"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19"/>
          <w:szCs w:val="19"/>
          <w:color w:val="auto"/>
        </w:rPr>
        <w:t>This Annual Report on Form 10-K includes forward- 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86"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Forward-looking statements contained in this Annual Report on Form 10-K may include, but are not limited to, statements about:</w:t>
      </w:r>
    </w:p>
    <w:p>
      <w:pPr>
        <w:spacing w:after="0" w:line="255" w:lineRule="exact"/>
        <w:rPr>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further deterioration of macroeconomic conditions due to ongoing global economic and political uncertainty;</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future business, strategic, and financial performance, goals and measures;</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anticipated growth prospects and trends in markets and industries relevant to our business;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business and investment plans;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expectations about our ability to maintain or enhance our leadership position in the markets in which we participate;</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future consumer demand and behavior, including expectations about excess inventory utilization by customers;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effectively compete in the markets in which we operate;</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competition from emerging chip manufacturers and OEMs;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future products and technology, and the expected availability and benefits of such products and technology;</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humanoid robotics industry and its accompanying technology may not develop as expected;</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 of regulatory frameworks for current and future technology;</w:t>
      </w:r>
    </w:p>
    <w:p>
      <w:pPr>
        <w:spacing w:after="0" w:line="252"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regulation and trade policy, including increased tariffs, in regions in which we operate, including the U.S., Europe and China;</w:t>
      </w:r>
    </w:p>
    <w:p>
      <w:pPr>
        <w:spacing w:after="0" w:line="179"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projected cost and pricing trends;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future production capacity and product supply;</w:t>
      </w:r>
    </w:p>
    <w:p>
      <w:pPr>
        <w:spacing w:after="0" w:line="252"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future benefits and competitive advantages associated with our technologies and architecture and the data we have accumulated;</w:t>
      </w:r>
    </w:p>
    <w:p>
      <w:pPr>
        <w:spacing w:after="0" w:line="178"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future purchase, use and availability of products, components and services supplied by third parties, including third-party IP and manufacturing services;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800"/>
          </w:cols>
          <w:pgMar w:left="540" w:top="1345" w:right="540" w:bottom="0" w:gutter="0" w:footer="0" w:header="0"/>
          <w:type w:val="continuous"/>
        </w:sectPr>
      </w:pPr>
    </w:p>
    <w:bookmarkStart w:id="5" w:name="page6"/>
    <w:bookmarkEnd w:id="5"/>
    <w:p>
      <w:pPr>
        <w:ind w:left="720" w:hanging="360"/>
        <w:spacing w:after="0" w:line="27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79"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adverse conditions in Israel, including as a result of war and geopolitical conflict, which may affect our operations and may limit our ability to produce and sell our solutions;</w:t>
      </w:r>
    </w:p>
    <w:p>
      <w:pPr>
        <w:spacing w:after="0" w:line="178"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any disruption in our operations by the obligations of our personnel to perform military service as a result of current or future military actions involving Israel;</w:t>
      </w:r>
    </w:p>
    <w:p>
      <w:pPr>
        <w:spacing w:after="0" w:line="178"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uses, sufficiency and cost of capital and capital resources, including expected returns to stockholders such as dividends, and the expected timing of future dividends;</w:t>
      </w:r>
    </w:p>
    <w:p>
      <w:pPr>
        <w:spacing w:after="0" w:line="179"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tax- and accounting-related expectations;</w:t>
      </w:r>
    </w:p>
    <w:p>
      <w:pPr>
        <w:spacing w:after="0" w:line="252"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sustained low levels of our share price and market capitalization as well as other factors may require further testing of our Mobileye reporting unit, which may result in an impairment of goodwill;</w:t>
      </w:r>
    </w:p>
    <w:p>
      <w:pPr>
        <w:spacing w:after="0" w:line="179"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meet our social and environmental goals and projections; and</w:t>
      </w:r>
    </w:p>
    <w:p>
      <w:pPr>
        <w:spacing w:after="0" w:line="252" w:lineRule="exact"/>
        <w:rPr>
          <w:rFonts w:ascii="Arial" w:cs="Arial" w:eastAsia="Arial" w:hAnsi="Arial"/>
          <w:sz w:val="20"/>
          <w:szCs w:val="20"/>
          <w:color w:val="auto"/>
        </w:rPr>
      </w:pPr>
    </w:p>
    <w:p>
      <w:pPr>
        <w:ind w:left="720" w:hanging="360"/>
        <w:spacing w:after="0" w:line="307" w:lineRule="auto"/>
        <w:tabs>
          <w:tab w:leader="none" w:pos="72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other statements described in this Annual Report on Form 10-K, including under the sections entitled “Item 1A. Risk Factors,” “Item 7. Management’s Discussion and Analysis of Financial Condition and Results of Operations” and “Item 1. Business”.</w:t>
      </w:r>
    </w:p>
    <w:p>
      <w:pPr>
        <w:spacing w:after="0" w:line="140"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risk factors discussed under the section entitled “Item 1A. Risk Factors” included herein could cause our results to differ materially from those expressed in the forward-looking statements made in this Annual Report on Form 10-K.</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also may be other risks that are currently unknown to us or that we are unable to predict at this time.</w:t>
      </w:r>
    </w:p>
    <w:p>
      <w:pPr>
        <w:sectPr>
          <w:pgSz w:w="11880" w:h="15480" w:orient="portrait"/>
          <w:cols w:equalWidth="0" w:num="1">
            <w:col w:w="10800"/>
          </w:cols>
          <w:pgMar w:left="540"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800"/>
          </w:cols>
          <w:pgMar w:left="540" w:top="1362" w:right="54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7" w:lineRule="exact"/>
        <w:rPr>
          <w:sz w:val="20"/>
          <w:szCs w:val="20"/>
          <w:color w:val="auto"/>
        </w:rPr>
      </w:pPr>
    </w:p>
    <w:p>
      <w:pPr>
        <w:jc w:val="both"/>
        <w:ind w:firstLine="361"/>
        <w:spacing w:after="0" w:line="247" w:lineRule="auto"/>
        <w:rPr>
          <w:sz w:val="20"/>
          <w:szCs w:val="20"/>
          <w:color w:val="auto"/>
        </w:rPr>
      </w:pPr>
      <w:r>
        <w:rPr>
          <w:rFonts w:ascii="Times New Roman" w:cs="Times New Roman" w:eastAsia="Times New Roman" w:hAnsi="Times New Roman"/>
          <w:sz w:val="20"/>
          <w:szCs w:val="20"/>
          <w:i w:val="1"/>
          <w:iCs w:val="1"/>
          <w:color w:val="auto"/>
        </w:rPr>
        <w:t>In this Annual Report on Form 10-K,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200"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9"/>
          <w:szCs w:val="19"/>
          <w:i w:val="1"/>
          <w:iCs w:val="1"/>
          <w:color w:val="auto"/>
        </w:rPr>
        <w:t>We have a 52- or 53-week fiscal year that ends on the last Saturday in December. Fiscal years 2024 and 2023 were 52-week fiscal years; fiscal year 2025 was also a 52-week fiscal year. Any references to our performance for the years 2025, 2024 and 2023 are references to our fiscal years ended December 27, 2025, December 28, 2024 and December 30, 2023, respectively, and all references to our financial condition as of the end of 2025 and 2024 are references to the end of such fiscal years.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4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Mobileye is a leader in the development and deployment of advanced driver assistance systems (“ADAS”) and autonomous driving technologies and solutions. We pioneered ADAS technology more than 25 years ago and have continuously expanded the scope of our ADAS offerings, while leading the evolution to autonomous driving solutions. On February 3, 2026, we completed the acquisition of Mentee Robotics Ltd. (“Mentee Robotics”), a humanoid robotics company. This acquisition combines Mobileye’s advanced artificial intelligence (“AI”) technology and global production expertise with Mentee Robotics’ breakthrough humanoid platform and deep AI talent, creating a comprehensive provider of Physical AI technology across two transformative markets: autonomous driving and humanoid robotics.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134620</wp:posOffset>
            </wp:positionV>
            <wp:extent cx="5820410" cy="3286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5820410" cy="3286760"/>
                    </a:xfrm>
                    <a:prstGeom prst="rect">
                      <a:avLst/>
                    </a:prstGeom>
                    <a:noFill/>
                  </pic:spPr>
                </pic:pic>
              </a:graphicData>
            </a:graphic>
          </wp:anchor>
        </w:drawing>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800"/>
          </w:cols>
          <w:pgMar w:left="540" w:top="1345" w:right="54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863600</wp:posOffset>
            </wp:positionH>
            <wp:positionV relativeFrom="page">
              <wp:posOffset>869950</wp:posOffset>
            </wp:positionV>
            <wp:extent cx="5817870" cy="3284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81787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 -critical capabilities at the edge and in the cloud, advancing the safety of road users, and revolutionizing the driving experience and the movement of people and goods globally.</w:t>
      </w:r>
    </w:p>
    <w:p>
      <w:pPr>
        <w:spacing w:after="0" w:line="19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While today ADAS is central to the advancement of automotive safety, we believe that an evolutionary path toward fully autonomous vehicles is the future of mobility. While still nascent, full autonomy</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where a human is not actively engaged in driving the vehicle for extended periods of time</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requires the autonomous driving solution to be capable of navigating any environment in any condition at any time. The ability to drive autonomously not only requires a substantial amount of data, but also a robust technology platform that optimizes both precision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safety) and recall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availability) without compromise, and can withstand the validation and audit process of global regulatory bodies. Further, the autonomous driving solution needs to be produced at a cost that makes it affordable. We are building our technology platform to address these fundamental and significant challenges in order to enable a full spectrum of solutions, from ADAS to autonomous driving, with multiple products in between to best serve the needs of our customers.</w:t>
      </w:r>
    </w:p>
    <w:p>
      <w:pPr>
        <w:spacing w:after="0" w:line="185"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believe that our industry-leading technology platform, built upon over 25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efficient and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the core technology supporting our advanced solutions while also augmenting and differentiating their offerings.</w:t>
      </w:r>
    </w:p>
    <w:p>
      <w:pPr>
        <w:spacing w:after="0" w:line="203"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19"/>
          <w:szCs w:val="19"/>
          <w:color w:val="auto"/>
        </w:rPr>
        <w:t>We have experienced significant growth since our founding. For 2025, 2024 and 2023, our revenue was $1.9 billion, $1.7 billion and $2.1 billion, respectively, representing a year-over-year increase of 15% in 2025 compared to 2024. We currently derive substantially all of our revenue from our commercially deployed ADAS solutions. We recorded net losses of $392 million, $3,090 million and $27 million in 2025, 2024 and 2023, respectively, with the net loss in 2024 primarily being the result of recording a $2,695 million non-cash impairment of goodwill in the third quarter of 2024. Our Adjusted Net Income (Loss) for 2025, 2024 and 2023 was $286 million, $205 million and $659 million, respectively. Adjusted Net Income (Loss) is a non-GAAP financial measure; see “Item 7. Management’s Discussion and Analysis of Financial Condition and Results of Operations – Non-GAAP Financial Measures” for a reconciliation of Adjusted Net Income (Loss) to Net Income (Loss). The adjustments to reconcile Net Income (Loss) with Adjusted Net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800"/>
          </w:cols>
          <w:pgMar w:left="540" w:top="1440" w:right="540" w:bottom="0" w:gutter="0" w:footer="0" w:header="0"/>
        </w:sectPr>
      </w:pPr>
    </w:p>
    <w:bookmarkStart w:id="8" w:name="page9"/>
    <w:bookmarkEnd w:id="8"/>
    <w:p>
      <w:pPr>
        <w:jc w:val="both"/>
        <w:spacing w:after="0" w:line="280" w:lineRule="auto"/>
        <w:rPr>
          <w:sz w:val="20"/>
          <w:szCs w:val="20"/>
          <w:color w:val="auto"/>
        </w:rPr>
      </w:pPr>
      <w:r>
        <w:rPr>
          <w:rFonts w:ascii="Times New Roman" w:cs="Times New Roman" w:eastAsia="Times New Roman" w:hAnsi="Times New Roman"/>
          <w:sz w:val="20"/>
          <w:szCs w:val="20"/>
          <w:color w:val="auto"/>
        </w:rPr>
        <w:t>Income (Loss) are related to amortization of intangible assets, stock-based compensation expenses, impairment of goodwill and related income tax effects where applicable.</w:t>
      </w:r>
    </w:p>
    <w:p>
      <w:pPr>
        <w:spacing w:after="0" w:line="16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As of December 27, 2025, our solutions have been installed in approximately 1,400 vehicle models (including local country, year, and other vehicle model variations), and our System-on-Chips (“SoCs”) have been deployed in more than 230 million vehicles. We are actively working with more than 50 Original Equipment Manufacturers (“OEMs”) worldwide on the implementation of our ADAS solutions. For the year ended December 27, 2025, we shipped approximately 35.7 million of our EyeQ™ SoC and SuperVision™ systems, of which the substantial majority were EyeQ™ SoCs. This represents an increase from approximately 29.0 million systems that we shipped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130810</wp:posOffset>
            </wp:positionV>
            <wp:extent cx="5817870" cy="3284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581787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the Mobileye IPO in October 2022.</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800"/>
          </w:cols>
          <w:pgMar w:left="540" w:top="1347" w:right="540" w:bottom="0" w:gutter="0" w:footer="0" w:header="0"/>
          <w:type w:val="continuous"/>
        </w:sectPr>
      </w:pPr>
    </w:p>
    <w:bookmarkStart w:id="9" w:name="page10"/>
    <w:bookmarkEnd w:id="9"/>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Technology Platform is Built to Enable the Full-Stack of Autonomous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158750</wp:posOffset>
            </wp:positionV>
            <wp:extent cx="5817870" cy="3285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5817870" cy="328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compute-efficient and cost-efficient autonomous solutions. Our technologies are foundational to the development and deployment of our ADAS and AV capabilities. Our platform is built on five fundamental pillars:</w:t>
      </w:r>
    </w:p>
    <w:p>
      <w:pPr>
        <w:spacing w:after="0" w:line="201" w:lineRule="exact"/>
        <w:rPr>
          <w:sz w:val="20"/>
          <w:szCs w:val="20"/>
          <w:color w:val="auto"/>
        </w:rPr>
      </w:pPr>
    </w:p>
    <w:p>
      <w:pPr>
        <w:jc w:val="both"/>
        <w:ind w:firstLine="360"/>
        <w:spacing w:after="0" w:line="243" w:lineRule="auto"/>
        <w:tabs>
          <w:tab w:leader="none" w:pos="72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Computer Vision Processing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Mobileye’s history as a cutting-edge deployer of AI-based solutions in the real world starts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expertise in computer vision processing. ADAS solutions are responsible for saving lives and must meet very high-performance metrics with extreme levels of efficiency, as well as pass increasing oversight from regulatory bodies. The precision requirements for advanced solutions in the Premium ADAS and AV segments are even more exacting. We are a technology leader for computer vision technology for ADAS, largely through front camera solutions, and we have continuously enhanced our leadership position through our ability to meet the extreme performance, accuracy, and cost metrics of our OEM customers. In recent years, we have expanded our capability to enable creation of a 360-degree worldview through the processing of multiple cameras placed around the vehicle to support our portfolio of advanced solutions. Our products primarily use monocular camera processing that works accurately alone, or together with radar and lidar for redundancy. The software supporting camera processing is diverse, including end-to-end neural network processing (both 2- and 3-dimensional) and model-based techniques, among other approaches, this compound AI system structure leads to internal redundancies within the camera-based perception system that enhances precision through design. We have been responsible for many “industry first” launches using monocular vision processing, and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 solution, which was launched in late 2021.</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800"/>
          </w:cols>
          <w:pgMar w:left="540" w:top="1349" w:right="540" w:bottom="0" w:gutter="0" w:footer="0" w:header="0"/>
          <w:type w:val="continuous"/>
        </w:sectPr>
      </w:pPr>
    </w:p>
    <w:bookmarkStart w:id="10" w:name="page11"/>
    <w:bookmarkEnd w:id="10"/>
    <w:p>
      <w:pPr>
        <w:jc w:val="both"/>
        <w:ind w:left="-360" w:firstLine="360"/>
        <w:spacing w:after="0" w:line="238" w:lineRule="auto"/>
        <w:tabs>
          <w:tab w:leader="none" w:pos="361"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Road Experience Management</w:t>
      </w:r>
      <w:r>
        <w:rPr>
          <w:rFonts w:ascii="Times New Roman" w:cs="Times New Roman" w:eastAsia="Times New Roman" w:hAnsi="Times New Roman"/>
          <w:sz w:val="25"/>
          <w:szCs w:val="25"/>
          <w:b w:val="1"/>
          <w:bCs w:val="1"/>
          <w:u w:val="single" w:color="auto"/>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Road Experience Management™ (“REM™”) technology generates high-precision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maps to support advanced ADAS and autonomous vehicle systems from crowd-sourced data that is uploaded and analyzed in the cloud from REM™-equipped production ADAS solutions deployed on vehicles on the road. REM™ is a cloud-based system that leverages the broad installed-base of REM™-equipped vehicles to build Mobileye Roadbook™, our crowd-sourced, high-precision definition maps of roads from around the world. Our REM™ mapping system harvests small packets of Road Segment Data from various vehicle models produced by our partner OEMs that are equipped with special processing software that extracts only the relevant information necessary to support increasing levels of ADAS and autonomous driving. In 2025 alone, we collected 34.5 billion miles of road data from, based on our estimates, over 8 million REM™-enabled vehicles worldwide. The Road Segment Data is uploaded to the cloud where our software automatically creates and updates a detailed and accurate model of the road. Our REM™ mapping system seamlessly creates high-precision maps from such Road Segment Data in the cloud at centimeter-level detail, which are then delivered to the edge and integrated with our computer vision engines to provide vehicles with real-time intelligence, including situational awareness, context, and foresight. Mobileye Roadbook™ was designed to provide the driving solution with a pre-aggregated representation of relevant static and slowly changing elements of the environment (road geometry, boundaries, and semantics) and temporary events such as construction zones and road debris, at a high refresh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143510</wp:posOffset>
            </wp:positionV>
            <wp:extent cx="5817870" cy="3284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5817870" cy="3284855"/>
                    </a:xfrm>
                    <a:prstGeom prst="rect">
                      <a:avLst/>
                    </a:prstGeom>
                    <a:noFill/>
                  </pic:spPr>
                </pic:pic>
              </a:graphicData>
            </a:graphic>
          </wp:anchor>
        </w:drawing>
      </w:r>
    </w:p>
    <w:p>
      <w:pPr>
        <w:sectPr>
          <w:pgSz w:w="11880" w:h="15480" w:orient="portrait"/>
          <w:cols w:equalWidth="0" w:num="1">
            <w:col w:w="10440"/>
          </w:cols>
          <w:pgMar w:left="900" w:top="13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440"/>
          </w:cols>
          <w:pgMar w:left="900" w:top="1359" w:right="540" w:bottom="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863600</wp:posOffset>
            </wp:positionH>
            <wp:positionV relativeFrom="page">
              <wp:posOffset>869950</wp:posOffset>
            </wp:positionV>
            <wp:extent cx="5817870" cy="3284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1787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360"/>
        <w:spacing w:after="0" w:line="238" w:lineRule="auto"/>
        <w:tabs>
          <w:tab w:leader="none" w:pos="721"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Compound Artificial Intelligence Systems, including True Redundancy</w:t>
      </w:r>
      <w:r>
        <w:rPr>
          <w:rFonts w:ascii="Times New Roman" w:cs="Times New Roman" w:eastAsia="Times New Roman" w:hAnsi="Times New Roman"/>
          <w:sz w:val="25"/>
          <w:szCs w:val="25"/>
          <w:b w:val="1"/>
          <w:bCs w:val="1"/>
          <w:u w:val="single" w:color="auto"/>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Compound AI structure supports precision,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recall, and overall efficiency by design. While recent advancements in transformer-based architectures and Generative AI create efficiencies in learning-based systems, which Mobileye makes full use of, it also introduces shortfalls such as lack of abstraction, shortcut-learning problem, alignment issues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learning from common but incorrect data), and the long-tail problem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identifying and fixing edge cases one by one). This approach is inevitably intended to drive high recall at the expense of precision. This inherently introduces significant risk when it comes to the complexity of real-world driving scenarios. Our solution, which aligns with the latest developments in Generative AI even in non safety-critical applications includes insertion of abstractions and an architecture with multiple levels of redundancies that support a quadratic improvement in precision through design. Insertion of abstractions can successfully convert large sets of out-of-distribution edge cases to in-distribution without the need for iterative network re-training with more and more data. Additionally, our structure includes redundancies within the computer vision stack, the fusion of mapping with real-time perception, the fusion of decomposable and end-to-end architectures, and True Redundancy™ - the fusion of independent world-views produced by separate vision and radar/lidar-based subsystems. Finally, our newest innovations include simulation training of driving policy through artificial community intelligence. This innovation enables reinforcement learning based training of driving policy in a simulated environment that achieves extraordinary amount of training hours overnight and addresses the issue of nearly infinite sample complexity when training driving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800"/>
          </w:cols>
          <w:pgMar w:left="540" w:top="1440" w:right="540" w:bottom="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863600</wp:posOffset>
            </wp:positionH>
            <wp:positionV relativeFrom="page">
              <wp:posOffset>869950</wp:posOffset>
            </wp:positionV>
            <wp:extent cx="5817870" cy="3284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81787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When it comes to safety, our multi-faceted high-level fusion structure is governed by a Primary / Guardian / Fallback methodology (“PGF”) which can handle “majority-rule” as well as non-binary discrepancies. This technology approach supports a quadratic improvement in precision through a framework in which the system only fails if two subsystems fail concurrently. It is a critical enabler of our goal of building a fully autonomous driving-system that can be validated as safer than human- driven vehicles, devoid of unreasonable risks, and deployed in a cost-efficient manner. This approach separates our system from competitors that utilize a monolithic approach.</w:t>
      </w:r>
    </w:p>
    <w:p>
      <w:pPr>
        <w:spacing w:after="0" w:line="204" w:lineRule="exact"/>
        <w:rPr>
          <w:sz w:val="20"/>
          <w:szCs w:val="20"/>
          <w:color w:val="auto"/>
        </w:rPr>
      </w:pPr>
    </w:p>
    <w:p>
      <w:pPr>
        <w:jc w:val="both"/>
        <w:ind w:firstLine="360"/>
        <w:spacing w:after="0" w:line="258" w:lineRule="auto"/>
        <w:tabs>
          <w:tab w:leader="none" w:pos="721"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b w:val="1"/>
          <w:bCs w:val="1"/>
          <w:u w:val="single" w:color="auto"/>
          <w:color w:val="auto"/>
        </w:rPr>
        <w:t>Next Generation Imaging Radars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solution targeted to complement the camera-based system with a sensor that has almost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fully independent failure modes, supports high precision and to reduce the need for multiple expensive lidar sensors, supports cost-efficiency, a major component of recall. The in-house development of imaging radar is a key enabler of our goal of building a cost-effective fully autonomous driving-system. Our radar is expected to deliver rich point-cloud models like those customary of lidar, with far higher resolution and significantly more dynamic range than traditional radar. During 2024, these goals were validated through widespread testing of our B-sample hardware by a number of OEMs. These radars differ from legacy radar and other imaging radar development as they are backed by advanced processing algorithms and can enable an independent “sensing state” with independent failure modes unlike the camera-based system which supports a quadratic improvement in mean-time-between failure. Our choice to focus on the evolution of the radar modality is also related to its cost structure which is significantly below lidar sensors. We believe our custom designed imaging radars address not only the performance, but also the cost limitations of lidar-centric solutions for mass AV deployment. We have selected multiple manufacturers for this solution which is approaching start of production.</w:t>
      </w:r>
    </w:p>
    <w:p>
      <w:pPr>
        <w:spacing w:after="0" w:line="190"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During 2025, a leading global automaker chose Mobileye Imaging Radar™ as a key component of its upcoming eyes-off, hands-off automated driving system in personal vehicles, following an extensive, years- long evaluation of Mobileye’s technology and competing systems. Starting in 2028, this new customer for Mobileye plans to use the imaging radar to deliver SAE Level 3 automated driving at highway speeds, designed to provide exceptional detection of vehicles, people and objects in conditions such as fog or rain, and at long distances, that challenge existing sensors.</w:t>
      </w:r>
    </w:p>
    <w:p>
      <w:pPr>
        <w:spacing w:after="0" w:line="203" w:lineRule="exact"/>
        <w:rPr>
          <w:sz w:val="20"/>
          <w:szCs w:val="20"/>
          <w:color w:val="auto"/>
        </w:rPr>
      </w:pPr>
    </w:p>
    <w:p>
      <w:pPr>
        <w:jc w:val="both"/>
        <w:ind w:firstLine="359"/>
        <w:spacing w:after="0" w:line="251" w:lineRule="auto"/>
        <w:tabs>
          <w:tab w:leader="none" w:pos="719"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b w:val="1"/>
          <w:bCs w:val="1"/>
          <w:u w:val="single" w:color="auto"/>
          <w:color w:val="auto"/>
        </w:rPr>
        <w:t>Our Family of Purpose-Built EyeQ</w:t>
      </w:r>
      <w:r>
        <w:rPr>
          <w:rFonts w:ascii="Times New Roman" w:cs="Times New Roman" w:eastAsia="Times New Roman" w:hAnsi="Times New Roman"/>
          <w:sz w:val="24"/>
          <w:szCs w:val="24"/>
          <w:b w:val="1"/>
          <w:bCs w:val="1"/>
          <w:u w:val="single" w:color="auto"/>
          <w:color w:val="auto"/>
          <w:vertAlign w:val="superscript"/>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SOCs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Fundamental to our leadership position in ADAS and our ambitions to develop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most cost-efficient, high-performing AV solutions, our EyeQ™ SoCs incorporate a set of proprietary compute-acceleration models to enhance the accuracy, quality, and functional safety of our perception solutions, while minimizing the power consumption to address the requirements of the automotive market. The EyeQ™ family design also enables a scalable Electronic Control Unit (“ECU”) architecture, thereby supporting a variety of ADAS and autonomous vehicle solution architectures that meet the functional safety requirements of our customers. These solutions range from base, windshield mounted ECUs to multi-SoC central compute ECUs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800"/>
          </w:cols>
          <w:pgMar w:left="540" w:top="1440" w:right="540" w:bottom="0" w:gutter="0" w:footer="0" w:header="0"/>
        </w:sectPr>
      </w:pPr>
    </w:p>
    <w:bookmarkStart w:id="13" w:name="page14"/>
    <w:bookmarkEnd w:id="13"/>
    <w:p>
      <w:pPr>
        <w:jc w:val="both"/>
        <w:spacing w:after="0" w:line="280" w:lineRule="auto"/>
        <w:rPr>
          <w:sz w:val="20"/>
          <w:szCs w:val="20"/>
          <w:color w:val="auto"/>
        </w:rPr>
      </w:pPr>
      <w:r>
        <w:rPr>
          <w:rFonts w:ascii="Times New Roman" w:cs="Times New Roman" w:eastAsia="Times New Roman" w:hAnsi="Times New Roman"/>
          <w:sz w:val="20"/>
          <w:szCs w:val="20"/>
          <w:color w:val="auto"/>
        </w:rPr>
        <w:t>supported currently by EyeQ™5 High and in the near future EyeQ™6 High, which can be deployed in a scalable way to support a full suite of Premium ADAS and AV solutions.</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The efficiency of our inference silicon design is a core enabler of the overall efficiency of our system, and is critical in applications such as automotive application which highly value packaging size and power consumption. Designing an efficient silicon architecture requires optimizing the competing factors of efficiency and flexibility. We accomplish this through the development a variety of accelerators, each of which are designed to perform specific tasks that either most favor efficiency, flexibility, or a combination of both. Successful design has led to a 10-times improvement in frames-per-second processing for EyeQ™6 High, as compared to EyeQ™5 High, despite only double the headline processing power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TOPS) and 25% higher power consumption. Based on competitive benchmarking, the EyeQ™6 High is significantly more efficient than more general purpose SoC’s that are much higher headline processing power, in terms of frames-per-second, latency, and cost. We continue to believe that, as AV solutions continue to develop, efficiency of inference silicon will be one of the most significant purchasing criteria and Mobileye has inherent advantages in this area.</w:t>
      </w:r>
    </w:p>
    <w:p>
      <w:pPr>
        <w:spacing w:after="0" w:line="18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EyeQ™5 SoCs and subsequent generations are increasingly customizable by our OEM customers, supported by our Driving Experience Platform (“DXP”). DXP is a software platform that enables automakers to develop and customize the driving experience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 the OEM-unique aspect of a vehicle’s automated driving features) while utilizing Mobileye’s proven core technology perception and driving policy software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objective, universal aspects of a vehicle’s automated driving features). This new application programming interface supports our customers’ desire to create unique products from our technology while also accelerating time-to-market and reducing overall execution risk. Importantly, this collaborative addition to our platform offers a mutually beneficial middle ground between open and closed systems which we believe is the optimal path forward.</w:t>
      </w:r>
    </w:p>
    <w:p>
      <w:pPr>
        <w:spacing w:after="0" w:line="20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These five pillars form the core of our highly versatile and customizable platform, which we intend to deploy with progressively increasing functionality to continue to enhance our market-leading ADAS solutions and lead the evolution to autonomous driving solutions.</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The Autonomous Vehicle Revolution</w:t>
      </w:r>
    </w:p>
    <w:p>
      <w:pPr>
        <w:spacing w:after="0" w:line="24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Autonomous driving is one of the most difficult technological challenges facing the world today, but as a technological concept has remained at the forefront of human imagination for decades. Since the early 2000s, a number of automotive and technology companies have invested heavily to try to make this a reality. Mobileye’s vision for the last number of years is to chart a clear path from ADAS to scalable autonomous driving.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128270</wp:posOffset>
            </wp:positionV>
            <wp:extent cx="5817870" cy="25228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5817870" cy="252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auto"/>
        </w:rPr>
        <w:t>Vehicle autonomy can be viewed as a spectrum that uses the same technology building blocks to power the full span of driver assist functions, ranging from those available in hundreds of car models today, through full autonomy powering robotaxis and, eventually, personal autonomous vehicles. The automotive industry breaks down this spectrum into what are known as SAE Levels 1, 2, 3, 4 and</w:t>
      </w:r>
    </w:p>
    <w:p>
      <w:pPr>
        <w:spacing w:after="0" w:line="2" w:lineRule="exact"/>
        <w:rPr>
          <w:sz w:val="20"/>
          <w:szCs w:val="20"/>
          <w:color w:val="auto"/>
        </w:rPr>
      </w:pPr>
    </w:p>
    <w:p>
      <w:pPr>
        <w:spacing w:after="0" w:line="280" w:lineRule="auto"/>
        <w:tabs>
          <w:tab w:leader="none" w:pos="22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developed our own, more user-friendly taxonomy. Each level of our taxonomy is further defined and supported by the particular operational design domain (“ODD”) for which it was designed.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800"/>
          </w:cols>
          <w:pgMar w:left="540" w:top="1347" w:right="540" w:bottom="0" w:gutter="0" w:footer="0" w:header="0"/>
          <w:type w:val="continuous"/>
        </w:sectPr>
      </w:pPr>
    </w:p>
    <w:bookmarkStart w:id="14" w:name="page15"/>
    <w:bookmarkEnd w:id="14"/>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First, we refer to basic driver assist features, such as automatic emergency braking or lane keeping assist, together with longitudinal control such as adaptive cruise control as “eyes-on/hands-on”. The driver is still responsible for the overall task of driving, while the system supports the human driver.</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Second, “eyes-on/hands-off”. This refers to premium driver assist functions adding additional safety and comfort functionality. This functionality allows the driver to experience hands-free driving while requiring the driver’s full attention and eyes on the road.</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Third, “eyes-off/hands-off”. The system controls the driving function within a specified ODD, such as highway driving, without the need for the human driver to monitor driving. If the ODD is exceeded and the driver does not reassume control, the system is capable of performing a Minimum Risk Maneuver (“MRM”) and safely stop at the roadside.</w:t>
      </w:r>
    </w:p>
    <w:p>
      <w:pPr>
        <w:spacing w:after="0" w:line="18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 xml:space="preserve">Fourth, “no driver”. When no human driver is present,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robotaxi</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system will perform a MRM when needed, including coming to a full stop, and can also contact a teleoperator for decision support, such as re-routing and rules decisions.</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see a parallel path developing with significant growth in the adoption of cost-efficient eyes- on/hands-off systems on specified road types across a variety of price segments. On the other side of the spectrum, with the advent of commercial driverless services in 2024 and 2025 in the United States, we believe that the future state and growth of fully autonomous vehicles deployed in cities by fleet operators is no longer a question of technology, but rather of business model and scalability.</w:t>
      </w:r>
    </w:p>
    <w:p>
      <w:pPr>
        <w:spacing w:after="0" w:line="190"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We believe that growth in eyes-on/hands-off systems and commercial driverless services will enhance public trust and familiarity with the technology to grow and eventually lead to more sophisticated self-driving systems for privately-owned vehicles. Our ADAS solutions, which have been deployed in over 230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Solutions</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have utilized the technology pillars detailed above to build a robust portfolio of end- to -end ADAS and autonomous driving solutions that provide the capabilities needed for the future of autonomous driving, leveraging a comprehensive suite of purpose-built software and hardware technologies. We pioneered “base” ADAS features to meet global regulatory requirements and safety ratings with our Base ADAS solution and we have since created new categories of ADAS with our Cloud-Enhanced ADAS™, Mobileye Surround ADAS™, and SuperVision™ offerings. Additionally, we have designed a full set of eyes-off/hands-off solutions at a wide variety of price points and a spectrum of functionalities and ODDs.</w:t>
      </w:r>
    </w:p>
    <w:p>
      <w:pPr>
        <w:spacing w:after="0" w:line="19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800"/>
          </w:cols>
          <w:pgMar w:left="540" w:top="1347" w:right="540" w:bottom="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863600</wp:posOffset>
            </wp:positionH>
            <wp:positionV relativeFrom="page">
              <wp:posOffset>869950</wp:posOffset>
            </wp:positionV>
            <wp:extent cx="5817870" cy="32848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1787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chart above represents commercially deployed solutions (Base ADAS, Cloud-Enhanced ADAS™ and Mobileye SuperVision™) and solutions that we expect to be commercially deployed in the future (Mobileye Surround ADAS™, Mobileye Chauffeur™, and Mobileye Drive™).</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End-to-End ADAS and AV Solutions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Base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158750</wp:posOffset>
            </wp:positionV>
            <wp:extent cx="5809615" cy="3272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5809615" cy="327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800"/>
          </w:cols>
          <w:pgMar w:left="540" w:top="1440" w:right="540" w:bottom="0" w:gutter="0" w:footer="0" w:header="0"/>
        </w:sectPr>
      </w:pPr>
    </w:p>
    <w:bookmarkStart w:id="16" w:name="page17"/>
    <w:bookmarkEnd w:id="16"/>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Mobileye’s Base ADAS, powered by our purpose built, on-windshield EyeQ™ SoC devices and our expertise in computer vision, brings our core ADAS solutions to millions of vehicles on the road today and is foundational to our spectrum of ADAS and autonomous vehicle solutions. Our EyeQ™ SoC provides drivers with basic safety features covered by front-facing sensing, such as collision warning, lane departure warnings, pedestrian and cyclist collision warning, headway monitoring and warning, speed limit indicator, blind spot detection, and many more. Our software algorithms and purpose-built hardware are designed to provide the driver with accurate and reliable driver assist solutions, promoting road safety.</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Cloud-Enhanced ADAS</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122555</wp:posOffset>
            </wp:positionV>
            <wp:extent cx="5809615" cy="3272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5809615" cy="327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60"/>
        <w:spacing w:after="0" w:line="227" w:lineRule="auto"/>
        <w:rPr>
          <w:sz w:val="20"/>
          <w:szCs w:val="20"/>
          <w:color w:val="auto"/>
        </w:rPr>
      </w:pPr>
      <w:r>
        <w:rPr>
          <w:rFonts w:ascii="Times New Roman" w:cs="Times New Roman" w:eastAsia="Times New Roman" w:hAnsi="Times New Roman"/>
          <w:sz w:val="20"/>
          <w:szCs w:val="20"/>
          <w:color w:val="auto"/>
        </w:rPr>
        <w:t>Mobileye’s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leverages crowdsourced data from millions of REM™-equipped vehicles around the globe every day, providing high-level accuracy localization via continuously updated information about the driving scene. Enhancing the existing single-camera system with crowd-sourced data offers comprehensive in-path assist functionality that enables better performance and compliance even in complex or challenging circumstances. Relying on data from prior human driving activity to anticipate and adapt, our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solution provides a safer, smoother, and more natural driving experience – marking a software defined leap in ADAS performance with no need for additional hardware.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800"/>
          </w:cols>
          <w:pgMar w:left="540" w:top="1347" w:right="540" w:bottom="0" w:gutter="0" w:footer="0" w:header="0"/>
          <w:type w:val="continuous"/>
        </w:sectPr>
      </w:pPr>
    </w:p>
    <w:bookmarkStart w:id="17" w:name="page18"/>
    <w:bookmarkEnd w:id="17"/>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Surround ADAS</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122555</wp:posOffset>
            </wp:positionV>
            <wp:extent cx="5809615" cy="3272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5809615" cy="327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Building on our ADAS expertise and the core of our single-camera Cloud -Enhanced ADAS™ system, we offer through our Mobileye Surround ADAS™ system the ability to meet expanded late-decade active safety requirements through the utilization, analysis, and processing of additional surround perception sensors. Mobileye Surround ADAS™ utilizes the SuperVision™ software stack, including our RSS (defined below) policy model, and is powered by an ECU with one EyeQ™6 High SoC, which processes data from the customer’s third -party sensor suite featuring up to six cameras and up to five radars. Such cameras generally consist of two long-range cameras in the front and rear, while leveraging data from four short-range surround vision cameras that are already equipped on many production vehicles today for parking visualization purposes. Additionally, Mobileye Surround ADAS™ offers eyes-on/hands-off functionality for highway ODDs by adding features like automatic lane change, front and rear collision avoidance, traffic jam assist, and a Highway Pilot function up to 130 kilometers per hour with the fidelity of a multi-camera and multi-radar sensor suite. This system also includes DXP support, which enables customers to customize the driving experience while benefiting from our industry-leading technology platform.</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800"/>
          </w:cols>
          <w:pgMar w:left="540" w:top="1349" w:right="540" w:bottom="0" w:gutter="0" w:footer="0" w:header="0"/>
          <w:type w:val="continuous"/>
        </w:sectPr>
      </w:pPr>
    </w:p>
    <w:bookmarkStart w:id="18" w:name="page19"/>
    <w:bookmarkEnd w:id="18"/>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SuperVision</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122555</wp:posOffset>
            </wp:positionV>
            <wp:extent cx="5809615" cy="3272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5809615" cy="327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Mobileye SuperVision™, our eyes-on/hands-off Premium Driver Assist offering, is our most advanced driver assist system on the market and is the bridge to consumer autonomous vehicles. It is designed to handle standard driving functions across various road types, offering “hands-off” navigation capabilities under certain ODDs, while still requiring the driver to pay full attention and keep eyes on the road. Derived from our autonomous vehicle research and development, Mobileye SuperVision™ leverages cloud-based enhancements such as REM™, a number of algorithmic and architectural redundancies, and our RSS policy model. The system utilizes 360-degree surround sensing with 11 third-party cameras powered (plus optional radar) processes by a turnkey ECU with two EyeQ™5 or, starting with expected launches in 2027, two EyeQ™6 SoCs. Furthermore, in addition to supervised point-to-point assisted driving, Mobileye SuperVision™ is capable of changing lanes, managing priorities, and turning in intersections as well as engaging in automated parking, preventative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evasive) steering and braking, and other Driver Assist features. This solution is further supported by OTA updates. The 11 third-party cameras (seven long range cameras and four short-range surround vision cameras) provide full surround coverage and consist of 120-degree and 28-degree cameras in the front, four 100-degree corner cameras (two front-facing and two rear-facing), a 60-degree rear camera and four wide -view 195-degree short-range cameras mounted on the side mirrors and front and rear bumpers. The mapping is powered by REM™, and integrated with computer vision perception, to create a 360-degree environmental model (subject to the availability of map data) and RSS constrains the driving decisions to be compliant with an underlying formally proven model for safe driving decisions. This offering also includes DXP, which will enable customers to control the driving experience while benefiting from our industry-leading technology platform.</w:t>
      </w:r>
    </w:p>
    <w:p>
      <w:pPr>
        <w:sectPr>
          <w:pgSz w:w="11880" w:h="15480" w:orient="portrait"/>
          <w:cols w:equalWidth="0" w:num="1">
            <w:col w:w="10820"/>
          </w:cols>
          <w:pgMar w:left="540" w:top="1349"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820"/>
          </w:cols>
          <w:pgMar w:left="540" w:top="1349" w:right="520" w:bottom="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863600</wp:posOffset>
            </wp:positionH>
            <wp:positionV relativeFrom="page">
              <wp:posOffset>869950</wp:posOffset>
            </wp:positionV>
            <wp:extent cx="5817870" cy="2351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17870" cy="235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Importantly, our SuperVision™ technology also serves as a bridge, or foundational technology, for Mobileye and its customers to develop a spectrum of eyes-off/hands-off solutions with expanding ODDs. In other words, an OEM that adopts and validates SuperVision™ is taking a significant step towards consumer AV as SuperVision™ serves as a validated baseline, including a common primary ECU board, which can be leveraged to add eyes-off functionality under an increasing set of operating conditions in a modular way.</w:t>
      </w:r>
    </w:p>
    <w:p>
      <w:pPr>
        <w:spacing w:after="0" w:line="19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first series production launch of this offering occurred in 2021 as Geely Group launched Mobileye SuperVision™ in its ZEEKR premium electric vehicle brand. Through the end of 2025, over 350,000 SuperVision™ systems were delivered to ZEEKR, Polestar and other brands.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Chauffeur</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and Mobileye Drive</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122555</wp:posOffset>
            </wp:positionV>
            <wp:extent cx="5809615" cy="3272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extLst>
                    </a:blip>
                    <a:srcRect/>
                    <a:stretch>
                      <a:fillRect/>
                    </a:stretch>
                  </pic:blipFill>
                  <pic:spPr bwMode="auto">
                    <a:xfrm>
                      <a:off x="0" y="0"/>
                      <a:ext cx="5809615" cy="327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800"/>
          </w:cols>
          <w:pgMar w:left="540" w:top="1440" w:right="540" w:bottom="0" w:gutter="0" w:footer="0" w:header="0"/>
        </w:sectPr>
      </w:pPr>
    </w:p>
    <w:bookmarkStart w:id="20" w:name="page21"/>
    <w:bookmarkEnd w:id="20"/>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Mobileye Chauffeur™ is our geographically scalable eyes-off/hands-off solution for consumer vehicles in a gradually expanding ODD, combining computer vision technology with surround imaging radars and front lidar. The first generation solution will be based on three EyeQ™6 High SoCs, deployed with a primary board including two EyeQ™6 High SoCs supporting full surround computer vision perception and mapping and a secondary board with an additional EyeQ™6 High SoC supporting radar / lidar perception and our Compound AI fusion architecture. The primary board is common to our SuperVision™ solution which reduces the OEM’s validation burden and the dual-board setup provides functional safety redundancy. The system will provide 360-degrees of coverage through two independent and redundant sensing subsystems, along with REM™ maps, RSS, and our PGF architecture, to support optimized scalability and safety. Mobileye Chauffeur™ is expected to be capable of eyes-off/hands-off driving with a human driver still in the driver’s seat, in a gradually expanding ODD that can range from a limited ODD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highway only, up to 130kph), an ODD that we believe covers the majority of most consumers’ driving, to the more advanced ODDs that we are pursuing through this solution in subsequent generations. By using Mobileye SuperVision™ eyes-on/hands -off system as a basis for Mobileye Chauffeur™, we allow for an incremental and modular eyes-off transition from one ODD to the next. This can be done by adding more active sensors for redundancy and more compute power to the already validated and road-tested Mobileye SuperVision™. This approach gives our customers a viable, modular, and incremental path toward useful and safe consumer AV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135255</wp:posOffset>
            </wp:positionV>
            <wp:extent cx="5817870" cy="3284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extLst>
                    </a:blip>
                    <a:srcRect/>
                    <a:stretch>
                      <a:fillRect/>
                    </a:stretch>
                  </pic:blipFill>
                  <pic:spPr bwMode="auto">
                    <a:xfrm>
                      <a:off x="0" y="0"/>
                      <a:ext cx="581787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Mobileye Drive™ is our fleet-focused end-to-end self-driving system that enables automakers, public transportation companies, and transportation network operators to offer a no-driver solution for robotaxis, ride-pooling, public transport, and goods delivery. This eyes-off/hands-off/no driver solution will build upon our core autonomous driving technologies found in Mobileye Chauffeur™ and will deliver driving functions without the need for any in-vehicle human intervention by adding teleoperability and by minimizing cases where human input would be required. Our overall turnkey self-driving solution offers an advanced ODD that can turn various vehicle configurations and solutions autonomous. Mobileye Drive™ is already being integrated, and is in the development, testing and validation stages in autonomous public transit, autonomous goods delivery and autonomous mobility-as-a-service (“AMaaS”) across industries and around the globe.</w:t>
      </w:r>
    </w:p>
    <w:p>
      <w:pPr>
        <w:spacing w:after="0" w:line="20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believe that both Mobileye Chauffeur™ and Mobileye Drive™ have sustainable competitive advantages as a result of the cost efficiency, scalability, and regulatory validation of our technology platform:</w:t>
      </w:r>
    </w:p>
    <w:p>
      <w:pPr>
        <w:spacing w:after="0" w:line="174" w:lineRule="exact"/>
        <w:rPr>
          <w:sz w:val="20"/>
          <w:szCs w:val="20"/>
          <w:color w:val="auto"/>
        </w:rPr>
      </w:pPr>
    </w:p>
    <w:p>
      <w:pPr>
        <w:ind w:firstLine="360"/>
        <w:spacing w:after="0" w:line="283"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Cost Efficiency</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cost-efficient, low-energy, purpose-built central compute processors; imaging radars targeted to reduce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need for multiple lidar units;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800"/>
          </w:cols>
          <w:pgMar w:left="540" w:top="1347" w:right="540" w:bottom="0" w:gutter="0" w:footer="0" w:header="0"/>
          <w:type w:val="continuous"/>
        </w:sectPr>
      </w:pPr>
    </w:p>
    <w:bookmarkStart w:id="21" w:name="page22"/>
    <w:bookmarkEnd w:id="21"/>
    <w:p>
      <w:pPr>
        <w:jc w:val="both"/>
        <w:ind w:firstLine="360"/>
        <w:spacing w:after="0" w:line="235"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Geographic Scalability</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b w:val="1"/>
          <w:bCs w:val="1"/>
          <w:color w:val="auto"/>
        </w:rPr>
        <w:t>-</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-based maps that eliminate the need for dedicated high-definition mapping efforts; RSS-based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driving policy designed for global deployment by not relying on driving culture or local rules; sensing technologies built on a foundation of a massive data training set from over 40 countries; and</w:t>
      </w:r>
    </w:p>
    <w:p>
      <w:pPr>
        <w:spacing w:after="0" w:line="212" w:lineRule="exact"/>
        <w:rPr>
          <w:rFonts w:ascii="Arial" w:cs="Arial" w:eastAsia="Arial" w:hAnsi="Arial"/>
          <w:sz w:val="20"/>
          <w:szCs w:val="20"/>
          <w:color w:val="auto"/>
        </w:rPr>
      </w:pPr>
    </w:p>
    <w:p>
      <w:pPr>
        <w:jc w:val="both"/>
        <w:ind w:firstLine="360"/>
        <w:spacing w:after="0" w:line="235"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Regulatory Validation</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b w:val="1"/>
          <w:bCs w:val="1"/>
          <w:color w:val="auto"/>
        </w:rPr>
        <w:t>-</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with multiple independent, separate perception subsystems feeding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Compound AI architecture that increases robustness and ease of validation, and RSS used by international bodies that are currently developing standards with respect to the safety of AV.</w:t>
      </w:r>
    </w:p>
    <w:p>
      <w:pPr>
        <w:spacing w:after="0" w:line="215" w:lineRule="exact"/>
        <w:rPr>
          <w:rFonts w:ascii="Arial" w:cs="Arial" w:eastAsia="Arial" w:hAnsi="Arial"/>
          <w:sz w:val="20"/>
          <w:szCs w:val="20"/>
          <w:color w:val="auto"/>
        </w:rPr>
      </w:pPr>
    </w:p>
    <w:p>
      <w:pPr>
        <w:jc w:val="both"/>
        <w:ind w:firstLine="360"/>
        <w:spacing w:after="0" w:line="249"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Self-Driving System &amp; Vehicles. </w:t>
      </w:r>
      <w:r>
        <w:rPr>
          <w:rFonts w:ascii="Times New Roman" w:cs="Times New Roman" w:eastAsia="Times New Roman" w:hAnsi="Times New Roman"/>
          <w:sz w:val="20"/>
          <w:szCs w:val="20"/>
          <w:color w:val="auto"/>
        </w:rPr>
        <w:t>We expect to deploy our Mobileye Drive™ eyes-off/hands-off self-driving system inside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purpose-built vehicle platforms that are engineered to integrate our technology stack. Announced supply-side vehicle development partners are Volkswagen Commercial Vehicles and MOIA, Schaeffler, Verne and Holon. We and our vehicle development partners will then market these vehicles and systems through business-to-business channels into a range of transportation network operators, with announced demand-side customers including Deutsche Bahn, Beep, Holo / Ruter, Lyft and others.</w:t>
      </w:r>
    </w:p>
    <w:p>
      <w:pPr>
        <w:spacing w:after="0" w:line="196"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Models for AV Adoption</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believe that the availability of autonomous vehicles will cause a significant transformation in mobility, including vehicle ownership and utilization. We expect that autonomous vehicle technology will eventually be accessed by consumers through shared-vehicle AMaaS networks, as well as in consumer-owned and operated autonomous vehicles. It is our view that, to reach the full potential of autonomous driving over the long-term, the technology solutions that enable these separate markets should converge over time, and that is reflected in our strategy.</w:t>
      </w:r>
    </w:p>
    <w:p>
      <w:pPr>
        <w:spacing w:after="0" w:line="19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we believe consumer-owned and operated AVs will fundamentally change how individuals utilize their vehicles. Automation will allow the individual to be significantly more productive during their commute or other time spent in the car, given that the vehicle could operate eyes-off/hands-off in an increasingly wide ODD. Providing consumers with access to affordable autonomous vehicles can create significant value by decreasing time spent focused on the driving function and increasing safety.</w:t>
      </w:r>
    </w:p>
    <w:p>
      <w:pPr>
        <w:spacing w:after="0" w:line="19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automated public transport operators and automated transportation network companies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with very few companies able to operate within both over the long-term. It is our view that a flexible solution that supports both consumer AVs and AMaaS will be necessary to reach the full potential of autonomous driving over the long-term.</w:t>
      </w:r>
    </w:p>
    <w:p>
      <w:pPr>
        <w:sectPr>
          <w:pgSz w:w="11880" w:h="15480" w:orient="portrait"/>
          <w:cols w:equalWidth="0" w:num="1">
            <w:col w:w="10800"/>
          </w:cols>
          <w:pgMar w:left="540" w:top="13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800"/>
          </w:cols>
          <w:pgMar w:left="540" w:top="1359" w:right="540" w:bottom="0" w:gutter="0" w:footer="0" w:header="0"/>
          <w:type w:val="continuous"/>
        </w:sectPr>
      </w:pPr>
    </w:p>
    <w:bookmarkStart w:id="22" w:name="page23"/>
    <w:bookmarkEnd w:id="22"/>
    <w:p>
      <w:pPr>
        <w:ind w:left="363"/>
        <w:spacing w:after="0"/>
        <w:rPr>
          <w:sz w:val="20"/>
          <w:szCs w:val="20"/>
          <w:color w:val="auto"/>
        </w:rPr>
      </w:pPr>
      <w:r>
        <w:rPr>
          <w:rFonts w:ascii="Times New Roman" w:cs="Times New Roman" w:eastAsia="Times New Roman" w:hAnsi="Times New Roman"/>
          <w:sz w:val="20"/>
          <w:szCs w:val="20"/>
          <w:b w:val="1"/>
          <w:bCs w:val="1"/>
          <w:i w:val="1"/>
          <w:iCs w:val="1"/>
          <w:color w:val="auto"/>
        </w:rPr>
        <w:t>Challenges to Making Autonomous Vehicles Ubiquitous</w:t>
      </w:r>
    </w:p>
    <w:p>
      <w:pPr>
        <w:spacing w:after="0" w:line="238" w:lineRule="exact"/>
        <w:rPr>
          <w:sz w:val="20"/>
          <w:szCs w:val="20"/>
          <w:color w:val="auto"/>
        </w:rPr>
      </w:pPr>
    </w:p>
    <w:p>
      <w:pPr>
        <w:ind w:left="3" w:firstLine="360"/>
        <w:spacing w:after="0" w:line="280" w:lineRule="auto"/>
        <w:rPr>
          <w:sz w:val="20"/>
          <w:szCs w:val="20"/>
          <w:color w:val="auto"/>
        </w:rPr>
      </w:pPr>
      <w:r>
        <w:rPr>
          <w:rFonts w:ascii="Times New Roman" w:cs="Times New Roman" w:eastAsia="Times New Roman" w:hAnsi="Times New Roman"/>
          <w:sz w:val="20"/>
          <w:szCs w:val="20"/>
          <w:color w:val="auto"/>
        </w:rPr>
        <w:t>To make autonomous vehicles at scale a reality, we believe that there are three core challenges that must be addressed beyond optimization of safety and performance:</w:t>
      </w:r>
    </w:p>
    <w:p>
      <w:pPr>
        <w:spacing w:after="0" w:line="174" w:lineRule="exact"/>
        <w:rPr>
          <w:sz w:val="20"/>
          <w:szCs w:val="20"/>
          <w:color w:val="auto"/>
        </w:rPr>
      </w:pPr>
    </w:p>
    <w:p>
      <w:pPr>
        <w:jc w:val="both"/>
        <w:ind w:left="3" w:firstLine="360"/>
        <w:spacing w:after="0" w:line="243" w:lineRule="auto"/>
        <w:tabs>
          <w:tab w:leader="none" w:pos="725"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Regulatory Endorsement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Autonomous driving solutions must be architected, by design, to be verifiably safe, in a manner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fosters broad societal and regulatory endorsement. Regulation is an often-overlooked factor. While laws and regulations are specific to human drivers, there are challenges 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For driving policy, however, being “safer” does not always mean being better. As a society, we balance safety and practicality by determining what the “reasonable risk” we are willing to take is, and this is the type of question regulators will be required to address when licensing autonomous vehicles to navigate our roads.</w:t>
      </w:r>
    </w:p>
    <w:p>
      <w:pPr>
        <w:spacing w:after="0" w:line="211" w:lineRule="exact"/>
        <w:rPr>
          <w:rFonts w:ascii="Arial" w:cs="Arial" w:eastAsia="Arial" w:hAnsi="Arial"/>
          <w:sz w:val="20"/>
          <w:szCs w:val="20"/>
          <w:color w:val="auto"/>
        </w:rPr>
      </w:pPr>
    </w:p>
    <w:p>
      <w:pPr>
        <w:jc w:val="both"/>
        <w:ind w:left="3" w:firstLine="359"/>
        <w:spacing w:after="0" w:line="243" w:lineRule="auto"/>
        <w:tabs>
          <w:tab w:leader="none" w:pos="725"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Geographic Scale</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Geographic scale refers to the challenge of creating high-definition maps with great detail and accuracy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through our REM™ technology, and keeping those maps continuously updated, which is crucial for series production AVs. AMaaS vehicles can be confined to geofenced areas, which allows AVs to reach prominence through the robotaxi industry before expanding the ODD to outside of those areas. While robotaxi operators may be successful providing their services in limited geofenced areas, broad-based consumer AV adoption requires the ability to drive safely anywhere, and in diverse environments, rather than only in geofenced areas. In 2025 alone, we collected 34.5 billion miles of road data from, based on our estimates, over 8 million REM™-enabled vehicles worldwide, and analyzed up to 94.5 million miles of road data per day, with the size of the REM™-enabled fleet increasing daily. Since we deployed REM™ in 2018, we have harvested a total of 91.5 billion miles of road data. As of December 27, 2025, we estimate that the data we have accumulated covers over 95% of the approximately 0.8 million miles of motorway, trunk, and primary road types in each of the United States and Europe, respectively, as well as a large majority of other road types. This data enables us to create robust high-definition maps to support solutions across the product spectrum from Cloud-Enhanced ADAS™ to Mobileye Surround ADAS™ and Mobileye SuperVision™ to Mobileye Chauffeur™ and Mobileye Drive™.</w:t>
      </w:r>
    </w:p>
    <w:p>
      <w:pPr>
        <w:spacing w:after="0" w:line="223" w:lineRule="exact"/>
        <w:rPr>
          <w:rFonts w:ascii="Arial" w:cs="Arial" w:eastAsia="Arial" w:hAnsi="Arial"/>
          <w:sz w:val="20"/>
          <w:szCs w:val="20"/>
          <w:color w:val="auto"/>
        </w:rPr>
      </w:pPr>
    </w:p>
    <w:p>
      <w:pPr>
        <w:jc w:val="both"/>
        <w:ind w:left="3" w:firstLine="357"/>
        <w:spacing w:after="0" w:line="246" w:lineRule="auto"/>
        <w:tabs>
          <w:tab w:leader="none" w:pos="724"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Cost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The cost of a self-driving system commonly employed by robotaxis, with its cameras, radars, specialized lidars,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self-driving systems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pacing w:after="0" w:line="196" w:lineRule="exact"/>
        <w:rPr>
          <w:sz w:val="20"/>
          <w:szCs w:val="20"/>
          <w:color w:val="auto"/>
        </w:rPr>
      </w:pPr>
    </w:p>
    <w:p>
      <w:pPr>
        <w:ind w:left="363"/>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242" w:lineRule="exact"/>
        <w:rPr>
          <w:sz w:val="20"/>
          <w:szCs w:val="20"/>
          <w:color w:val="auto"/>
        </w:rPr>
      </w:pPr>
    </w:p>
    <w:p>
      <w:pPr>
        <w:ind w:left="363"/>
        <w:spacing w:after="0"/>
        <w:rPr>
          <w:sz w:val="20"/>
          <w:szCs w:val="20"/>
          <w:color w:val="auto"/>
        </w:rPr>
      </w:pPr>
      <w:r>
        <w:rPr>
          <w:rFonts w:ascii="Times New Roman" w:cs="Times New Roman" w:eastAsia="Times New Roman" w:hAnsi="Times New Roman"/>
          <w:sz w:val="20"/>
          <w:szCs w:val="20"/>
          <w:color w:val="auto"/>
        </w:rPr>
        <w:t>We believe that our leadership in ADAS and autonomous driving is based primarily on our: (1) first-mover advantage;</w:t>
      </w:r>
    </w:p>
    <w:p>
      <w:pPr>
        <w:ind w:left="283" w:hanging="283"/>
        <w:spacing w:after="0"/>
        <w:tabs>
          <w:tab w:leader="none" w:pos="28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technology, including differentiated technological cores and solution architectures; (3) comprehensive portfolio of solutions;</w:t>
      </w:r>
    </w:p>
    <w:p>
      <w:pPr>
        <w:ind w:left="3" w:hanging="3"/>
        <w:spacing w:after="0" w:line="280" w:lineRule="auto"/>
        <w:tabs>
          <w:tab w:leader="none" w:pos="28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including agility, response times, and time-to-market; and (5) inherent cost-driven advantages. These significant advantages form the basis for our competitive strengths described below:</w:t>
      </w:r>
    </w:p>
    <w:p>
      <w:pPr>
        <w:spacing w:after="0" w:line="174" w:lineRule="exact"/>
        <w:rPr>
          <w:rFonts w:ascii="Times New Roman" w:cs="Times New Roman" w:eastAsia="Times New Roman" w:hAnsi="Times New Roman"/>
          <w:sz w:val="20"/>
          <w:szCs w:val="20"/>
          <w:color w:val="auto"/>
        </w:rPr>
      </w:pPr>
    </w:p>
    <w:p>
      <w:pPr>
        <w:jc w:val="both"/>
        <w:ind w:left="3" w:firstLine="357"/>
        <w:spacing w:after="0" w:line="264" w:lineRule="auto"/>
        <w:tabs>
          <w:tab w:leader="none" w:pos="724" w:val="left"/>
        </w:tabs>
        <w:numPr>
          <w:ilvl w:val="2"/>
          <w:numId w:val="15"/>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Coupling of software and hardware delivers optimized performance and efficiency</w:t>
      </w:r>
      <w:r>
        <w:rPr>
          <w:rFonts w:ascii="Arial" w:cs="Arial" w:eastAsia="Arial" w:hAnsi="Arial"/>
          <w:sz w:val="19"/>
          <w:szCs w:val="19"/>
          <w:b w:val="1"/>
          <w:bCs w:val="1"/>
          <w:i w:val="1"/>
          <w:iCs w:val="1"/>
          <w:color w:val="auto"/>
        </w:rPr>
        <w:t xml:space="preserve"> </w:t>
      </w:r>
      <w:r>
        <w:rPr>
          <w:rFonts w:ascii="Times New Roman" w:cs="Times New Roman" w:eastAsia="Times New Roman" w:hAnsi="Times New Roman"/>
          <w:sz w:val="19"/>
          <w:szCs w:val="19"/>
          <w:b w:val="1"/>
          <w:bCs w:val="1"/>
          <w:i w:val="1"/>
          <w:iCs w:val="1"/>
          <w:color w:val="auto"/>
        </w:rPr>
        <w:t>-</w:t>
      </w:r>
      <w:r>
        <w:rPr>
          <w:rFonts w:ascii="Arial" w:cs="Arial" w:eastAsia="Arial" w:hAnsi="Arial"/>
          <w:sz w:val="19"/>
          <w:szCs w:val="19"/>
          <w:b w:val="1"/>
          <w:bCs w:val="1"/>
          <w:color w:val="auto"/>
        </w:rPr>
        <w:t xml:space="preserve"> </w:t>
      </w:r>
      <w:r>
        <w:rPr>
          <w:rFonts w:ascii="Times New Roman" w:cs="Times New Roman" w:eastAsia="Times New Roman" w:hAnsi="Times New Roman"/>
          <w:sz w:val="19"/>
          <w:szCs w:val="19"/>
          <w:color w:val="auto"/>
        </w:rPr>
        <w:t>We design our own purpose-built SoCs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develop a software stack to optimally match the architecture of the SoCs. This results in an optimized cost/performance paradigm, allowing for a range of products that can be produced at high volume. We continue to innovate in this area; for example, our latest SoC, the EyeQ™6 High, achieves a ten-fold increase in frames-per-second processing as compared to our EyeQ™5 High SoC, with only a two-times increase in overall processing power and 25% increase in power consumption. Our coupled software and hardware architecture is highly differentiated from general purpose SoCs and software stacks that are not optimized for a specific use case. Our</w:t>
      </w:r>
    </w:p>
    <w:p>
      <w:pPr>
        <w:sectPr>
          <w:pgSz w:w="11880" w:h="15480" w:orient="portrait"/>
          <w:cols w:equalWidth="0" w:num="1">
            <w:col w:w="10803"/>
          </w:cols>
          <w:pgMar w:left="537" w:top="1350" w:right="54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803"/>
          </w:cols>
          <w:pgMar w:left="537" w:top="1350" w:right="540" w:bottom="0" w:gutter="0" w:footer="0" w:header="0"/>
          <w:type w:val="continuous"/>
        </w:sectPr>
      </w:pPr>
    </w:p>
    <w:bookmarkStart w:id="23" w:name="page24"/>
    <w:bookmarkEnd w:id="23"/>
    <w:p>
      <w:pPr>
        <w:jc w:val="both"/>
        <w:spacing w:after="0" w:line="250" w:lineRule="auto"/>
        <w:rPr>
          <w:sz w:val="20"/>
          <w:szCs w:val="20"/>
          <w:color w:val="auto"/>
        </w:rPr>
      </w:pPr>
      <w:r>
        <w:rPr>
          <w:rFonts w:ascii="Times New Roman" w:cs="Times New Roman" w:eastAsia="Times New Roman" w:hAnsi="Times New Roman"/>
          <w:sz w:val="20"/>
          <w:szCs w:val="20"/>
          <w:color w:val="auto"/>
        </w:rPr>
        <w:t>approach results in low power consumption and lean compute, and yet, is able to support a very powerful range of solutions for the ADAS and AV markets. The principle of efficiency permeates the overall solution design, including our Compound AI system architecture, which includes our True Redundancy™ approach, with multiple separate subsystems to increase robustness and simplify validation efforts, and RSS, which separates the perception system’s validation from the driving policy system, and allows for a compute-efficient driving policy. Each of these are critical contributors to achieving efficient solutions.</w:t>
      </w:r>
    </w:p>
    <w:p>
      <w:pPr>
        <w:spacing w:after="0" w:line="204" w:lineRule="exact"/>
        <w:rPr>
          <w:sz w:val="20"/>
          <w:szCs w:val="20"/>
          <w:color w:val="auto"/>
        </w:rPr>
      </w:pPr>
    </w:p>
    <w:p>
      <w:pPr>
        <w:jc w:val="both"/>
        <w:ind w:firstLine="360"/>
        <w:spacing w:after="0" w:line="236"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Scalable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 design addresses the entire spectrum of ADAS and autonomous driving</w:t>
      </w:r>
      <w:r>
        <w:rPr>
          <w:rFonts w:ascii="Arial" w:cs="Arial" w:eastAsia="Arial" w:hAnsi="Arial"/>
          <w:sz w:val="20"/>
          <w:szCs w:val="20"/>
          <w:color w:val="auto"/>
        </w:rPr>
        <w:t xml:space="preser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proprietary accelerator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cores are optimized for a wide variety of computer vision, signal processing, and machine learning tasks, including deep neural networks. Our EyeQ™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220" w:lineRule="exact"/>
        <w:rPr>
          <w:rFonts w:ascii="Arial" w:cs="Arial" w:eastAsia="Arial" w:hAnsi="Arial"/>
          <w:sz w:val="20"/>
          <w:szCs w:val="20"/>
          <w:color w:val="auto"/>
        </w:rPr>
      </w:pPr>
    </w:p>
    <w:p>
      <w:pPr>
        <w:jc w:val="both"/>
        <w:ind w:firstLine="360"/>
        <w:spacing w:after="0" w:line="258" w:lineRule="auto"/>
        <w:tabs>
          <w:tab w:leader="none" w:pos="72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Industry leading computer vision capabilities</w:t>
      </w:r>
      <w:r>
        <w:rPr>
          <w:rFonts w:ascii="Arial" w:cs="Arial" w:eastAsia="Arial" w:hAnsi="Arial"/>
          <w:sz w:val="19"/>
          <w:szCs w:val="19"/>
          <w:b w:val="1"/>
          <w:bCs w:val="1"/>
          <w:i w:val="1"/>
          <w:iCs w:val="1"/>
          <w:color w:val="auto"/>
        </w:rPr>
        <w:t xml:space="preserve"> </w:t>
      </w:r>
      <w:r>
        <w:rPr>
          <w:rFonts w:ascii="Times New Roman" w:cs="Times New Roman" w:eastAsia="Times New Roman" w:hAnsi="Times New Roman"/>
          <w:sz w:val="19"/>
          <w:szCs w:val="19"/>
          <w:b w:val="1"/>
          <w:bCs w:val="1"/>
          <w:i w:val="1"/>
          <w:iCs w:val="1"/>
          <w:color w:val="auto"/>
        </w:rPr>
        <w:t>-</w:t>
      </w:r>
      <w:r>
        <w:rPr>
          <w:rFonts w:ascii="Arial" w:cs="Arial" w:eastAsia="Arial" w:hAnsi="Arial"/>
          <w:sz w:val="19"/>
          <w:szCs w:val="19"/>
          <w:b w:val="1"/>
          <w:bCs w:val="1"/>
          <w:i w:val="1"/>
          <w:iCs w:val="1"/>
          <w:color w:val="auto"/>
        </w:rPr>
        <w:t xml:space="preserve"> </w:t>
      </w:r>
      <w:r>
        <w:rPr>
          <w:rFonts w:ascii="Times New Roman" w:cs="Times New Roman" w:eastAsia="Times New Roman" w:hAnsi="Times New Roman"/>
          <w:sz w:val="19"/>
          <w:szCs w:val="19"/>
          <w:color w:val="auto"/>
        </w:rPr>
        <w:t>ADAS solutions are responsible for saving lives and must meet very high-performance metrics with extreme levels of efficiency, and pass increasing regulatory oversight. We are a technology leader for computer vision solutions for ADAS, and we have continuously enhanced our leadership position through our ability to meet the extreme performance, accuracy, and cost metrics of our OEM customers. Our products primarily use monocular camera processing that works accurately alone, or together with radar and lidar for redundancy. We have been responsible for many “industry first” launches using monocular vision processing. These include forward collision warning, automatic emergency braking, pedestrian detection, hands-free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 solution, which was launched in late 2021.</w:t>
      </w:r>
    </w:p>
    <w:p>
      <w:pPr>
        <w:spacing w:after="0" w:line="199" w:lineRule="exact"/>
        <w:rPr>
          <w:rFonts w:ascii="Arial" w:cs="Arial" w:eastAsia="Arial" w:hAnsi="Arial"/>
          <w:sz w:val="19"/>
          <w:szCs w:val="19"/>
          <w:color w:val="auto"/>
        </w:rPr>
      </w:pPr>
    </w:p>
    <w:p>
      <w:pPr>
        <w:jc w:val="both"/>
        <w:ind w:firstLine="360"/>
        <w:spacing w:after="0" w:line="238"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We offer solutions for developing and deploying differentiated features on top of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 - </w:t>
      </w:r>
      <w:r>
        <w:rPr>
          <w:rFonts w:ascii="Times New Roman" w:cs="Times New Roman" w:eastAsia="Times New Roman" w:hAnsi="Times New Roman"/>
          <w:sz w:val="20"/>
          <w:szCs w:val="20"/>
          <w:color w:val="auto"/>
        </w:rPr>
        <w:t>Our platform is modular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 enabling our customers to productize our most advanced solutions today and then leverage those investments to launch even more advanced systems in a modular and incremental manner. Our systems are also highly customizable, which allows our customers to benefit from our cutting-edge, verified, and validated core technologies such as computer vision, radar, and lidar processing, Compound AI system architecture (including True Redundancy™), REM™ mapping, and driving policy, while enabling our customers to augment and differentiate their offerings. Customization on top of these core technologies comes primarily through Mobileye DXP, which is a software platform that enables automakers to build from Mobileye’s proven autonomous technology framework to create differentiated products and customized automated driving experiences while supporting faster time-to-market and reducing overall execution risk. Mobileye DXP was designed by separating the universal aspects of driving policy, such as integration with perception, providing safe decision-making actions, and predicting intentions of other road users, from the unique aspects of the driving experience, or “how” the vehicle executes specific scenarios. This approach enables a middle ground between traditional black box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“closed”) and software development kit (SDK)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“open”) strategies, satisfying automakers’ desire to control and differentiate the overall driving experience—including how the vehicle responds to traffic signals, other vehicles on the road, take-way or give-way choices, and more. Additionally, automakers can also set specific response parameters for factors like geography, regulations, road type or weather conditions. DXP supports efficient, successive software updates based on automaker roadmaps, as the safety critical elements, like sensing, environmental perception, and driving policy, remain static.</w:t>
      </w:r>
    </w:p>
    <w:p>
      <w:pPr>
        <w:spacing w:after="0" w:line="228" w:lineRule="exact"/>
        <w:rPr>
          <w:rFonts w:ascii="Arial" w:cs="Arial" w:eastAsia="Arial" w:hAnsi="Arial"/>
          <w:sz w:val="20"/>
          <w:szCs w:val="20"/>
          <w:color w:val="auto"/>
        </w:rPr>
      </w:pPr>
    </w:p>
    <w:p>
      <w:pPr>
        <w:jc w:val="both"/>
        <w:ind w:firstLine="360"/>
        <w:spacing w:after="0" w:line="236"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“Scale by design” approach</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Our technology platform is built to deliver autonomous driving solutions at scale by leveraging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REM™ mapping technology, which allows our solutions to be driven without the limitations of geofencing; our 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cost-efficient consumer AV production at scale in the future.</w:t>
      </w:r>
    </w:p>
    <w:p>
      <w:pPr>
        <w:spacing w:after="0" w:line="215" w:lineRule="exact"/>
        <w:rPr>
          <w:rFonts w:ascii="Arial" w:cs="Arial" w:eastAsia="Arial" w:hAnsi="Arial"/>
          <w:sz w:val="20"/>
          <w:szCs w:val="20"/>
          <w:color w:val="auto"/>
        </w:rPr>
      </w:pPr>
    </w:p>
    <w:p>
      <w:pPr>
        <w:jc w:val="both"/>
        <w:ind w:firstLine="360"/>
        <w:spacing w:after="0" w:line="246"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Autonomous driving-ADAS synergies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The autonomous driving-ADAS interplay, which is borne out of our Compound AI</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architecture (including True Redundancy™),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800"/>
          </w:cols>
          <w:pgMar w:left="540" w:top="1347" w:right="540" w:bottom="0" w:gutter="0" w:footer="0" w:header="0"/>
          <w:type w:val="continuous"/>
        </w:sectPr>
      </w:pPr>
    </w:p>
    <w:bookmarkStart w:id="24" w:name="page25"/>
    <w:bookmarkEnd w:id="24"/>
    <w:p>
      <w:pPr>
        <w:jc w:val="both"/>
        <w:ind w:firstLine="360"/>
        <w:spacing w:after="0" w:line="226" w:lineRule="auto"/>
        <w:tabs>
          <w:tab w:leader="none" w:pos="720" w:val="left"/>
        </w:tabs>
        <w:numPr>
          <w:ilvl w:val="1"/>
          <w:numId w:val="1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Road Experience Management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creates a powerful network effect and long-term competitive advantage - </w:t>
      </w:r>
      <w:r>
        <w:rPr>
          <w:rFonts w:ascii="Times New Roman" w:cs="Times New Roman" w:eastAsia="Times New Roman" w:hAnsi="Times New Roman"/>
          <w:sz w:val="20"/>
          <w:szCs w:val="20"/>
          <w:color w:val="auto"/>
        </w:rPr>
        <w:t>Our REM™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system is a crucial ingredient that we believe allows for: (1) defining a new category of cloud-enhanced ADAS that we call Cloud-Enhanced ADAS™, where information in Mobileye Roadbook™ enhances existing ADAS functions such as lane keeping assist and lane-centering and allows for new functions such as the analysis of behavior patterns in intersections and near traffic signs and lights;</w:t>
      </w:r>
    </w:p>
    <w:p>
      <w:pPr>
        <w:jc w:val="both"/>
        <w:spacing w:after="0" w:line="258" w:lineRule="auto"/>
        <w:tabs>
          <w:tab w:leader="none" w:pos="285"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evolving ADAS to an eyes-on/hands-off point-to-point assisted driving navigation system; and (3) the scale deployment of AV. REM™ is complex, requiring advanced processing at the edge (for creating processed data to be sent to the cloud and for localizing the vehicle at centimeter-level accuracy in Mobileye Roadbook™), and computationally intensive processing in the cloud to build Mobileye Roadbook™ from billions of data packets sent from millions of vehicles</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all automatically. 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REM™ maps are a critical component that supports our SuperVision™ product’s ability to operate across a wide ODD and, therefore, the modular process of expanding this technology to eyes-off/hands-off Chauffeur™ products for a defined ODD. Further, our REM™ maps support our ability to deploy our AMaaS technology in new cities and geographies quickly.</w:t>
      </w:r>
    </w:p>
    <w:p>
      <w:pPr>
        <w:spacing w:after="0" w:line="200" w:lineRule="exact"/>
        <w:rPr>
          <w:rFonts w:ascii="Times New Roman" w:cs="Times New Roman" w:eastAsia="Times New Roman" w:hAnsi="Times New Roman"/>
          <w:sz w:val="19"/>
          <w:szCs w:val="19"/>
          <w:color w:val="auto"/>
        </w:rPr>
      </w:pPr>
    </w:p>
    <w:p>
      <w:pPr>
        <w:jc w:val="both"/>
        <w:ind w:firstLine="359"/>
        <w:spacing w:after="0" w:line="242" w:lineRule="auto"/>
        <w:tabs>
          <w:tab w:leader="none" w:pos="721" w:val="left"/>
        </w:tabs>
        <w:numPr>
          <w:ilvl w:val="1"/>
          <w:numId w:val="1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Data and technology advantage</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Developing effective ADAS technology is technologically complex and requires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hundreds of petabytes of data, which includes tens of millions of clips collected over decades of driving on urban, highway, and arterial roads all over the world that enable us to develop and continuously improve advanced computer vision algorithms to fit road scenarios and use cases that our system encounters. We have developed sophisticated 2D and 3D automatic-labeling methodologies that, together with a team of thousands of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roads driven from over 8 million REM™-enabled vehicles worldwide that we estimate covers over 95% of the approximately 0.8 million miles of motorway, trunk, and primary road types in each of the United States and Europe, respectively, as well as a large majority of all other road types. We apply a series of on-cloud algorithms to build this crowd-sourced data into a high-definition, rapidly updating map that contains a rich variety of information, including road geometry, drivable paths, common speeds, right-of-way, and traffic light-to-lane associations. Our REM™-enabled solutions continuously harvest high-precision data that is analyzed in the cloud, creating a large repository of real-world data from the analysis of tens of millions of miles of road data per day, varying by road types and geography. This data enables us to create robust high-definition maps to support solutions across the product spectrum from Cloud-Enhanced ADAS™ and Mobileye Surround ADAS™ to Mobileye SuperVision™ to Mobileye Chauffeur™ and Mobileye Drive™. These two datasets create powerful network effects as we seek to continually improve our solutions as more vehicles are deployed with our technology.</w:t>
      </w:r>
    </w:p>
    <w:p>
      <w:pPr>
        <w:spacing w:after="0" w:line="217" w:lineRule="exact"/>
        <w:rPr>
          <w:rFonts w:ascii="Arial" w:cs="Arial" w:eastAsia="Arial" w:hAnsi="Arial"/>
          <w:sz w:val="20"/>
          <w:szCs w:val="20"/>
          <w:color w:val="auto"/>
        </w:rPr>
      </w:pPr>
    </w:p>
    <w:p>
      <w:pPr>
        <w:jc w:val="both"/>
        <w:ind w:firstLine="359"/>
        <w:spacing w:after="0" w:line="244" w:lineRule="auto"/>
        <w:tabs>
          <w:tab w:leader="none" w:pos="721" w:val="left"/>
        </w:tabs>
        <w:numPr>
          <w:ilvl w:val="1"/>
          <w:numId w:val="1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RSS: Our Technology Safety Concept for Deploying AV at Scale -</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Responsibility Sensitive Safety (“RSS”), published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2017, is a key component of our safety model, intended to specifically address the regulatory and public debate regarding, and enable the acceptance of, eyes-off/hands-off autonomous solutions. It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eyes-off/hands-off autonomous solutions at scale.</w:t>
      </w:r>
    </w:p>
    <w:p>
      <w:pPr>
        <w:spacing w:after="0" w:line="211" w:lineRule="exact"/>
        <w:rPr>
          <w:rFonts w:ascii="Arial" w:cs="Arial" w:eastAsia="Arial" w:hAnsi="Arial"/>
          <w:sz w:val="20"/>
          <w:szCs w:val="20"/>
          <w:color w:val="auto"/>
        </w:rPr>
      </w:pPr>
    </w:p>
    <w:p>
      <w:pPr>
        <w:jc w:val="both"/>
        <w:ind w:firstLine="358"/>
        <w:spacing w:after="0" w:line="253" w:lineRule="auto"/>
        <w:tabs>
          <w:tab w:leader="none" w:pos="720" w:val="left"/>
        </w:tabs>
        <w:numPr>
          <w:ilvl w:val="1"/>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w:t>
      </w:r>
    </w:p>
    <w:p>
      <w:pPr>
        <w:sectPr>
          <w:pgSz w:w="11880" w:h="15480" w:orient="portrait"/>
          <w:cols w:equalWidth="0" w:num="1">
            <w:col w:w="10800"/>
          </w:cols>
          <w:pgMar w:left="540"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800"/>
          </w:cols>
          <w:pgMar w:left="540" w:top="1362" w:right="540" w:bottom="0" w:gutter="0" w:footer="0" w:header="0"/>
          <w:type w:val="continuous"/>
        </w:sectPr>
      </w:pPr>
    </w:p>
    <w:bookmarkStart w:id="25" w:name="page26"/>
    <w:bookmarkEnd w:id="25"/>
    <w:p>
      <w:pPr>
        <w:jc w:val="both"/>
        <w:ind w:firstLine="360"/>
        <w:spacing w:after="0" w:line="236"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Purpose-built imaging-radar unlocks consumer AV at scale</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have developed software-defined imaging-radar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cutting-edge dynamic range and resolution. Our differentiated 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216" w:lineRule="exact"/>
        <w:rPr>
          <w:rFonts w:ascii="Arial" w:cs="Arial" w:eastAsia="Arial" w:hAnsi="Arial"/>
          <w:sz w:val="20"/>
          <w:szCs w:val="20"/>
          <w:color w:val="auto"/>
        </w:rPr>
      </w:pPr>
    </w:p>
    <w:p>
      <w:pPr>
        <w:jc w:val="both"/>
        <w:ind w:firstLine="360"/>
        <w:spacing w:after="0" w:line="253" w:lineRule="auto"/>
        <w:tabs>
          <w:tab w:leader="none" w:pos="72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Deep, collaborative ecosystem relationships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Our deep global relationships with key partners across the value chain,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Growth Strategies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Key levers of our growth strategy are:</w:t>
      </w:r>
    </w:p>
    <w:p>
      <w:pPr>
        <w:spacing w:after="0" w:line="254" w:lineRule="exact"/>
        <w:rPr>
          <w:sz w:val="20"/>
          <w:szCs w:val="20"/>
          <w:color w:val="auto"/>
        </w:rPr>
      </w:pPr>
    </w:p>
    <w:p>
      <w:pPr>
        <w:jc w:val="both"/>
        <w:ind w:firstLine="360"/>
        <w:spacing w:after="0" w:line="248"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Benefit from regulatory and safety rating changes promoting base ADAS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intend to continue to lead and deliver upon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global 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We believe that our comprehensive stack of solutions and proven success at scale will enable us to further solidify our industry leadership.</w:t>
      </w:r>
    </w:p>
    <w:p>
      <w:pPr>
        <w:spacing w:after="0" w:line="207" w:lineRule="exact"/>
        <w:rPr>
          <w:rFonts w:ascii="Arial" w:cs="Arial" w:eastAsia="Arial" w:hAnsi="Arial"/>
          <w:sz w:val="20"/>
          <w:szCs w:val="20"/>
          <w:color w:val="auto"/>
        </w:rPr>
      </w:pPr>
    </w:p>
    <w:p>
      <w:pPr>
        <w:jc w:val="both"/>
        <w:ind w:firstLine="360"/>
        <w:spacing w:after="0" w:line="229"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Capitalize on Cloud-Enhanced ADAS™ features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have pioneered a cloud-enhanced ADAS solution, which offers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customers using advanced EyeQ™ versions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4 and above) a significant value through our REM™ technology. Our Cloud-Enhanced ADAS™ solution is capable of utilizing our EyeQ™ SoCs and entry level camera technologies to deliver feature enhancements over time. Our premium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features range in complexity from all road-type lane keeping assist and lane centering, to Cross-Junction Assist, to Traffic Jam Assist. We will continue to grow the depth and breadth of our REM™ maps in order to deliver leading ADAS capabilities. In the future, we plan to create revenue streams from our OTA capabilities and REM™ maps through solution upgrades.</w:t>
      </w:r>
    </w:p>
    <w:p>
      <w:pPr>
        <w:spacing w:after="0" w:line="217" w:lineRule="exact"/>
        <w:rPr>
          <w:rFonts w:ascii="Arial" w:cs="Arial" w:eastAsia="Arial" w:hAnsi="Arial"/>
          <w:sz w:val="20"/>
          <w:szCs w:val="20"/>
          <w:color w:val="auto"/>
        </w:rPr>
      </w:pPr>
    </w:p>
    <w:p>
      <w:pPr>
        <w:jc w:val="both"/>
        <w:ind w:firstLine="360"/>
        <w:spacing w:after="0" w:line="243" w:lineRule="auto"/>
        <w:tabs>
          <w:tab w:leader="none" w:pos="721"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Further enhance and drive adoption of our Premium Driver Assist solutions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Our Mobileye Surround ADAS™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SuperVision™ solutions represent the next steps toward next-generation comprehensive eyes-on/hands-off ADAS solutions where incremental safety and the convenience of hands-off driving combine in a compelling package for drivers. Our initial generation of SuperVision™ was based on the EyeQ™5 High system on chip and initially launched with the Geely Group’s premium electric vehicle brand, ZEEKR. After the initial launch, we successfully executed a series of software updates and also achieved a series of production program awards with Volkswagen Group that substantially increased the number of vehicle models in our future launch pipeline. During 2025, we made significant progress in the execution of the second generation of SuperVision™, based on EyeQ™6 High, targeting a number of upcoming vehicle launches with VW Group brands Porsche and Audi. Our validated SuperVision™ technology can serve as the foundation to enable eyes-off/hands-off capabilities in a modular way. We believe that Mobileye SuperVision™ has the potential to transform ADAS at its core, potentially leading to adoption driven by regulatory requirements and safety ratings of a Mobileye SuperVision™-like solution in its own category, similar to how safety-ratings and regulation have driven the adoption of base ADAS beginning in 2014.</w:t>
      </w:r>
    </w:p>
    <w:p>
      <w:pPr>
        <w:spacing w:after="0" w:line="205"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19"/>
          <w:szCs w:val="19"/>
          <w:color w:val="auto"/>
        </w:rPr>
        <w:t>Additionally, we added a new innovative Premium ADAS solution, Mobileye Surround ADAS™, which utilizes the SuperVision™ software stack with a down-scaled sensor suite and an ECU that includes one EyeQ™6 High SoC. The solution will enable eyes-on/hands- off driving on highway road types (as compared to SuperVision™ which is expected to operate on various ODDs). Mobileye Surround ADAS™ will provide OEMs with higher levels of autonomy than Cloud-Enhanced Driver Assist™, which we believe will expand the application and adoption of our products. In addition to the safety features and eyes-on/hands-off capability, this product can also result in the consolidation of several functions, including automated parking and driver / occupant monitoring, onto a single ECU that results in a lower-cost solution for OEMs as compared to first-generation Level 2+ systems currently on the market. As a result, we are seeing increasing traction to equip this type of system as standard-fit across wide-ranging vehicle price and model segments.</w:t>
      </w:r>
    </w:p>
    <w:p>
      <w:pPr>
        <w:sectPr>
          <w:pgSz w:w="11880" w:h="15480" w:orient="portrait"/>
          <w:cols w:equalWidth="0" w:num="1">
            <w:col w:w="10800"/>
          </w:cols>
          <w:pgMar w:left="540"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800"/>
          </w:cols>
          <w:pgMar w:left="540" w:top="1362" w:right="540" w:bottom="0" w:gutter="0" w:footer="0" w:header="0"/>
          <w:type w:val="continuous"/>
        </w:sectPr>
      </w:pPr>
    </w:p>
    <w:bookmarkStart w:id="26" w:name="page27"/>
    <w:bookmarkEnd w:id="26"/>
    <w:p>
      <w:pPr>
        <w:ind w:firstLine="360"/>
        <w:spacing w:after="0" w:line="280" w:lineRule="auto"/>
        <w:rPr>
          <w:sz w:val="20"/>
          <w:szCs w:val="20"/>
          <w:color w:val="auto"/>
        </w:rPr>
      </w:pPr>
      <w:r>
        <w:rPr>
          <w:rFonts w:ascii="Times New Roman" w:cs="Times New Roman" w:eastAsia="Times New Roman" w:hAnsi="Times New Roman"/>
          <w:sz w:val="20"/>
          <w:szCs w:val="20"/>
          <w:color w:val="auto"/>
        </w:rPr>
        <w:t>Our Premium Driver Assist offerings are expected to be available with DXP, which will enable OEM customers to deploy their own internally-developed software on our EyeQ™ SoCs while benefiting from our industry-leading technology platform.</w:t>
      </w:r>
    </w:p>
    <w:p>
      <w:pPr>
        <w:spacing w:after="0" w:line="179" w:lineRule="exact"/>
        <w:rPr>
          <w:sz w:val="20"/>
          <w:szCs w:val="20"/>
          <w:color w:val="auto"/>
        </w:rPr>
      </w:pPr>
    </w:p>
    <w:p>
      <w:pPr>
        <w:jc w:val="both"/>
        <w:ind w:firstLine="360"/>
        <w:spacing w:after="0" w:line="257" w:lineRule="auto"/>
        <w:tabs>
          <w:tab w:leader="none" w:pos="720" w:val="left"/>
        </w:tabs>
        <w:numPr>
          <w:ilvl w:val="0"/>
          <w:numId w:val="20"/>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Innovate and commercialize our next-generation autonomous driving solutions</w:t>
      </w:r>
      <w:r>
        <w:rPr>
          <w:rFonts w:ascii="Arial" w:cs="Arial" w:eastAsia="Arial" w:hAnsi="Arial"/>
          <w:sz w:val="19"/>
          <w:szCs w:val="19"/>
          <w:b w:val="1"/>
          <w:bCs w:val="1"/>
          <w:i w:val="1"/>
          <w:iCs w:val="1"/>
          <w:color w:val="auto"/>
        </w:rPr>
        <w:t xml:space="preserve"> </w:t>
      </w:r>
      <w:r>
        <w:rPr>
          <w:rFonts w:ascii="Times New Roman" w:cs="Times New Roman" w:eastAsia="Times New Roman" w:hAnsi="Times New Roman"/>
          <w:sz w:val="19"/>
          <w:szCs w:val="19"/>
          <w:b w:val="1"/>
          <w:bCs w:val="1"/>
          <w:i w:val="1"/>
          <w:iCs w:val="1"/>
          <w:color w:val="auto"/>
        </w:rPr>
        <w:t>-</w:t>
      </w:r>
      <w:r>
        <w:rPr>
          <w:rFonts w:ascii="Arial" w:cs="Arial" w:eastAsia="Arial" w:hAnsi="Arial"/>
          <w:sz w:val="19"/>
          <w:szCs w:val="19"/>
          <w:b w:val="1"/>
          <w:bCs w:val="1"/>
          <w:i w:val="1"/>
          <w:iCs w:val="1"/>
          <w:color w:val="auto"/>
        </w:rPr>
        <w:t xml:space="preserve"> </w:t>
      </w:r>
      <w:r>
        <w:rPr>
          <w:rFonts w:ascii="Times New Roman" w:cs="Times New Roman" w:eastAsia="Times New Roman" w:hAnsi="Times New Roman"/>
          <w:sz w:val="19"/>
          <w:szCs w:val="19"/>
          <w:color w:val="auto"/>
        </w:rPr>
        <w:t>Propelled by our next generation EyeQ™</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SoC, our surround computer vision Mobileye SuperVision™ solution, productization of software-defined imaging radars and our Compound AI system architecture including True Redundancy™, we believe that we will be positioned to deliver an autonomous driving solution that can enable the mass adoption of AV. We plan to continue to develop innovative and cost-optimized solutions to deliver comprehensive capabilities for mass market adoption to our customers. We believe the introduction of our Premium ADAS capabilities with our launched Mobileye SuperVision™ solution, which can be scaled to a variety of Mobileye Chauffeur™ consumer AV solutions, and our eyes-off/hands-off/no driver capabilities with Mobileye Drive™ will help us continue to provide our customers with innovative solutions and enable further growth for us. The favorable view of Chauffeur™ eyes-off technology by automakers is based on two key factors: 1) Chauffeur™ adds “buying your time back” as an additional value proposition on top of the safety and convenience benefits of SuperVision™; and 2) the sharing of tech building blocks between SuperVision™ and Chauffeur™ creates a scalable bridge from one to the other, significantly lowering the investment needs and raising the probability of success for a consumer AV product. We plan to continue to build and enhance our full-stack technology platform in order to offer an affordable, time-saving and much safer driving experience, which we believe will propel the mass-market adoption of autonomous driving solutions.</w:t>
      </w:r>
    </w:p>
    <w:p>
      <w:pPr>
        <w:spacing w:after="0" w:line="202" w:lineRule="exact"/>
        <w:rPr>
          <w:rFonts w:ascii="Arial" w:cs="Arial" w:eastAsia="Arial" w:hAnsi="Arial"/>
          <w:sz w:val="19"/>
          <w:szCs w:val="19"/>
          <w:color w:val="auto"/>
        </w:rPr>
      </w:pPr>
    </w:p>
    <w:p>
      <w:pPr>
        <w:jc w:val="both"/>
        <w:ind w:firstLine="360"/>
        <w:spacing w:after="0" w:line="245"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Utilize our flexible platform to expand our collaboration with our OEM customers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have designed our EyeQ™5 SoCs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subsequent generations to be increasingly customizable by our OEM customers, supported by DXP. DXP enables automakers to develop and customize the driving experience while utilizing Mobileye’s proven core technology perception and driving software - allowing our customers to create unique products from our technology while accelerating time-to-market and reducing overall execution risk. We plan to continue to develop our platform to offer our customers the ability to seamlessly address the additional capabilities and features that they demand by customizing their offerings on top of our solutions. This collaborative addition to our platform offers a mutually beneficial middle ground between open and closed systems, which will allow OEMs to innovate on top of our platform, augmenting and differentiating their offerings, while benefiting from our cutting-edge, verified and validated core technologies such as computer vision, true redundancy perception, REM™ mapping and driving policy.</w:t>
      </w:r>
    </w:p>
    <w:p>
      <w:pPr>
        <w:spacing w:after="0" w:line="211" w:lineRule="exact"/>
        <w:rPr>
          <w:rFonts w:ascii="Arial" w:cs="Arial" w:eastAsia="Arial" w:hAnsi="Arial"/>
          <w:sz w:val="20"/>
          <w:szCs w:val="20"/>
          <w:color w:val="auto"/>
        </w:rPr>
      </w:pPr>
    </w:p>
    <w:p>
      <w:pPr>
        <w:jc w:val="both"/>
        <w:ind w:firstLine="360"/>
        <w:spacing w:after="0" w:line="247" w:lineRule="auto"/>
        <w:tabs>
          <w:tab w:leader="none" w:pos="721"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Capitalize on our active sensor technology</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intend to continue to develop and commercialize next-generation active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sensors such as software-defined imaging radars, which leverage our AI capabilities. Our software-defined imaging radars are designed to form a standalone “sensing state” layer which can be utilized as a sensing layer on its own, enabling 360-degree coverage, replacing multiple lidar sensors and requiring only a single front-facing lidar. We believe enhancing our sensing and perception technology leadership will further strengthen our competitive position and allow us to offer additional differentiated and cost-effective solutions to our customers.</w:t>
      </w:r>
    </w:p>
    <w:p>
      <w:pPr>
        <w:spacing w:after="0" w:line="212" w:lineRule="exact"/>
        <w:rPr>
          <w:rFonts w:ascii="Arial" w:cs="Arial" w:eastAsia="Arial" w:hAnsi="Arial"/>
          <w:sz w:val="20"/>
          <w:szCs w:val="20"/>
          <w:color w:val="auto"/>
        </w:rPr>
      </w:pPr>
    </w:p>
    <w:p>
      <w:pPr>
        <w:jc w:val="both"/>
        <w:ind w:firstLine="360"/>
        <w:spacing w:after="0" w:line="237"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Accelerate our roadmap of next generation proprietary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believe that we have created the standard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processors focused on Compound AI systems that control perception, including computer vision. Our EyeQ™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EyeQ™6 High will be built to address the needs of eyes-on/hands-off and eyes-off/hands-off solutions in a scalable way. Our architecture is highly scalable and is designed to support the increasing and computationally intensive demands of future autonomous driving applications.</w:t>
      </w:r>
    </w:p>
    <w:p>
      <w:pPr>
        <w:spacing w:after="0" w:line="217" w:lineRule="exact"/>
        <w:rPr>
          <w:rFonts w:ascii="Arial" w:cs="Arial" w:eastAsia="Arial" w:hAnsi="Arial"/>
          <w:sz w:val="20"/>
          <w:szCs w:val="20"/>
          <w:color w:val="auto"/>
        </w:rPr>
      </w:pPr>
    </w:p>
    <w:p>
      <w:pPr>
        <w:jc w:val="both"/>
        <w:ind w:firstLine="360"/>
        <w:spacing w:after="0" w:line="253"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Utilize our substantial and growing dataset to continuously improve the intelligence and robustness of our solutions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continue to grow the depth and breadth of our substantial dataset. We believe that our ability to use this data to create, maintain, and improve our Compound AI systems and high-precision REM™ maps through our REM™ mapping system will enable us to further improve our ADAS offerings and position us well for autonomous driving.</w:t>
      </w:r>
    </w:p>
    <w:p>
      <w:pPr>
        <w:spacing w:after="0" w:line="204" w:lineRule="exact"/>
        <w:rPr>
          <w:rFonts w:ascii="Arial" w:cs="Arial" w:eastAsia="Arial" w:hAnsi="Arial"/>
          <w:sz w:val="20"/>
          <w:szCs w:val="20"/>
          <w:color w:val="auto"/>
        </w:rPr>
      </w:pPr>
    </w:p>
    <w:p>
      <w:pPr>
        <w:jc w:val="both"/>
        <w:ind w:firstLine="359"/>
        <w:spacing w:after="0" w:line="247"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Establish our Eyes-Off/Hands-Off autonomous and AMaaS solutions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believe that Mobileye Chauffeur™ and Mobileye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Drive™ will unlock new use cases and end-consumers for our OEM and fleet-owner customers, which will be applicable for both the AMaaS and consumer AV markets. We expect, in collaboration with our customers, to add additional cities to our AMaaS offerings to showcase our industry-leading technology and to help accelerate the pace of AV adoption. We also expect to continue to invest in our ecosystem partnerships with OEMs and transportation network companies in order to foster close collaboration and further commercialize our autonomous technologies.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800"/>
          </w:cols>
          <w:pgMar w:left="540" w:top="1347" w:right="540" w:bottom="0" w:gutter="0" w:footer="0" w:header="0"/>
          <w:type w:val="continuous"/>
        </w:sectPr>
      </w:pPr>
    </w:p>
    <w:bookmarkStart w:id="27" w:name="page28"/>
    <w:bookmarkEnd w:id="27"/>
    <w:p>
      <w:pPr>
        <w:jc w:val="both"/>
        <w:ind w:firstLine="360"/>
        <w:spacing w:after="0" w:line="247"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Benefit from opportunities in large emerging markets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intend to continue to invest in customer relationships in emerging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markets to accelerate ADAS and autonomous driving adoption, particularly in India. Mahindra &amp; Mahindra, one of India’s largest automakers, has launched the first vehicle made locally to offer ADAS capabilities, which is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powered by our EyeQ™ SoC. Its accessible price point compared to imported alternatives expands the ADAS reach to a broader range of consumers in one of the most populous countries in the world. We believe our long-term partnerships with emerging market OEMs position our solutions at the forefront of continued innovation and market growth.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customers include leading OEMs, which we primarily sell to through Tier 1 automotive suppliers that implement our product into automotive vehicles, as well as fleet owners and operators.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OEMs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market position has remained strong across a broad set of customer relationships for many years. We are actively working with more than 50 OEMs worldwide on the implementation of our ADAS solutions.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Tier 1 Automotive Suppliers</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supply certain OEMs with the EyeQ™ platform through our arrangements with automotive system integrators, known as Tier 1 automotive suppliers, which are direct suppliers to OEMs. Our Tier 1 customers include Aptiv, Magna, Valeo, ZF, Imotion, HL Klemov, Mobis and others.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Autonomous Mobility-as-a-Service</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along with commercialization partners such as MOIA and Holon, expect to sell or deploy Mobileye Drive™-equipped self-driving vehicles to a range of transportation network companies, public transit operators, other mobility service companies and vehicle OEMs which intend to operate a variety of services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consumer- facing AMaaS, transportation on demand, delivery). These partners could produce vehicles themselves and integrate Mobileye Drive™ with our assistance.</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Partnerships with STMicroelectronics and Intel</w:t>
      </w:r>
    </w:p>
    <w:p>
      <w:pPr>
        <w:spacing w:after="0" w:line="24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Our long-standing relationship with STMicroelectronics N.V. (“STMicroelectronics”) continues to strengthen with the complexity of our solutions. Our partnership includes close collaboration in product development, design, and manufacturing. For example, we have co-developed six EyeQ™ generations, including the EyeQ™6. We also benefit from STMicroelectronics’ advanced packaging and testing capabilities and automotive expertise. Together with STMicroelectronics, we are working on developing and productizing next-generation automotive- grade technology for high volume automotive applications, which we believe will accelerate the pace of autonomous innovation and market adoption.</w:t>
      </w:r>
    </w:p>
    <w:p>
      <w:pPr>
        <w:spacing w:after="0" w:line="19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close partnership with Intel exists on multiple fronts. As a result of our relationship with Intel, we have access to certain technologies that support design and development of our software-defined radar, including Intel’s mmWave technologies. Intel’s strength in government affairs and policy development around the world will continue to be of significant value to us as we collaborate with regulators who are preparing frameworks to enable commercial deployment of AVs.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products are designed and manufactured specifically for automotive applications after extensive validation tests under stringent automotive environmental conditions.</w:t>
      </w:r>
    </w:p>
    <w:p>
      <w:pPr>
        <w:spacing w:after="0" w:line="16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design the front-end and STMicroelectronics designs the back-end package. These design processes also include testing, quality assurance, customer care, failure analysis and ensuring compliance with manufacturing standards. All of our EyeQ™ integrated circuits are manufactured by or outsourced to a partner foundry by STMicroelectronics.</w:t>
      </w:r>
    </w:p>
    <w:p>
      <w:pPr>
        <w:sectPr>
          <w:pgSz w:w="11880" w:h="15480" w:orient="portrait"/>
          <w:cols w:equalWidth="0" w:num="1">
            <w:col w:w="10800"/>
          </w:cols>
          <w:pgMar w:left="540" w:top="1362" w:right="54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800"/>
          </w:cols>
          <w:pgMar w:left="540" w:top="1362" w:right="540" w:bottom="0" w:gutter="0" w:footer="0" w:header="0"/>
          <w:type w:val="continuous"/>
        </w:sectPr>
      </w:pPr>
    </w:p>
    <w:bookmarkStart w:id="28" w:name="page29"/>
    <w:bookmarkEnd w:id="28"/>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have also established a relationship with Quanta Computer, Taiwan Semiconductor Manufacturing Company (“TSMC”) and other suppliers to develop and assemble our ECUs including our reference design for our Mobileye SuperVision™ solution, which includes our EyeQ™5 and EyeQ™6 SoCs from STMicroelectronics.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Regulation and Ratings</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91"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2025, Euro NCAP approved and announced significant updates to its protocols that will take effect in 2026, reflecting evolving expectations for ADAS performance and human-machine interface considerations. We believe that this and such additional future evolution of standards will drive the need for additional sensors and compute which our Mobileye Surround ADAS™ solution is strategically positioned to support. In the United States, ADAS regulation continues to make large strides. For example, the INVEST in America Act, which was passed in late 2021, requires the U.S. Department of Transportation to issue requirements and standards regarding vehicle safety technologies. In addition, NHTSA has adopted a new FMVSS requiring automatic emergency braking systems on new light vehicles, and in early 2025 the U.S. Department of Transportation temporarily delayed the effective date of a related final rule as part of a regulatory review process.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20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At the federal level in the United States, the safety of motor vehicles is regulated by the U.S. Department of Transportation through two federal Agencies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201"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201"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In Europe, certain vehicle safety regulations apply to self-driving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800"/>
          </w:cols>
          <w:pgMar w:left="540" w:top="1347" w:right="540" w:bottom="0" w:gutter="0" w:footer="0" w:header="0"/>
          <w:type w:val="continuous"/>
        </w:sectPr>
      </w:pPr>
    </w:p>
    <w:bookmarkStart w:id="29" w:name="page30"/>
    <w:bookmarkEnd w:id="29"/>
    <w:p>
      <w:pPr>
        <w:ind w:left="361"/>
        <w:spacing w:after="0"/>
        <w:rPr>
          <w:sz w:val="20"/>
          <w:szCs w:val="20"/>
          <w:color w:val="auto"/>
        </w:rPr>
      </w:pPr>
      <w:r>
        <w:rPr>
          <w:rFonts w:ascii="Times New Roman" w:cs="Times New Roman" w:eastAsia="Times New Roman" w:hAnsi="Times New Roman"/>
          <w:sz w:val="20"/>
          <w:szCs w:val="20"/>
          <w:b w:val="1"/>
          <w:bCs w:val="1"/>
          <w:color w:val="auto"/>
        </w:rPr>
        <w:t>Trade Restrictions and Export Control</w:t>
      </w:r>
    </w:p>
    <w:p>
      <w:pPr>
        <w:spacing w:after="0" w:line="242" w:lineRule="exact"/>
        <w:rPr>
          <w:sz w:val="20"/>
          <w:szCs w:val="20"/>
          <w:color w:val="auto"/>
        </w:rPr>
      </w:pPr>
    </w:p>
    <w:p>
      <w:pPr>
        <w:jc w:val="both"/>
        <w:ind w:left="1" w:firstLine="360"/>
        <w:spacing w:after="0" w:line="253" w:lineRule="auto"/>
        <w:rPr>
          <w:sz w:val="20"/>
          <w:szCs w:val="20"/>
          <w:color w:val="auto"/>
        </w:rPr>
      </w:pPr>
      <w:r>
        <w:rPr>
          <w:rFonts w:ascii="Times New Roman" w:cs="Times New Roman" w:eastAsia="Times New Roman" w:hAnsi="Times New Roman"/>
          <w:sz w:val="20"/>
          <w:szCs w:val="20"/>
          <w:color w:val="auto"/>
        </w:rPr>
        <w:t>In order for us to operate in international markets, we must comply with relevant legal regulations regarding autonomous vehicles as well as technology export control, data security, cybersecurity and other related regulations that apply to global technology companies. We have developed robust compliance processes and procedures related to these regulatory requirements and believe that we are in compliance with such requirements.</w:t>
      </w:r>
    </w:p>
    <w:p>
      <w:pPr>
        <w:spacing w:after="0" w:line="191" w:lineRule="exact"/>
        <w:rPr>
          <w:sz w:val="20"/>
          <w:szCs w:val="20"/>
          <w:color w:val="auto"/>
        </w:rPr>
      </w:pPr>
    </w:p>
    <w:p>
      <w:pPr>
        <w:jc w:val="both"/>
        <w:ind w:left="1" w:firstLine="361"/>
        <w:spacing w:after="0" w:line="252" w:lineRule="auto"/>
        <w:rPr>
          <w:sz w:val="20"/>
          <w:szCs w:val="20"/>
          <w:color w:val="auto"/>
        </w:rPr>
      </w:pPr>
      <w:r>
        <w:rPr>
          <w:rFonts w:ascii="Times New Roman" w:cs="Times New Roman" w:eastAsia="Times New Roman" w:hAnsi="Times New Roman"/>
          <w:sz w:val="19"/>
          <w:szCs w:val="19"/>
          <w:color w:val="auto"/>
        </w:rPr>
        <w:t>On October 7, 2022, the U.S. Department of Commerce’s Bureau of Industry and Security (“BIS”) announced restrictions on the export of advanced computing integrated circuits and related items to China and certain other jurisdictions. Based on our existing customer base and the export classifications for our existing chip products, we do not believe that these U.S. export controls will have a material impact on our sales of these products to our existing customers (including those in China), however this assessment remains subject to ongoing technical reassessment against evolving regulatory thresholds and may change for future generations of our chip products. In 2023, BIS added to these restrictions and the U.S. also worked with Japan and the Netherlands to align on additional restrictions on semiconductor manufacturing equipment. In January 2025, BIS announced additional controls on advanced computing chips and certain closed AI model weights. These controls were withdrawn before taking effect, however future AI oversight regulations could materially affect our business operations. On January 14, 2025, BIS announced the adoption of a final rule prohibiting certain transactions involving the sale or import of (i) connected vehicles integrating “Vehicle Connectivity System” hardware, and</w:t>
      </w:r>
    </w:p>
    <w:p>
      <w:pPr>
        <w:spacing w:after="0" w:line="6" w:lineRule="exact"/>
        <w:rPr>
          <w:sz w:val="20"/>
          <w:szCs w:val="20"/>
          <w:color w:val="auto"/>
        </w:rPr>
      </w:pPr>
    </w:p>
    <w:p>
      <w:pPr>
        <w:jc w:val="both"/>
        <w:ind w:left="1" w:hanging="1"/>
        <w:spacing w:after="0" w:line="243" w:lineRule="auto"/>
        <w:tabs>
          <w:tab w:leader="none" w:pos="29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connected vehicles integrating “Automated Driving System” or “Vehicle Connectivity System” software, or those components sold separately, in each case with a sufficient nexus to the People’s Republic of China or Russia. The software provisions of the final rule and the prohibition on sales of connected vehicles will take effect for model 2027 and the hardware-related prohibitions will take effect in model year 2030, or January 1, 2029 for units without a model year. We have developed and implemented compliance processes for these new rules and expect to be compliant when these restrictions are effective. In addition, recent regulatory actions by the United States and the Netherlands have impacted Nexperia, a global manufacturer of essential semiconductor components, by restricting access to certain technologies and limiting cross-border transfers of semiconductor products. We have implemented supply chain redundancy strategies and diversified our Tier 2 semiconductor sourcing to address potential impacts to our business and operations and support long-term operational resilience. Import and Export control regulations adopted by the United States and other jurisdictions are subject to change and interpretation, and it is possible that future regulatory actions by BIS impacting U.S. imports and exports of integrated circuits as well as certain software and hardware components used in our systems and related items could have a material impact on our business operations.</w:t>
      </w:r>
    </w:p>
    <w:p>
      <w:pPr>
        <w:spacing w:after="0" w:line="203"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20"/>
          <w:szCs w:val="20"/>
          <w:b w:val="1"/>
          <w:bCs w:val="1"/>
          <w:color w:val="auto"/>
        </w:rPr>
        <w:t>Data Privacy</w:t>
      </w:r>
    </w:p>
    <w:p>
      <w:pPr>
        <w:spacing w:after="0" w:line="244" w:lineRule="exact"/>
        <w:rPr>
          <w:sz w:val="20"/>
          <w:szCs w:val="20"/>
          <w:color w:val="auto"/>
        </w:rPr>
      </w:pPr>
    </w:p>
    <w:p>
      <w:pPr>
        <w:jc w:val="both"/>
        <w:ind w:left="1" w:firstLine="361"/>
        <w:spacing w:after="0" w:line="233" w:lineRule="exact"/>
        <w:rPr>
          <w:sz w:val="20"/>
          <w:szCs w:val="20"/>
          <w:color w:val="auto"/>
        </w:rPr>
      </w:pPr>
      <w:r>
        <w:rPr>
          <w:rFonts w:ascii="Times New Roman" w:cs="Times New Roman" w:eastAsia="Times New Roman" w:hAnsi="Times New Roman"/>
          <w:sz w:val="20"/>
          <w:szCs w:val="20"/>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and sensors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As we work to integrate in</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cabin sensing technologies, including camera</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based driver monitoring and occupant monitoring systems, we may collect sensitive personal information, such as biometric identifiers, gaze patterns, facial features, behavioral attributes, and, in some configurations, audio or physiological indicators. This may increase the volume and sensitivity of data we process, and may subject us to heightened compliance obligations.</w:t>
      </w:r>
    </w:p>
    <w:p>
      <w:pPr>
        <w:spacing w:after="0" w:line="209" w:lineRule="exact"/>
        <w:rPr>
          <w:sz w:val="20"/>
          <w:szCs w:val="20"/>
          <w:color w:val="auto"/>
        </w:rPr>
      </w:pPr>
    </w:p>
    <w:p>
      <w:pPr>
        <w:jc w:val="both"/>
        <w:ind w:left="1" w:firstLine="361"/>
        <w:spacing w:after="0" w:line="245" w:lineRule="auto"/>
        <w:rPr>
          <w:sz w:val="20"/>
          <w:szCs w:val="20"/>
          <w:color w:val="auto"/>
        </w:rPr>
      </w:pPr>
      <w:r>
        <w:rPr>
          <w:rFonts w:ascii="Times New Roman" w:cs="Times New Roman" w:eastAsia="Times New Roman" w:hAnsi="Times New Roman"/>
          <w:sz w:val="20"/>
          <w:szCs w:val="20"/>
          <w:color w:val="auto"/>
        </w:rPr>
        <w:t>We anticipate that our collection of such personal information may increase with the growing introduction of our AMaaS and robotaxi solutions, and our integration of Moovit, which may provide us with access to personal information of users. Our data-collection processes implement strict methodologies to comply with data protection and privacy laws, including the EU General Data Protection Regulation (the “GDPR”, the UK General Data Protection Regulation, and U.S. federal and state laws, including the California Consumer Privacy Act of 2018 (the “CCPA”), as amended by the California Privacy Rights Act of 2020 (the “CPRA”). In addition, the EU Artificial Intelligence Act (“EU AI Act”) entered into force in 2024 and is being applied in a phased manner through 2025 and 2026. Certain AI systems used in the context of autonomous driving, mobility, and large-scale monitoring of public spaces may be classified as high-risk AI systems, triggering additional obligations related to data governance, transparency, human oversight, risk management, and post-market monitoring.</w:t>
      </w:r>
    </w:p>
    <w:p>
      <w:pPr>
        <w:sectPr>
          <w:pgSz w:w="11880" w:h="15480" w:orient="portrait"/>
          <w:cols w:equalWidth="0" w:num="1">
            <w:col w:w="10801"/>
          </w:cols>
          <w:pgMar w:left="539"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801"/>
          </w:cols>
          <w:pgMar w:left="539" w:top="1345" w:right="540" w:bottom="0" w:gutter="0" w:footer="0" w:header="0"/>
          <w:type w:val="continuous"/>
        </w:sectPr>
      </w:pPr>
    </w:p>
    <w:bookmarkStart w:id="30" w:name="page31"/>
    <w:bookmarkEnd w:id="30"/>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Israel and other foreign jurisdictions as well as contractual obligations, regarding data privacy, protection, and security.</w:t>
      </w:r>
    </w:p>
    <w:p>
      <w:pPr>
        <w:spacing w:after="0" w:line="183" w:lineRule="exact"/>
        <w:rPr>
          <w:sz w:val="20"/>
          <w:szCs w:val="20"/>
          <w:color w:val="auto"/>
        </w:rPr>
      </w:pPr>
    </w:p>
    <w:p>
      <w:pPr>
        <w:jc w:val="both"/>
        <w:ind w:firstLine="361"/>
        <w:spacing w:after="0" w:line="232" w:lineRule="exact"/>
        <w:rPr>
          <w:sz w:val="20"/>
          <w:szCs w:val="20"/>
          <w:color w:val="auto"/>
        </w:rPr>
      </w:pPr>
      <w:r>
        <w:rPr>
          <w:rFonts w:ascii="Times New Roman" w:cs="Times New Roman" w:eastAsia="Times New Roman" w:hAnsi="Times New Roman"/>
          <w:sz w:val="20"/>
          <w:szCs w:val="20"/>
          <w:color w:val="auto"/>
        </w:rPr>
        <w:t>The scope and interpretation of the laws and regulations that are or may be applicable to us are often uncertain and may be conflicting, particularly with respect to foreign laws. We are subject to the GDPR, which became effective in May 2018. EU member states have enacted certain implementing legislation that adds to and/or further interprets the GDPR requirements. The GDPR together with national legislation, regulations and guidelines of the EU member states governing the processing of personal data, impose strict obligations and restrictions on the ability to collect, use, retain, protect, disclose, transfer, and otherwise process personal data with respect to EU data subjects. In particular, the GDPR includes obligations and restrictions concerning the consent and rights of individuals to whom the personal data relates, the transfer of personal data out of the EEA, security breach notifications and the security and confidentiality of personal data. We are also subject to the UK General Data Protection Regulation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version of the GDPR as implemented into UK law), exposing us to two parallel regimes with potentially divergent interpretations and enforcement actions for certain violations. While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that EC adequacy decision was originally subject to a sunset clause set to expire on June 27, 2025, but was subsequently extended for an additional six</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year term with a new sunset date of December 27, 2031. This adequacy decision may be revoked in the future by the European Commission if the UK data protection regime is reformed in ways that deviate substantially from the GDPR. Other countries have enacted or are considering enacting similar cross-border data transfer rules or data localization requirements.</w:t>
      </w:r>
    </w:p>
    <w:p>
      <w:pPr>
        <w:spacing w:after="0" w:line="211" w:lineRule="exact"/>
        <w:rPr>
          <w:sz w:val="20"/>
          <w:szCs w:val="20"/>
          <w:color w:val="auto"/>
        </w:rPr>
      </w:pPr>
    </w:p>
    <w:p>
      <w:pPr>
        <w:jc w:val="both"/>
        <w:ind w:firstLine="361"/>
        <w:spacing w:after="0" w:line="257" w:lineRule="auto"/>
        <w:rPr>
          <w:sz w:val="20"/>
          <w:szCs w:val="20"/>
          <w:color w:val="auto"/>
        </w:rPr>
      </w:pPr>
      <w:r>
        <w:rPr>
          <w:rFonts w:ascii="Times New Roman" w:cs="Times New Roman" w:eastAsia="Times New Roman" w:hAnsi="Times New Roman"/>
          <w:sz w:val="19"/>
          <w:szCs w:val="19"/>
          <w:color w:val="auto"/>
        </w:rPr>
        <w:t>Additionally, U.S. state governments continue to enact new data protection and privacy laws and regulations since 2018, including California, Colorado, Connecticut, Delaware, Iowa, Texas, Utah, Virginia and many others. These new state laws and regulations may impact our business practices, including limiting our ability to use clips for internal development and validation purposes. Several U.S. state laws impose heightened restrictions on the processing of sensitive personal data, including precise geolocation data and biometric identifiers, and provide consumers with opt-out rights from certain automated decision -making and profiling activities. Federal and state laws and regulations are changing rapidly and new federal data protection and privacy laws remain under discussion, to which we would become subject if any such laws were enacted. Compliance with these federal and state data protection and privacy laws and regulations, and other similar federal or state laws and regulations that may be enacted in the future, may require us to put in place additional mechanisms to comply with such laws and regulations which could cause us to incur substantial costs or require us to change our business practices, including our data processing practices, in a manner adverse to our business. Moreover, any failure to comply with such federal and state laws and regulations could result in, among other things, regulatory or government investigations, monetary penalties or fines, litigation (including civil claims, such as representative actions and other class action-type litigation), and orders to cease, modify or change our business practices, including our data processing practices.</w:t>
      </w:r>
    </w:p>
    <w:p>
      <w:pPr>
        <w:spacing w:after="0" w:line="18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In China, the Cyber Security Law (as amended in 2026) reaffirms the basic principles and requirements specified in other existing laws and regulations on personal information protection, such as the requirements on the collection, use, processing, storage, and disclosure of personal information. China has implemented additional comprehensive data protection and cybersecurity laws, including the PRC Data Security Law, the PRC Personal Information Protection Law (PIPL), the PRC Network Data Security Management Regulations (2025) and the Automotive Data Export Security Guidelines (2026), which significantly expand compliance obligations. Under these laws and related regulations, organizations may be subject to enhanced requirements regarding lawful processing, data localization in certain circumstances, government security assessments or other approvals for specific processing activities or cross-border data transfers, and restrictions on transfers of personal information and certain automotive data outside of China, with broad enforcement authority and potentially significant penalties for non-compliance.</w:t>
      </w:r>
    </w:p>
    <w:p>
      <w:pPr>
        <w:spacing w:after="0" w:line="197"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 Israel, we are subject to the Israeli Privacy Protection Law, 5741-1981 (the “PPL”), and the regulations promulgated thereunder, including the Israeli Privacy Protection Regulations (Data Security), 5777-2017, which impose detailed requirements regarding the processing, transfer, and safeguarding of personal data, and additional regulations governing exercising of privacy rights, cross-border data transfers, import of personal data from the EU and so forth. Similar to the UK, the European Commission has issued an adequacy decision in respect of Israel’s privacy laws in 2011, enabling data transfers from EU member states to Israel without additional contractual burden, and currently, without expiry term.</w:t>
      </w:r>
    </w:p>
    <w:p>
      <w:pPr>
        <w:spacing w:after="0" w:line="194"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The Israeli Privacy Protection Authority (the “PPA”), acting as the supervisory authority in respect of Israeli privacy laws, has from time to time issued guidance which serves as complementary compliance requirements on controllers and processors such as the Company. On August 14, 2025, the most significant amendment to the PPL (“Amendment 13”) took effect, which significantly increased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800"/>
          </w:cols>
          <w:pgMar w:left="540" w:top="1347" w:right="540" w:bottom="0" w:gutter="0" w:footer="0" w:header="0"/>
          <w:type w:val="continuous"/>
        </w:sectPr>
      </w:pPr>
    </w:p>
    <w:bookmarkStart w:id="31" w:name="page32"/>
    <w:bookmarkEnd w:id="31"/>
    <w:p>
      <w:pPr>
        <w:jc w:val="both"/>
        <w:spacing w:after="0" w:line="248" w:lineRule="auto"/>
        <w:rPr>
          <w:sz w:val="20"/>
          <w:szCs w:val="20"/>
          <w:color w:val="auto"/>
        </w:rPr>
      </w:pPr>
      <w:r>
        <w:rPr>
          <w:rFonts w:ascii="Times New Roman" w:cs="Times New Roman" w:eastAsia="Times New Roman" w:hAnsi="Times New Roman"/>
          <w:sz w:val="20"/>
          <w:szCs w:val="20"/>
          <w:color w:val="auto"/>
        </w:rPr>
        <w:t>the enforcement and investigative powers of the PPA, and as a result, significantly increased the potential for imposing administrative sanctions for violations of the PPL and its regulations, and in some cases, monetary sanctions. In addition, Amendment 13 further increased civil liability as the statute of limitations was increased from two to seven years and new punitive damages without proof were added to protect privacy rights violations by controllers and processors. Significant amendments to the PPL or its regulations may require updates to our data protection and security practices. Failure to comply with the PPL and its regulatory framework could result in enforcement actions, litigation (including class actions), administrative orders, and monetary penalties.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Competition</w:t>
      </w:r>
    </w:p>
    <w:p>
      <w:pPr>
        <w:spacing w:after="0" w:line="242"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ADAS and autonomous driving industries are highly competitive. In the ADAS and consumer AV market, we face competition primarily from other external providers including Tier 1 automotive suppliers and silicon providers, as well as in-house solutions developed by the OEMs to a certain extent.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Xpeng Motors, Huawei and Li Auto also pursuing in-house solutions for portions of the advanced ADAS software stack. In the future, our indirect competitors could become direct competitors.</w:t>
      </w:r>
    </w:p>
    <w:p>
      <w:pPr>
        <w:spacing w:after="0" w:line="20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Cruise, Tesla, Motional, Waymo, NVIDIA, Yandex, and Zoox in the United States and Europe and Auto X, Baidu, Deeproute.ai, Didi Chuxing, Momenta, Pony.ai and WeRide in China. Consumer AV competitors include Sony and Tesla, who are developing self-driving vehicles for consumers. We also face competition from companies that offer “software-only” autonomous vehicle solutions, including StradVision, Autobrains, Wayve and Momenta.</w:t>
      </w:r>
    </w:p>
    <w:p>
      <w:pPr>
        <w:spacing w:after="0" w:line="201"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AI, including computer vision, and powered by our mission critical software and purpose-built EyeQ™ family of SoCs are extremely hard to replicate.</w:t>
      </w:r>
    </w:p>
    <w:p>
      <w:pPr>
        <w:spacing w:after="0" w:line="19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Competition in the humanoid and Physical AI robotics market is intense and rapidly evolving, with a growing number of well-capitalized companies developing general-purpose bipedal robots and related autonomy stacks for industrial and warehouse use. We face competition from other humanoid robotics developers such as Tesla, Figure AI, Sanctuary AI, PAL Robotics, Agility Robotics and Boston Dynamics, as well as additional emerging players (including a number of Chinese robotics companies) seeking to commercialize similar capabilities.</w:t>
      </w:r>
    </w:p>
    <w:p>
      <w:pPr>
        <w:spacing w:after="0" w:line="19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Moovit competes against urban mobility applications and mobility-as-a-service (“MaaS”) solutions which provide transportation services and navigation data to consumers. Moovit’s free and subscription-based application competition includes Alphabet, Apple, Citymapper, and Transit. Moovit’s application also competes with local urban and inter-city ticketing service providers that provide purchase and ticketing of public transit and mobility services on their own platform.</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principal competitive factors impacting the market for our solutions include:</w:t>
      </w:r>
    </w:p>
    <w:p>
      <w:pPr>
        <w:spacing w:after="0" w:line="254" w:lineRule="exact"/>
        <w:rPr>
          <w:sz w:val="20"/>
          <w:szCs w:val="20"/>
          <w:color w:val="auto"/>
        </w:rPr>
      </w:pPr>
    </w:p>
    <w:p>
      <w:pPr>
        <w:ind w:left="720" w:hanging="361"/>
        <w:spacing w:after="0" w:line="279"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completeness of our technology platform including SoCs, sensing and perception technologies, sensor fusion architecture, high-precision mapping system, and supporting software and algorithms;</w:t>
      </w:r>
    </w:p>
    <w:p>
      <w:pPr>
        <w:spacing w:after="0" w:line="179" w:lineRule="exact"/>
        <w:rPr>
          <w:rFonts w:ascii="Arial" w:cs="Arial" w:eastAsia="Arial" w:hAnsi="Arial"/>
          <w:sz w:val="20"/>
          <w:szCs w:val="20"/>
          <w:color w:val="auto"/>
        </w:rPr>
      </w:pPr>
    </w:p>
    <w:p>
      <w:pPr>
        <w:ind w:left="720" w:hanging="361"/>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design and develop ADAS, autonomous driving and humanoid robotics solutions that meet our customers’ needs;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automotive quality standards, compliance, and performance in all areas of ADAS and autonomous driving;</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800"/>
          </w:cols>
          <w:pgMar w:left="540" w:top="1347" w:right="540" w:bottom="0" w:gutter="0" w:footer="0" w:header="0"/>
          <w:type w:val="continuous"/>
        </w:sectPr>
      </w:pPr>
    </w:p>
    <w:bookmarkStart w:id="32" w:name="page33"/>
    <w:bookmarkEnd w:id="32"/>
    <w:p>
      <w:pPr>
        <w:ind w:left="720" w:hanging="360"/>
        <w:spacing w:after="0" w:line="279"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successfully integrate Mentee Robotics’s business and humanoid and Physical AI robotics technology with our existing platform;</w:t>
      </w:r>
    </w:p>
    <w:p>
      <w:pPr>
        <w:spacing w:after="0" w:line="179"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agile software validation and robust product release discipline;</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scalability, and cost efficiency of our solutions;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engineering capabilities, the ability to innovate and continuously improve our technology;</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pricing;</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design and development support for our customers;</w:t>
      </w:r>
    </w:p>
    <w:p>
      <w:pPr>
        <w:spacing w:after="0" w:line="253"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reliability and the ability to make on-time delivery of appropriate quantities of product at a consistent level of quality;</w:t>
      </w:r>
    </w:p>
    <w:p>
      <w:pPr>
        <w:spacing w:after="0" w:line="178"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meet regulatory requirements;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intellectual property protection;</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attraction and retention of key talent, including in artificial intelligence and robotics; and</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brand and reputation, including the ability to market new offerings.</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Distribution and Marketing</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products are sold directly to customers throughout the world, or through distribution channels for our remaining inventory of aftermarket products meant for vehicles that do not come pre-equipped with ADAS technology.</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91"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believe our strong research and development is our principal competitive strength and has led to our position in the market. Our research and development activities are predominantly conducted in Israel. We have approximately 85%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ectPr>
          <w:pgSz w:w="11880" w:h="15480" w:orient="portrait"/>
          <w:cols w:equalWidth="0" w:num="1">
            <w:col w:w="10800"/>
          </w:cols>
          <w:pgMar w:left="540"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800"/>
          </w:cols>
          <w:pgMar w:left="540" w:top="1362" w:right="540" w:bottom="0" w:gutter="0" w:footer="0" w:header="0"/>
          <w:type w:val="continuous"/>
        </w:sectPr>
      </w:pPr>
    </w:p>
    <w:bookmarkStart w:id="33" w:name="page34"/>
    <w:bookmarkEnd w:id="33"/>
    <w:p>
      <w:pPr>
        <w:ind w:left="360"/>
        <w:spacing w:after="0"/>
        <w:rPr>
          <w:sz w:val="20"/>
          <w:szCs w:val="20"/>
          <w:color w:val="auto"/>
        </w:rPr>
      </w:pPr>
      <w:r>
        <w:rPr>
          <w:rFonts w:ascii="Times New Roman" w:cs="Times New Roman" w:eastAsia="Times New Roman" w:hAnsi="Times New Roman"/>
          <w:sz w:val="20"/>
          <w:szCs w:val="20"/>
          <w:b w:val="1"/>
          <w:bCs w:val="1"/>
          <w:color w:val="auto"/>
        </w:rPr>
        <w:t>Our Employees</w:t>
      </w:r>
    </w:p>
    <w:p>
      <w:pPr>
        <w:spacing w:after="0" w:line="24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As of December 27, 2025, we had approximately 4,200 employees operating across seven countries, with approximately 85% of such employees involved in research and development and approximately 3,900 of such employees operating in Israel. As of February 3, 2026, following a workforce reduction and the acquisition of Mentee Robotics, we had approximately 4,130 employees.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134620</wp:posOffset>
            </wp:positionV>
            <wp:extent cx="6389370" cy="3599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extLst>
                    </a:blip>
                    <a:srcRect/>
                    <a:stretch>
                      <a:fillRect/>
                    </a:stretch>
                  </pic:blipFill>
                  <pic:spPr bwMode="auto">
                    <a:xfrm>
                      <a:off x="0" y="0"/>
                      <a:ext cx="6389370" cy="359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2"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As of December 27, 2025, we held 439 U.S. patents, 98 European patents, 205 U.S. patent applications, 633 European and other non-U.S. patent applications, and provisional patent filings. We do not view any single patent or patent application to be material.</w:t>
      </w:r>
    </w:p>
    <w:p>
      <w:pPr>
        <w:spacing w:after="0" w:line="174"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800"/>
          </w:cols>
          <w:pgMar w:left="540" w:top="1345" w:right="540" w:bottom="0" w:gutter="0" w:footer="0" w:header="0"/>
          <w:type w:val="continuous"/>
        </w:sectPr>
      </w:pPr>
    </w:p>
    <w:bookmarkStart w:id="34" w:name="page35"/>
    <w:bookmarkEnd w:id="34"/>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Litigation may be necessary in the future to enforce our proprietary rights, to determine the validity and scope of the proprietary rights of others, or to defend us against claims of infringement, misappropriation or other violation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Relationship with Intel</w:t>
      </w:r>
    </w:p>
    <w:p>
      <w:pPr>
        <w:spacing w:after="0" w:line="244" w:lineRule="exact"/>
        <w:rPr>
          <w:sz w:val="20"/>
          <w:szCs w:val="20"/>
          <w:color w:val="auto"/>
        </w:rPr>
      </w:pPr>
    </w:p>
    <w:p>
      <w:pPr>
        <w:jc w:val="both"/>
        <w:ind w:firstLine="361"/>
        <w:spacing w:after="0" w:line="255" w:lineRule="auto"/>
        <w:rPr>
          <w:sz w:val="20"/>
          <w:szCs w:val="20"/>
          <w:color w:val="auto"/>
        </w:rPr>
      </w:pPr>
      <w:r>
        <w:rPr>
          <w:rFonts w:ascii="Times New Roman" w:cs="Times New Roman" w:eastAsia="Times New Roman" w:hAnsi="Times New Roman"/>
          <w:sz w:val="19"/>
          <w:szCs w:val="19"/>
          <w:color w:val="auto"/>
        </w:rPr>
        <w:t>Prior to the Mobileye IPO, Intel beneficially owned 100% of our outstanding shares of common stock and we operated as Intel’s wholly owned subsidiary. As of December 27, 2025, Intel beneficially owns 50,000,000 shares of our Class A common stock and all of the outstanding shares of our Class B common stock, representing approximately 79.5% of our outstanding common stock and 97.3% of the voting power of our common stock. Due to the issuance of shares of Class A common stock in connection with the acquisition of Mentee Robotics, Intel beneficially owns approximately 77.0% of our outstanding common stock and 96.9% of the voting power of our outstanding common stock as of February 3, 2026. As a result, Intel is able to control all matters submitted to our stockholders for approval, including the election of our directors and the approval of significant corporate transactions. Furthermore, in addition to any other vote required by law or by our amended and restated certificate of incorporation, until the first date on which Intel ceases to beneficially own 20% or more of our outstanding shares of common stock, the prior affirmative vote or written consent of Intel as the holder of our Class B common stock will be required in order for us to: adopt or implement any stockholder rights plan or similar takeover defense measure; consolidate or merge with or into any other entity; permit any of our subsidiaries to consolidate or merge with or into any other entity, with certain exceptions; acquire the stock or assets of another entity for consideration in excess of $250,000,000 other than transactions in which we and one or more of our wholly owned subsidiaries are the only parties; issue any stock or other equity securities except to our subsidiaries, pursuant to the Mobileye IPO, or pursuant to our employee benefit plans limited to a share reserve of 5% of the outstanding number of shares of our common stock on the immediately preceding December 31; make or commit to make any individual or series of related capital or other expenditures in excess of $250,000,000; create, incur, assume or permit to exist any indebtedness or guarantee any indebtedness in excess of $250,000,000; make any loan to or purchase any debt securities of any person in excess of $250,000,000; redeem, purchase or otherwise acquire or retire for value any equity securities of our company except repurchases from employees, officers, directors or other service providers upon termination of employment or through the exercise of any right of first refusal; take any actions to dissolve, liquidate, or wind-up our company; declare dividends on our stock; or amend, terminate or adopt any provision inconsistent with our amended and restated certificate of incorporation or amended and restated bylaws. See “Item 1A. Risk Factors — Risks Related to our Relationship with Intel and our Dual Class Structure”.</w:t>
      </w:r>
    </w:p>
    <w:p>
      <w:pPr>
        <w:spacing w:after="0" w:line="200" w:lineRule="exact"/>
        <w:rPr>
          <w:sz w:val="20"/>
          <w:szCs w:val="20"/>
          <w:color w:val="auto"/>
        </w:rPr>
      </w:pPr>
    </w:p>
    <w:p>
      <w:pPr>
        <w:spacing w:after="0" w:line="22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and Intel continue to interact as strategic partners, collaborating on projects to pursue the growth of computing and advanced technology in the automotive sector. In connection with the Mobileye IPO, we entered into certain agreements (collectively, the “Intercompany Agreements”) with Intel and certain of its subsidiaries that provide the framework for our ongoing relationship with Intel, including the Master Transaction Agreement, which contains key provisions relating to our ongoing relationship with Intel. The Master Transaction Agreement also contains agreements relating to the conduct of the Mobileye IPO and future transactions, and governs the relationship between Intel and Mobileye.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related to our cooperation with Intel in connection with future litigation will survive seven years after the termination of the agreement, and certain other provisions including those related to indemnification by us and Intel will survive indefinitely.</w:t>
      </w:r>
    </w:p>
    <w:p>
      <w:pPr>
        <w:spacing w:after="0" w:line="202"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Key provisions of the Master Transaction Agreement include: we will provide Intel with certain registration rights to register our common stock, because the shares of our common stock held by Intel after the Mobileye IPO are “restricted securities” as defined in Rule 144 under the Securities Act;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 which Intel will determine, in its sole and absolute discretion, whether to proceed with all or part of the distribution, the date of the distribution and the form, structure and all other terms of any transaction to effect the distribution; so long as Intel beneficially owns at least 20% of our common stock, we will sell Intel our commercially available products, including EyeQ™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800"/>
          </w:cols>
          <w:pgMar w:left="540" w:top="1347" w:right="540" w:bottom="0" w:gutter="0" w:footer="0" w:header="0"/>
          <w:type w:val="continuous"/>
        </w:sectPr>
      </w:pPr>
    </w:p>
    <w:bookmarkStart w:id="35" w:name="page36"/>
    <w:bookmarkEnd w:id="35"/>
    <w:p>
      <w:pPr>
        <w:jc w:val="both"/>
        <w:ind w:left="3" w:firstLine="2"/>
        <w:spacing w:after="0" w:line="241" w:lineRule="auto"/>
        <w:rPr>
          <w:sz w:val="20"/>
          <w:szCs w:val="20"/>
          <w:color w:val="auto"/>
        </w:rPr>
      </w:pPr>
      <w:r>
        <w:rPr>
          <w:rFonts w:ascii="Times New Roman" w:cs="Times New Roman" w:eastAsia="Times New Roman" w:hAnsi="Times New Roman"/>
          <w:sz w:val="20"/>
          <w:szCs w:val="20"/>
          <w:color w:val="auto"/>
        </w:rPr>
        <w:t>customer of such party; we granted Intel a continuing right to purchase from us shares of Class A common stock or Class B common stock as is necessary for Intel to maintain an aggregate ownership interest of our common stock representing at least 80.1% of our common stock outstanding, provided, however, that this right terminated pursuant to the Master Transaction Agreement upon Intel’s beneficial ownership of our common stock falling below 80%; we and Intel have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and certain other indemnities; the Master Transaction Agreement contains a general release for liabilities arising from events occurring on or before the time of the Mobileye IPO; for so long as Intel provides us with accounting and financial services under the Administrative Services Agreement that we entered into with Intel, and to the extent necessary for the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for a period of two years following the closing of the Mobileye IPO,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all outstanding options to purchase shares of Intel and all other Intel equity 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immediately after completion of the Mobileye IPO (and after giving effect to the repayment of indebtedness by us to Intel and other transactions that occurred substantially concurrently with the Mobileye IPO), Intel agreed to ensure that we had $1.0 billion in cash, cash equivalents, or marketable securities; and Intel will use commercially reasonable efforts to provide three months’ 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214" w:lineRule="exact"/>
        <w:rPr>
          <w:sz w:val="20"/>
          <w:szCs w:val="20"/>
          <w:color w:val="auto"/>
        </w:rPr>
      </w:pPr>
    </w:p>
    <w:p>
      <w:pPr>
        <w:jc w:val="both"/>
        <w:ind w:left="3" w:firstLine="361"/>
        <w:spacing w:after="0" w:line="252" w:lineRule="auto"/>
        <w:rPr>
          <w:sz w:val="20"/>
          <w:szCs w:val="20"/>
          <w:color w:val="auto"/>
        </w:rPr>
      </w:pPr>
      <w:r>
        <w:rPr>
          <w:rFonts w:ascii="Times New Roman" w:cs="Times New Roman" w:eastAsia="Times New Roman" w:hAnsi="Times New Roman"/>
          <w:sz w:val="19"/>
          <w:szCs w:val="19"/>
          <w:color w:val="auto"/>
        </w:rPr>
        <w:t>In connection with the Mobileye IPO, we entered into a Technology and Services Agreement with Intel pursuant to which Intel granted us a limited license to sensitive core technology relating to radar. Pursuant to the Technology and Services Agreement, the license is limited to the development of a specific type of radar for specific applications, and any radar products that do not fall under the scope of the agreement will require a separate license from Intel, at Intel’s discretion. As a result, we will not own most new radar intellectual property, even if developed solely by us. If we are not able to continue to use or license sensitive core technology related to radar from Intel, we may not be able to secure alternatives in a timely manner or at all, and our ability to remain competitive would be harmed and that could adversely affect our business, results of operations and financial condition. See “Item 1A. Risk Factors — Risks Related to our Relationship with Intel and our Dual Class Structure — We may have conflicts of interest with Intel and, because of</w:t>
      </w:r>
    </w:p>
    <w:p>
      <w:pPr>
        <w:spacing w:after="0" w:line="5" w:lineRule="exact"/>
        <w:rPr>
          <w:sz w:val="20"/>
          <w:szCs w:val="20"/>
          <w:color w:val="auto"/>
        </w:rPr>
      </w:pPr>
    </w:p>
    <w:p>
      <w:pPr>
        <w:jc w:val="both"/>
        <w:ind w:left="3" w:hanging="3"/>
        <w:spacing w:after="0" w:line="260" w:lineRule="auto"/>
        <w:tabs>
          <w:tab w:leader="none" w:pos="2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83" w:lineRule="exact"/>
        <w:rPr>
          <w:sz w:val="20"/>
          <w:szCs w:val="20"/>
          <w:color w:val="auto"/>
        </w:rPr>
      </w:pPr>
    </w:p>
    <w:p>
      <w:pPr>
        <w:jc w:val="both"/>
        <w:ind w:left="3" w:firstLine="360"/>
        <w:spacing w:after="0" w:line="246" w:lineRule="auto"/>
        <w:rPr>
          <w:sz w:val="20"/>
          <w:szCs w:val="20"/>
          <w:color w:val="auto"/>
        </w:rPr>
      </w:pPr>
      <w:r>
        <w:rPr>
          <w:rFonts w:ascii="Times New Roman" w:cs="Times New Roman" w:eastAsia="Times New Roman" w:hAnsi="Times New Roman"/>
          <w:sz w:val="20"/>
          <w:szCs w:val="20"/>
          <w:color w:val="auto"/>
        </w:rPr>
        <w:t>Several of our directors also serve as officers, directors and/or other positions at Intel. Mr. Zinsner, a member of our Board of Directors, is the Chief Financial Officer of Intel. Mr. Chandrasekaran, a member of our Board of Directors, is an Executive Vice President, Chief Technology and Operations Officer, and General Manager of the Intel Foundry organization at Intel. Mr. Bombach, a member of our Board of Directors, is a Corporate Vice President, Assistant Secretary and Head of Corporate Legal at Intel. Mr. Yeary, a member of our Board of Directors, is the Independent Chair and a director of Intel. Mr. Yeboah-Amankwah, the Chair of our Board of Directors, is no longer affiliated with Intel, but prior to June 2025, he was a Senior Vice President and the Chief Strategy Officer of Intel.</w:t>
      </w:r>
    </w:p>
    <w:p>
      <w:pPr>
        <w:spacing w:after="0" w:line="201" w:lineRule="exact"/>
        <w:rPr>
          <w:sz w:val="20"/>
          <w:szCs w:val="20"/>
          <w:color w:val="auto"/>
        </w:rPr>
      </w:pPr>
    </w:p>
    <w:p>
      <w:pPr>
        <w:jc w:val="both"/>
        <w:ind w:left="3" w:firstLine="360"/>
        <w:spacing w:after="0" w:line="279" w:lineRule="auto"/>
        <w:rPr>
          <w:sz w:val="20"/>
          <w:szCs w:val="20"/>
          <w:color w:val="auto"/>
        </w:rPr>
      </w:pPr>
      <w:r>
        <w:rPr>
          <w:rFonts w:ascii="Times New Roman" w:cs="Times New Roman" w:eastAsia="Times New Roman" w:hAnsi="Times New Roman"/>
          <w:sz w:val="19"/>
          <w:szCs w:val="19"/>
          <w:color w:val="auto"/>
        </w:rPr>
        <w:t>See the information under the heading “Item 13. Certain Relationships and Related Transactions, and Director Independence” which is incorporated herein by reference from our definitive proxy statement for the 2026 Annual Meeting of the Stockholders (the “2026 Proxy Statement”), which we expect to file with the SEC within 120 days after the end of our fiscal year ended December 27, 2025.</w:t>
      </w:r>
    </w:p>
    <w:p>
      <w:pPr>
        <w:sectPr>
          <w:pgSz w:w="11880" w:h="15480" w:orient="portrait"/>
          <w:cols w:equalWidth="0" w:num="1">
            <w:col w:w="10803"/>
          </w:cols>
          <w:pgMar w:left="537"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803"/>
          </w:cols>
          <w:pgMar w:left="537" w:top="1347" w:right="540" w:bottom="0" w:gutter="0" w:footer="0" w:header="0"/>
          <w:type w:val="continuous"/>
        </w:sectPr>
      </w:pPr>
    </w:p>
    <w:bookmarkStart w:id="36" w:name="page37"/>
    <w:bookmarkEnd w:id="36"/>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reports filed with or furnished to the Securities and Exchange Commission (“SEC”) pursuant to Sections 13(a) and 15(d) of the Securities Exchange Act of 1934, as amended (“the Exchange Act”), are available, free of charge, on our Investor Relations website at https://ir.mobileye.com/ as soon as reasonably practicable after we electronically file such material with, or furnish it to, the SEC. The SEC maintains an Internet site (www.sec.gov) that contains all of the documents we file with the SEC.</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Information about our Executive Officers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are the names, ages and positions as of the date hereof of our executive officers.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Borders>
              <w:bottom w:val="single" w:sz="8" w:color="202020"/>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7"/>
                <w:szCs w:val="17"/>
                <w:color w:val="auto"/>
              </w:rPr>
            </w:pPr>
          </w:p>
        </w:tc>
        <w:tc>
          <w:tcPr>
            <w:tcW w:w="360" w:type="dxa"/>
            <w:vAlign w:val="bottom"/>
            <w:tcBorders>
              <w:bottom w:val="single" w:sz="8" w:color="202020"/>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60" w:type="dxa"/>
            <w:vAlign w:val="bottom"/>
          </w:tcPr>
          <w:p>
            <w:pPr>
              <w:spacing w:after="0"/>
              <w:rPr>
                <w:sz w:val="17"/>
                <w:szCs w:val="17"/>
                <w:color w:val="auto"/>
              </w:rPr>
            </w:pPr>
          </w:p>
        </w:tc>
        <w:tc>
          <w:tcPr>
            <w:tcW w:w="6540" w:type="dxa"/>
            <w:vAlign w:val="bottom"/>
            <w:tcBorders>
              <w:bottom w:val="single" w:sz="8" w:color="202020"/>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99"/>
        </w:trPr>
        <w:tc>
          <w:tcPr>
            <w:tcW w:w="35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Amnon Shashua . . . . . . . . . . . . . . . . . . . . .</w:t>
            </w:r>
          </w:p>
        </w:tc>
        <w:tc>
          <w:tcPr>
            <w:tcW w:w="160" w:type="dxa"/>
            <w:vAlign w:val="bottom"/>
          </w:tcPr>
          <w:p>
            <w:pPr>
              <w:spacing w:after="0"/>
              <w:rPr>
                <w:sz w:val="17"/>
                <w:szCs w:val="17"/>
                <w:color w:val="auto"/>
              </w:rPr>
            </w:pPr>
          </w:p>
        </w:tc>
        <w:tc>
          <w:tcPr>
            <w:tcW w:w="36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color w:val="auto"/>
                <w:w w:val="99"/>
              </w:rPr>
              <w:t>65</w:t>
            </w:r>
          </w:p>
        </w:tc>
        <w:tc>
          <w:tcPr>
            <w:tcW w:w="160" w:type="dxa"/>
            <w:vAlign w:val="bottom"/>
          </w:tcPr>
          <w:p>
            <w:pPr>
              <w:spacing w:after="0"/>
              <w:rPr>
                <w:sz w:val="17"/>
                <w:szCs w:val="17"/>
                <w:color w:val="auto"/>
              </w:rPr>
            </w:pPr>
          </w:p>
        </w:tc>
        <w:tc>
          <w:tcPr>
            <w:tcW w:w="6540" w:type="dxa"/>
            <w:vAlign w:val="bottom"/>
          </w:tcPr>
          <w:p>
            <w:pPr>
              <w:ind w:left="60"/>
              <w:spacing w:after="0" w:line="199" w:lineRule="exact"/>
              <w:rPr>
                <w:sz w:val="20"/>
                <w:szCs w:val="20"/>
                <w:color w:val="auto"/>
              </w:rPr>
            </w:pPr>
            <w:r>
              <w:rPr>
                <w:rFonts w:ascii="Times New Roman" w:cs="Times New Roman" w:eastAsia="Times New Roman" w:hAnsi="Times New Roman"/>
                <w:sz w:val="20"/>
                <w:szCs w:val="20"/>
                <w:color w:val="auto"/>
              </w:rPr>
              <w:t>Chief Executive Officer, President, and Director</w:t>
            </w:r>
          </w:p>
        </w:tc>
      </w:tr>
      <w:tr>
        <w:trPr>
          <w:trHeight w:val="229"/>
        </w:trPr>
        <w:tc>
          <w:tcPr>
            <w:tcW w:w="3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Moran Shemesh Rojansky . . . . . . . . . . . .</w:t>
            </w:r>
          </w:p>
        </w:tc>
        <w:tc>
          <w:tcPr>
            <w:tcW w:w="5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45</w:t>
            </w:r>
          </w:p>
        </w:tc>
        <w:tc>
          <w:tcPr>
            <w:tcW w:w="160" w:type="dxa"/>
            <w:vAlign w:val="bottom"/>
          </w:tcPr>
          <w:p>
            <w:pPr>
              <w:spacing w:after="0"/>
              <w:rPr>
                <w:sz w:val="19"/>
                <w:szCs w:val="19"/>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30"/>
        </w:trPr>
        <w:tc>
          <w:tcPr>
            <w:tcW w:w="3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Shai Shalev-Shwartz . . . . . . . . . . . . . . . . .</w:t>
            </w:r>
          </w:p>
        </w:tc>
        <w:tc>
          <w:tcPr>
            <w:tcW w:w="5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50</w:t>
            </w:r>
          </w:p>
        </w:tc>
        <w:tc>
          <w:tcPr>
            <w:tcW w:w="160" w:type="dxa"/>
            <w:vAlign w:val="bottom"/>
          </w:tcPr>
          <w:p>
            <w:pPr>
              <w:spacing w:after="0"/>
              <w:rPr>
                <w:sz w:val="20"/>
                <w:szCs w:val="20"/>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Technology Officer</w:t>
            </w:r>
          </w:p>
        </w:tc>
      </w:tr>
      <w:tr>
        <w:trPr>
          <w:trHeight w:val="230"/>
        </w:trPr>
        <w:tc>
          <w:tcPr>
            <w:tcW w:w="3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Nimrod Nehushtan . . . . . . . . . . . . . . . . . . .</w:t>
            </w:r>
          </w:p>
        </w:tc>
        <w:tc>
          <w:tcPr>
            <w:tcW w:w="5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36</w:t>
            </w:r>
          </w:p>
        </w:tc>
        <w:tc>
          <w:tcPr>
            <w:tcW w:w="160" w:type="dxa"/>
            <w:vAlign w:val="bottom"/>
          </w:tcPr>
          <w:p>
            <w:pPr>
              <w:spacing w:after="0"/>
              <w:rPr>
                <w:sz w:val="20"/>
                <w:szCs w:val="20"/>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Business Development &amp; Strategy</w:t>
            </w:r>
          </w:p>
        </w:tc>
      </w:tr>
      <w:tr>
        <w:trPr>
          <w:trHeight w:val="268"/>
        </w:trPr>
        <w:tc>
          <w:tcPr>
            <w:tcW w:w="3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Boaz Ouriel . . . . . . . . . . . . . . . . . . . . . . . .</w:t>
            </w:r>
          </w:p>
        </w:tc>
        <w:tc>
          <w:tcPr>
            <w:tcW w:w="5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52</w:t>
            </w:r>
          </w:p>
        </w:tc>
        <w:tc>
          <w:tcPr>
            <w:tcW w:w="160" w:type="dxa"/>
            <w:vAlign w:val="bottom"/>
          </w:tcPr>
          <w:p>
            <w:pPr>
              <w:spacing w:after="0"/>
              <w:rPr>
                <w:sz w:val="23"/>
                <w:szCs w:val="23"/>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EPG Software</w:t>
            </w:r>
          </w:p>
        </w:tc>
      </w:tr>
    </w:tbl>
    <w:p>
      <w:pPr>
        <w:spacing w:after="0" w:line="188" w:lineRule="exact"/>
        <w:rPr>
          <w:sz w:val="20"/>
          <w:szCs w:val="20"/>
          <w:color w:val="auto"/>
        </w:rPr>
      </w:pPr>
    </w:p>
    <w:p>
      <w:pPr>
        <w:jc w:val="both"/>
        <w:ind w:firstLine="361"/>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Amnon Shashua </w:t>
      </w:r>
      <w:r>
        <w:rPr>
          <w:rFonts w:ascii="Times New Roman" w:cs="Times New Roman" w:eastAsia="Times New Roman" w:hAnsi="Times New Roman"/>
          <w:sz w:val="19"/>
          <w:szCs w:val="19"/>
          <w:color w:val="auto"/>
        </w:rPr>
        <w:t>is our co-founder and has been serving as our Chief Executive Officer and President since 2017 and as our director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since our founding in 1999. He served as a Senior Vice President at Intel from 2017 to 2022, following our acquisition by Intel.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 Shashua founded One Zero Digital Bank, a digital bank in Israel. In December 2021, Prof. Shashua co-founded Mentee Robotics, which Mobileye acquired on February 3, 2026 and aims to build humanoid robots. In 2024, Prof. Shashua co-founded AA-I Technologies where he now serves as a director and CEO, which works to develop super intelligence AI tools for scientific and research applications. Prof. Shashua holds the Sachs Chair in Computer Science at the Hebrew University of Jerusalem, where he teaches and supervises graduate students. He has published 162 papers in the field of machine learning and computational vision and holds over 94 patents. Prof.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 Shashua and his team were also finalists in the European Inventor Awards of 2019, awarded by the European Patent Office. In July 2022, Prof. Shashua received the Mobility Innovator Award from the Automotive Hall of Fame. In March 2023, Prof. Shashua received the Israel Prize for Lifetime Achievement from the Israel Ministry of Education.</w:t>
      </w:r>
    </w:p>
    <w:p>
      <w:pPr>
        <w:spacing w:after="0" w:line="18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Moran Shemesh Rojansky </w:t>
      </w:r>
      <w:r>
        <w:rPr>
          <w:rFonts w:ascii="Times New Roman" w:cs="Times New Roman" w:eastAsia="Times New Roman" w:hAnsi="Times New Roman"/>
          <w:sz w:val="20"/>
          <w:szCs w:val="20"/>
          <w:color w:val="auto"/>
        </w:rPr>
        <w:t>has been serving as our Chief Financial Officer since 2023. Prior to her current position, Ms. Shemesh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Rojansky joined Mobileye in 2016 as our Corporate Controller and subsequently became our Director of Finance, Vice President of Finance and Acting Chief Financial Officer. Prior to joining Mobileye, Ms. Shemesh Rojansky served in financial reporting roles at Tnuva Ltd, including head of consolidation and reporting, for three years from 2013 to 2016. Prior to that, Ms. Shemesh Rojansky served in several roles in the accounting consulting services and advisory group at PricewaterhouseCoopers Israel, including senior manager. Ms. Shemesh Rojansky earned both her M.B.A. in financial management and her B.A. in accounting and law from Tel Aviv University in Israel and is a licensed certified public accountant.</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800"/>
          </w:cols>
          <w:pgMar w:left="540" w:top="1350" w:right="540" w:bottom="0" w:gutter="0" w:footer="0" w:header="0"/>
          <w:type w:val="continuous"/>
        </w:sectPr>
      </w:pPr>
    </w:p>
    <w:bookmarkStart w:id="37" w:name="page38"/>
    <w:bookmarkEnd w:id="37"/>
    <w:p>
      <w:pPr>
        <w:jc w:val="both"/>
        <w:ind w:firstLine="361"/>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Shai Shalev-Shwartz </w:t>
      </w:r>
      <w:r>
        <w:rPr>
          <w:rFonts w:ascii="Times New Roman" w:cs="Times New Roman" w:eastAsia="Times New Roman" w:hAnsi="Times New Roman"/>
          <w:sz w:val="20"/>
          <w:szCs w:val="20"/>
          <w:color w:val="auto"/>
        </w:rPr>
        <w:t>has been serving as our Chief Technology Officer since 2018. From 2017 to 2022, following our acquisition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Intel, Professor Shalev-Shwartz served as a Senior Fellow of Intel. Prof. Shalev-Shwartz is well known for his research in machine learning and was listed as one of the 100 most influential researchers worldwide in 2016 by AMiner. Prof. Shalev-Shwartz currently serves as a director of AI21 Labs. In December 2021, he co-founded Mentee Robotics, which Mobileye acquired on February 3, 2026 and is a co-founder, CTO and director of AA-I Technologies. Prof.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Prof. Shalev-Shwartz was a research assistant professor at Toyota Technological Institute in Chicago, and also worked in research at both Google (Nasdaq: GOOG) and IBM (NYSE: IBM). Prof.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Prof. Shalev-Shwartz earned his Ph.D. from the Hebrew University of Jerusalem.</w:t>
      </w:r>
    </w:p>
    <w:p>
      <w:pPr>
        <w:spacing w:after="0" w:line="155"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Nimrod Nehushtan </w:t>
      </w:r>
      <w:r>
        <w:rPr>
          <w:rFonts w:ascii="Times New Roman" w:cs="Times New Roman" w:eastAsia="Times New Roman" w:hAnsi="Times New Roman"/>
          <w:sz w:val="19"/>
          <w:szCs w:val="19"/>
          <w:color w:val="auto"/>
        </w:rPr>
        <w:t>has been serving as our Executive Vice President of Business Development &amp; Strategy. Prior to his current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position, Mr. Nehushtan served as Senior Vice President of Business Development &amp; Strategy and Co-Manager of REM. Prior to that, Mr. Nehushtan served as Co-General Manager of the REM™ division of Mobileye, overseeing product development and leading business operations and growth. Mr. Nehushtan joined Mobileye in 2017 as a Project Manager. Prior to joining Mobileye, Mr. Nehushtan was an engineer at Israel Aerospace Industries. Mr. Nehushtan earned his B.Sc. in mechanical engineering from Tel Aviv University.</w:t>
      </w:r>
    </w:p>
    <w:p>
      <w:pPr>
        <w:spacing w:after="0" w:line="17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Boaz Ouriel </w:t>
      </w:r>
      <w:r>
        <w:rPr>
          <w:rFonts w:ascii="Times New Roman" w:cs="Times New Roman" w:eastAsia="Times New Roman" w:hAnsi="Times New Roman"/>
          <w:sz w:val="20"/>
          <w:szCs w:val="20"/>
          <w:color w:val="auto"/>
        </w:rPr>
        <w:t>has been serving as our Executive Vice President, EPG Software since 2023. From December 2017 to April 2022,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our acquisition by Intel, Mr. Ouriel was an Intel employee assigned to work for Mobileye. Mr. Ouriel joined Mobileye as an employee in April 2022 as Senior Director Software Development Manager. Mr. Ouriel has over 20 years’ experience at Intel and Mobileye leading the development of middleware and low-level software, with a focus on performance optimization and a specialty in building robust compilers and unique compute-oriented programmable accelerators. Mr. Ouriel received a BSc in applied mathematics and computer science from the Technion, where he graduated with honors, and an executive MBA from the Recanati Graduate School of Business Administration. He is an OpenCL veteran, contributing to the definition of the OpenCL standard, is the former editor of the SPIR-V 1.0 specification, and the recipient of numerous patents and awards in his field.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business is subject to a number of risks and uncertainties that you should understand before making an investment decision.</w:t>
      </w:r>
    </w:p>
    <w:p>
      <w:pPr>
        <w:spacing w:after="0"/>
        <w:rPr>
          <w:sz w:val="20"/>
          <w:szCs w:val="20"/>
          <w:color w:val="auto"/>
        </w:rPr>
      </w:pPr>
      <w:r>
        <w:rPr>
          <w:rFonts w:ascii="Times New Roman" w:cs="Times New Roman" w:eastAsia="Times New Roman" w:hAnsi="Times New Roman"/>
          <w:sz w:val="20"/>
          <w:szCs w:val="20"/>
          <w:color w:val="auto"/>
        </w:rPr>
        <w:t>These include:</w:t>
      </w:r>
    </w:p>
    <w:p>
      <w:pPr>
        <w:spacing w:after="0" w:line="254" w:lineRule="exact"/>
        <w:rPr>
          <w:sz w:val="20"/>
          <w:szCs w:val="20"/>
          <w:color w:val="auto"/>
        </w:rPr>
      </w:pPr>
    </w:p>
    <w:p>
      <w:pPr>
        <w:jc w:val="both"/>
        <w:ind w:left="720" w:hanging="360"/>
        <w:spacing w:after="0" w:line="260"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96" w:lineRule="exact"/>
        <w:rPr>
          <w:rFonts w:ascii="Arial" w:cs="Arial" w:eastAsia="Arial" w:hAnsi="Arial"/>
          <w:sz w:val="20"/>
          <w:szCs w:val="20"/>
          <w:color w:val="auto"/>
        </w:rPr>
      </w:pPr>
    </w:p>
    <w:p>
      <w:pPr>
        <w:jc w:val="both"/>
        <w:ind w:left="720" w:hanging="360"/>
        <w:spacing w:after="0" w:line="260"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97" w:lineRule="exact"/>
        <w:rPr>
          <w:rFonts w:ascii="Arial" w:cs="Arial" w:eastAsia="Arial" w:hAnsi="Arial"/>
          <w:sz w:val="20"/>
          <w:szCs w:val="20"/>
          <w:color w:val="auto"/>
        </w:rPr>
      </w:pPr>
    </w:p>
    <w:p>
      <w:pPr>
        <w:ind w:left="720" w:hanging="360"/>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We operate in a highly competitive market.</w:t>
      </w:r>
    </w:p>
    <w:p>
      <w:pPr>
        <w:spacing w:after="0" w:line="252" w:lineRule="exact"/>
        <w:rPr>
          <w:rFonts w:ascii="Arial" w:cs="Arial" w:eastAsia="Arial" w:hAnsi="Arial"/>
          <w:sz w:val="20"/>
          <w:szCs w:val="20"/>
          <w:color w:val="auto"/>
        </w:rPr>
      </w:pPr>
    </w:p>
    <w:p>
      <w:pPr>
        <w:jc w:val="both"/>
        <w:ind w:left="720" w:hanging="360"/>
        <w:spacing w:after="0" w:line="260"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We have previously experienced constraints in the supply of our EyeQ™ SoCs as the result of the global semiconductor shortage during 2021 and 2022, and future shortages in the supply of our EyeQ™ SoCs or other critical parts would adversely affect our business, results of operations, and financial condition.</w:t>
      </w:r>
    </w:p>
    <w:p>
      <w:pPr>
        <w:spacing w:after="0" w:line="196"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178"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costs of the materials and other components that we use in our solutions would adversely affect our business, results of operations, and financial condition.</w:t>
      </w:r>
    </w:p>
    <w:p>
      <w:pPr>
        <w:sectPr>
          <w:pgSz w:w="11880" w:h="15480" w:orient="portrait"/>
          <w:cols w:equalWidth="0" w:num="1">
            <w:col w:w="10800"/>
          </w:cols>
          <w:pgMar w:left="540" w:top="13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800"/>
          </w:cols>
          <w:pgMar w:left="540" w:top="1344" w:right="540" w:bottom="0" w:gutter="0" w:footer="0" w:header="0"/>
          <w:type w:val="continuous"/>
        </w:sectPr>
      </w:pPr>
    </w:p>
    <w:bookmarkStart w:id="38" w:name="page39"/>
    <w:bookmarkEnd w:id="38"/>
    <w:p>
      <w:pPr>
        <w:jc w:val="both"/>
        <w:ind w:left="360" w:hanging="360"/>
        <w:spacing w:after="0" w:line="260" w:lineRule="auto"/>
        <w:tabs>
          <w:tab w:leader="none" w:pos="361"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may suffer from claims, or incur losses,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97" w:lineRule="exact"/>
        <w:rPr>
          <w:rFonts w:ascii="Arial" w:cs="Arial" w:eastAsia="Arial" w:hAnsi="Arial"/>
          <w:sz w:val="20"/>
          <w:szCs w:val="20"/>
          <w:color w:val="auto"/>
        </w:rPr>
      </w:pPr>
    </w:p>
    <w:p>
      <w:pPr>
        <w:ind w:left="360" w:hanging="360"/>
        <w:spacing w:after="0"/>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risks related to trade policies, sanctions, and import and export controls.</w:t>
      </w:r>
    </w:p>
    <w:p>
      <w:pPr>
        <w:spacing w:after="0" w:line="252" w:lineRule="exact"/>
        <w:rPr>
          <w:rFonts w:ascii="Arial" w:cs="Arial" w:eastAsia="Arial" w:hAnsi="Arial"/>
          <w:sz w:val="20"/>
          <w:szCs w:val="20"/>
          <w:color w:val="auto"/>
        </w:rPr>
      </w:pPr>
    </w:p>
    <w:p>
      <w:pPr>
        <w:jc w:val="both"/>
        <w:ind w:left="360" w:hanging="360"/>
        <w:spacing w:after="0" w:line="253" w:lineRule="auto"/>
        <w:tabs>
          <w:tab w:leader="none" w:pos="361"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203" w:lineRule="exact"/>
        <w:rPr>
          <w:rFonts w:ascii="Arial" w:cs="Arial" w:eastAsia="Arial" w:hAnsi="Arial"/>
          <w:sz w:val="20"/>
          <w:szCs w:val="20"/>
          <w:color w:val="auto"/>
        </w:rPr>
      </w:pPr>
    </w:p>
    <w:p>
      <w:pPr>
        <w:jc w:val="both"/>
        <w:ind w:left="360" w:hanging="360"/>
        <w:spacing w:after="0" w:line="260"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96" w:lineRule="exact"/>
        <w:rPr>
          <w:rFonts w:ascii="Arial" w:cs="Arial" w:eastAsia="Arial" w:hAnsi="Arial"/>
          <w:sz w:val="20"/>
          <w:szCs w:val="20"/>
          <w:color w:val="auto"/>
        </w:rPr>
      </w:pPr>
    </w:p>
    <w:p>
      <w:pPr>
        <w:jc w:val="both"/>
        <w:ind w:left="360" w:hanging="360"/>
        <w:spacing w:after="0" w:line="253"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204"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face increased competition surrounding the development of our next generation chips from OEMs and emerging chip manufacturers entering the market.</w:t>
      </w:r>
    </w:p>
    <w:p>
      <w:pPr>
        <w:spacing w:after="0" w:line="178" w:lineRule="exact"/>
        <w:rPr>
          <w:rFonts w:ascii="Arial" w:cs="Arial" w:eastAsia="Arial" w:hAnsi="Arial"/>
          <w:sz w:val="20"/>
          <w:szCs w:val="20"/>
          <w:color w:val="auto"/>
        </w:rPr>
      </w:pPr>
    </w:p>
    <w:p>
      <w:pPr>
        <w:ind w:left="360" w:hanging="360"/>
        <w:spacing w:after="0"/>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are highly dependent on the services of Professor Amnon Shashua, our President and Chief Executive Officer.</w:t>
      </w:r>
    </w:p>
    <w:p>
      <w:pPr>
        <w:spacing w:after="0" w:line="253"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attract, retain, and motivate key employees, then our business, results of operations, and financial condition would be adversely affected.</w:t>
      </w:r>
    </w:p>
    <w:p>
      <w:pPr>
        <w:spacing w:after="0" w:line="178"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face regulatory and integration risks and costs associated with companies, assets, employees, products, and technologies that we have or that we may acquire, including our acquisition of Mentee Robotics.</w:t>
      </w:r>
    </w:p>
    <w:p>
      <w:pPr>
        <w:spacing w:after="0" w:line="178"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Interruptions to our information technology systems and networks and cybersecurity incidents could adversely affect our business, results of operations, and financial condition.</w:t>
      </w:r>
    </w:p>
    <w:p>
      <w:pPr>
        <w:spacing w:after="0" w:line="179"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Security breaches and other disruptions of our in-vehicle systems and related data could impact the safety of our end users and reduce confidence in us and our solutions.</w:t>
      </w:r>
    </w:p>
    <w:p>
      <w:pPr>
        <w:spacing w:after="0" w:line="178"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An uncertain economic environment and inflationary conditions may adversely affect global vehicle production and demand for our solutions.</w:t>
      </w:r>
    </w:p>
    <w:p>
      <w:pPr>
        <w:spacing w:after="0" w:line="178"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If OEMs are unable to maintain and increase consumer acceptance of ADAS and autonomous driving technology, our business, results of operations, and financial condition would be adversely affected.</w:t>
      </w:r>
    </w:p>
    <w:p>
      <w:pPr>
        <w:spacing w:after="0" w:line="178"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results of operations, and financial condition may be adversely affected by changes in automotive safety regulations or concerns that drive regulations that could increase our costs or delay or halt adoption of our solutions.</w:t>
      </w:r>
    </w:p>
    <w:p>
      <w:pPr>
        <w:spacing w:after="0" w:line="179" w:lineRule="exact"/>
        <w:rPr>
          <w:rFonts w:ascii="Arial" w:cs="Arial" w:eastAsia="Arial" w:hAnsi="Arial"/>
          <w:sz w:val="20"/>
          <w:szCs w:val="20"/>
          <w:color w:val="auto"/>
        </w:rPr>
      </w:pPr>
    </w:p>
    <w:p>
      <w:pPr>
        <w:jc w:val="both"/>
        <w:ind w:left="360" w:hanging="360"/>
        <w:spacing w:after="0" w:line="253"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dual class structure of our common stock has the effect of concentrating voting control with Intel, and Intel beneficially owns 50,000,000 shares of our Class A common stock and all of the outstanding shares of our Class B common stock, representing approximately 79.5% of our outstanding common stock and approximately 97.3% of the voting power of our outstanding common stock as of December 27, 2025. This will limit or preclude your ability to influence corporate matters.</w:t>
      </w:r>
    </w:p>
    <w:p>
      <w:pPr>
        <w:spacing w:after="0" w:line="203" w:lineRule="exact"/>
        <w:rPr>
          <w:rFonts w:ascii="Arial" w:cs="Arial" w:eastAsia="Arial" w:hAnsi="Arial"/>
          <w:sz w:val="20"/>
          <w:szCs w:val="20"/>
          <w:color w:val="auto"/>
        </w:rPr>
      </w:pPr>
    </w:p>
    <w:p>
      <w:pPr>
        <w:jc w:val="both"/>
        <w:ind w:left="360" w:hanging="360"/>
        <w:spacing w:after="0" w:line="279" w:lineRule="auto"/>
        <w:tabs>
          <w:tab w:leader="none" w:pos="36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have conflicts of interest with Intel, and because of (i) certain provisions in our amended and restated certificate of incorporation relating to related person transactions and corporate opportunities, (ii) agreements we entered into with Intel in</w:t>
      </w:r>
    </w:p>
    <w:p>
      <w:pPr>
        <w:sectPr>
          <w:pgSz w:w="11880" w:h="15480" w:orient="portrait"/>
          <w:cols w:equalWidth="0" w:num="1">
            <w:col w:w="10440"/>
          </w:cols>
          <w:pgMar w:left="900"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440"/>
          </w:cols>
          <w:pgMar w:left="900" w:top="1362" w:right="540" w:bottom="0" w:gutter="0" w:footer="0" w:header="0"/>
          <w:type w:val="continuous"/>
        </w:sectPr>
      </w:pPr>
    </w:p>
    <w:bookmarkStart w:id="39" w:name="page40"/>
    <w:bookmarkEnd w:id="39"/>
    <w:p>
      <w:pPr>
        <w:ind w:left="720"/>
        <w:spacing w:after="0" w:line="280" w:lineRule="auto"/>
        <w:rPr>
          <w:sz w:val="20"/>
          <w:szCs w:val="20"/>
          <w:color w:val="auto"/>
        </w:rPr>
      </w:pPr>
      <w:r>
        <w:rPr>
          <w:rFonts w:ascii="Times New Roman" w:cs="Times New Roman" w:eastAsia="Times New Roman" w:hAnsi="Times New Roman"/>
          <w:sz w:val="20"/>
          <w:szCs w:val="20"/>
          <w:color w:val="auto"/>
        </w:rPr>
        <w:t>connection with the Mobileye IPO, and (iii) Intel’s controlling beneficial ownership interest in our company, we may not be able to resolve such conflicts on terms favorable to us.</w:t>
      </w:r>
    </w:p>
    <w:p>
      <w:pPr>
        <w:spacing w:after="0" w:line="179" w:lineRule="exact"/>
        <w:rPr>
          <w:sz w:val="20"/>
          <w:szCs w:val="20"/>
          <w:color w:val="auto"/>
        </w:rPr>
      </w:pPr>
    </w:p>
    <w:p>
      <w:pPr>
        <w:ind w:left="720" w:hanging="360"/>
        <w:spacing w:after="0" w:line="279"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Conditions in Israel and in the surrounding region affect our operations and may limit our ability to produce and sell our solutions.</w:t>
      </w:r>
    </w:p>
    <w:p>
      <w:pPr>
        <w:spacing w:after="0" w:line="178"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operations may be disrupted by the obligations of personnel to perform military service as a result of current or future military actions involving Israel.</w:t>
      </w:r>
    </w:p>
    <w:p>
      <w:pPr>
        <w:spacing w:after="0" w:line="16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addition to the other information included in this Annual Report on Form 10-K and in our other filings with the SEC, the following risk factors should be considered in evaluating our business and future prospects. These risk factors represent what we believe to be the known material risk factors with respect to us and our business. Our business, operating results, cash flows and financial condition are subject to these risks and uncertainties, any of which could cause actual results to vary materially from recent results or from anticipated future results.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84"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 SoCs and our software-defined imaging radar, and, in the case of AMaaS, source lidar cost effectively, all of which are important components of our planned approach to address the AMaaS and consumer AV markets. This report may contain descriptions of our current expectations regarding 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particularly as our products become increasingly complex. The development of these and other new and enhanced solutions requires us to invest resources in research and development and also requires that we:</w:t>
      </w:r>
    </w:p>
    <w:p>
      <w:pPr>
        <w:spacing w:after="0" w:line="221" w:lineRule="exact"/>
        <w:rPr>
          <w:sz w:val="20"/>
          <w:szCs w:val="20"/>
          <w:color w:val="auto"/>
        </w:rPr>
      </w:pPr>
    </w:p>
    <w:p>
      <w:pPr>
        <w:ind w:left="720" w:hanging="361"/>
        <w:spacing w:after="0" w:line="279"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design innovative, accurate, and safety- and comfort-enhancing functions that differentiate our solutions from those of our competitors;</w:t>
      </w:r>
    </w:p>
    <w:p>
      <w:pPr>
        <w:spacing w:after="0" w:line="178"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continuously improve the reliability of, and reduce and ultimately remove the requirement for human intervention with, our autonomous driving technology;</w:t>
      </w:r>
    </w:p>
    <w:p>
      <w:pPr>
        <w:spacing w:after="0" w:line="179" w:lineRule="exact"/>
        <w:rPr>
          <w:rFonts w:ascii="Arial" w:cs="Arial" w:eastAsia="Arial" w:hAnsi="Arial"/>
          <w:sz w:val="20"/>
          <w:szCs w:val="20"/>
          <w:color w:val="auto"/>
        </w:rPr>
      </w:pPr>
    </w:p>
    <w:p>
      <w:pPr>
        <w:ind w:left="720" w:hanging="361"/>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cooperate effectively on new designs and development with our customers, suppliers and partners;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respond effectively to technological changes and product announcements by our competitors; and</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29"/>
        </w:numPr>
        <w:rPr>
          <w:rFonts w:ascii="Arial" w:cs="Arial" w:eastAsia="Arial" w:hAnsi="Arial"/>
          <w:sz w:val="19"/>
          <w:szCs w:val="19"/>
          <w:color w:val="auto"/>
        </w:rPr>
      </w:pPr>
      <w:r>
        <w:rPr>
          <w:rFonts w:ascii="Times New Roman" w:cs="Times New Roman" w:eastAsia="Times New Roman" w:hAnsi="Times New Roman"/>
          <w:sz w:val="19"/>
          <w:szCs w:val="19"/>
          <w:color w:val="auto"/>
        </w:rPr>
        <w:t>adjust to changing customer requirements, market conditions, and regulatory and rating standards quickly and cost-effectively.</w:t>
      </w:r>
    </w:p>
    <w:p>
      <w:pPr>
        <w:spacing w:after="0" w:line="250"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 In addition, the price of our solutions depends on the bundle included in the specific product. Our solutions have different margin profiles. As we develop, bundle, and sell full systems that include third-party hardware beyond EyeQ™, we expect that our gross margin will decrease on a percentage basis because of the greater third-party hardware content.</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800"/>
          </w:cols>
          <w:pgMar w:left="540" w:top="1347" w:right="540" w:bottom="0" w:gutter="0" w:footer="0" w:header="0"/>
          <w:type w:val="continuous"/>
        </w:sectPr>
      </w:pPr>
    </w:p>
    <w:bookmarkStart w:id="40" w:name="page41"/>
    <w:bookmarkEnd w:id="40"/>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84"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To compete successfully, we must maintain successful research and development efforts (including the design and development of next-generation EyeQ™ SoCs), develop and commercialize new solutions, and improve our existing solutions, all ahead of competitors. We are focusing our research and development efforts across several key emerging technologies, including computer vision, Compound AI and other AI technologies, the development of next-generation EyeQ™ SoCs, software-defined imaging radar, the True Redundancy™ sensor fusion architecture, the REM™ mapping technology and our RSS model, and our Mobileye Surround ADAS™, Mobileye SuperVision™, Mobileye Chauffeur™ and Mobileye Drive™ systems. Further, with the acquisition of Mentee Robotics, we will also focus our research and development efforts on the development of humanoid robotics, including AI technologies in connection therewith. These are ambitious initiatives, and we cannot guarantee that all of these 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our research and development investments appropriately or correctly anticipate the manner in which these markets will evolve. To the extent our research and development efforts do not produce timely improvements in utility, accuracy, safety, cost and operational efficiency (for example, our ability to deploy Mobileye Drive™ in vehicles without safety drivers in accordance with our expected schedule),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operate in a highly competitive market.</w:t>
      </w:r>
    </w:p>
    <w:p>
      <w:pPr>
        <w:spacing w:after="0" w:line="23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The ADAS and autonomous driving industries as well as the emergent humanoid robotics industry,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202" w:lineRule="exact"/>
        <w:rPr>
          <w:sz w:val="20"/>
          <w:szCs w:val="20"/>
          <w:color w:val="auto"/>
        </w:rPr>
      </w:pPr>
    </w:p>
    <w:p>
      <w:pPr>
        <w:jc w:val="both"/>
        <w:ind w:firstLine="361"/>
        <w:spacing w:after="0" w:line="257" w:lineRule="auto"/>
        <w:rPr>
          <w:sz w:val="20"/>
          <w:szCs w:val="20"/>
          <w:color w:val="auto"/>
        </w:rPr>
      </w:pPr>
      <w:r>
        <w:rPr>
          <w:rFonts w:ascii="Times New Roman" w:cs="Times New Roman" w:eastAsia="Times New Roman" w:hAnsi="Times New Roman"/>
          <w:sz w:val="19"/>
          <w:szCs w:val="19"/>
          <w:color w:val="auto"/>
        </w:rPr>
        <w:t>A significant and growing number of established and new technology companies and automobile manufacturers have entered, or are reported to have plans to enter, the market for ADAS and autonomous driving solutions as well as the market for humanoid robotics. For example, certain of our competitors have announced that they are operating or developing autonomous robotaxis and/or humanoid robots.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in 2017. Further, in the third quarter of 2024, Zeekr announced their decision to utilize their in-house system instead of SuperVision™ for at least a major portion of production for their 001 model going forward. Mercedes-Benz is also employing its own in-house solutions, with others such as NIO, Volvo Cars, and Xpeng Motors also pursuing in-house solutions for portions of the ADAS software stack. In addition, our Tier 1 customers may be developing or may in the future develop competing solutions.</w:t>
      </w:r>
    </w:p>
    <w:p>
      <w:pPr>
        <w:spacing w:after="0" w:line="19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 Our competitors in the software-only category include StradVision, Autobrains and Wayve.</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800"/>
          </w:cols>
          <w:pgMar w:left="540" w:top="1349" w:right="540" w:bottom="0" w:gutter="0" w:footer="0" w:header="0"/>
          <w:type w:val="continuous"/>
        </w:sectPr>
      </w:pPr>
    </w:p>
    <w:bookmarkStart w:id="41" w:name="page42"/>
    <w:bookmarkEnd w:id="41"/>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183"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Cruise, Tesla, Motional, Waymo, NVIDIA, Yandex and Zoox in the United States and Europe and Auto X, Baidu, Deeproute.ai, Didi Chuxing, Momenta, Pony.ai and WeRide in China. Consumer AV competitors include Sony, and Tesla, who are developing self-driving vehicles for consumers. Further, we face competition regarding the development of our Next Generation EyeQ™ chips from emerging chip manufacturers in markets such as China and our OEMs entering into the chip manufacturing space.</w:t>
      </w:r>
    </w:p>
    <w:p>
      <w:pPr>
        <w:spacing w:after="0" w:line="20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Competition in the humanoid and Physical AI robotics market is intense and rapidly evolving, with a growing number of well-capitalized companies developing general-purpose bipedal robots and related autonomy stacks for industrial and warehouse use. Mobileye and Mentee face competition from other humanoid robotics developers such as Tesla, Figure AI, Sanctuary AI, PAL Robotics, Agility Robotics and Boston Dynamics (of which HKMC holds an 80% beneficial ownership interest), as well as additional emerging players (including a number of Chinese robotics companies) seeking to commercialize similar capabilities.</w:t>
      </w:r>
    </w:p>
    <w:p>
      <w:pPr>
        <w:spacing w:after="0" w:line="19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Moovit competes against urban mobility applications and MaaS solutions, which provide transportation services and navigation data to consumers. Moovit’s free and subscription-based application competition includes Alphabet, Apple, Citymapper and Transit. Moovit’s application also competes with local urban and inter-city ticketing service providers that provide purchase and ticketing of public transit and mobility services on their own platform. See “Item 1.Business — Our Competition.”</w:t>
      </w:r>
    </w:p>
    <w:p>
      <w:pPr>
        <w:spacing w:after="0" w:line="19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b w:val="1"/>
          <w:bCs w:val="1"/>
          <w:i w:val="1"/>
          <w:iCs w:val="1"/>
          <w:color w:val="auto"/>
        </w:rPr>
        <w:t>We have previously experienced constraints in the supply of our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SoCs as the result of the global semiconductor shortage during 2021 and 2022, and future shortages in the supply of our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SoCs or other critical parts would adversely affect our business, results of operations, and financial condition.</w:t>
      </w:r>
    </w:p>
    <w:p>
      <w:pPr>
        <w:spacing w:after="0" w:line="204"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In 2021 and 2022, the semiconductor industry experienced widespread shortages of substrates and other components and available foundry manufacturing capacity. These factors, combined with the long lead times associated with wafer production, contributed to a shortage of semiconductors. During 2021 and 2022, STMicroelectronics, our sole supplier of EyeQ™ SoCs, was not able to meet our demand for EyeQ™ SoCs, causing a significant reduction in our inventory level, and we entered 2022 with significantly lower inventories of our EyeQ™ SoCs as a result of the limited supply during 2021. Starting in late 2022 and early 2023, such supply chain disruptions, raw material shortages and manufacturing limitations abated and during 2023, we successfully increased levels of EyeQ™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 SoCs or ECUs (including for Mobileye SuperVision™, Mobileye Chauffeur™, and Mobileye Drive™) on hand. As a result, we are substantially reliant on timely shipments of EyeQ™ SoCs from STMicroelectronics (or other suppliers) and ECUs from Quanta Computer (or other suppliers) to fulfill customer orders and if such a shortfall of chips or ECUs were to occur, we may be unable to offset future supply constraints through the use of inventory on hand. Since our EyeQ™ SoC is the core of our ADAS and autonomous driving solutions, continued, acute shortages in the supply of sufficient EyeQ™ SoCs to meet our production needs would impair our ability to meet our customers’ requirements in a timely manner, and would affect our business, results of operations, and financial condition potentially in an adverse manner.</w:t>
      </w:r>
    </w:p>
    <w:p>
      <w:pPr>
        <w:spacing w:after="0" w:line="21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Moreover, the reoccurrence of global semiconductor shortages could constrain production and cause production delays by automakers, which could then result in reduced or delayed demand for our solutions. In addition, any event, including for example the COVID-19 pandemic from 2020 through 2022, causing, or leading to, port congestion, intermittent supplier shutdowns, and/or delays in the delivery of critical components, could result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previously restricted in connection with efforts to address the COVID-19 pandemic. To mitigate supply chain constraints, we monitor inventory levels on an on-going basis and may further build up inventories of EyeQ™ SoCs. Accumulating such additional inventories could require substantial amounts of capital and may expose us to risks regarding the obsolescence of such chips.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800"/>
          </w:cols>
          <w:pgMar w:left="540" w:top="1347" w:right="54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STMicroelectronics to manufacture our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SoCs.</w:t>
      </w:r>
    </w:p>
    <w:p>
      <w:pPr>
        <w:spacing w:after="0" w:line="180"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We currently purchase all of our EyeQ™ SoCs from STMicroelectronics. Because of the complex proprietary nature of our EyeQ™ SoCs, any transition from STMicroelectronics to a new supplier or, if there were a disaster at any of STMicroelectronics’ facilities involved in manufacturing our EyeQ™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 SoCs or cease operations altogether. Moreover, certain critical manufacturing steps for EyeQ™ SoCs, including wafer fabrication and advanced packaging, are performed by a limited number of suppliers, including TSMC. Any interruptions or delays in these manufacturing steps due to capacity constraints, equipment failures or geopolitical issues could significantly affect STMicroelectronics’s ability to manufacture and deliver EyeQ™ SoCs on time, impacting our operations and customer relationships. STMicroelectronics depends on TSMC as its subcontractor to manufacture our EyeQ™ SoCs, particularly our EyeQ™5 and EyeQ™ 6 SoCs, and as a result, we are also vulnerable to the risk that TSMC may be unable to meet demand or cease operations altogether. In addition, we may be affected by supply constraints and increased costs involving STMicroelectronics and TSMC resulting from any reoccurrence of the global semiconductor shortage. See “— We have previously experienced constraints in the supply of our EyeQ™ SoCs as the result of the global semiconductor shortage during 2021 and 2022, and future shortages in the supply of our EyeQ™ SoCs or other critical parts would adversely affect our business, results of operations, and financial condition.”</w:t>
      </w:r>
    </w:p>
    <w:p>
      <w:pPr>
        <w:spacing w:after="0" w:line="20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TSMC is located in Taiwan, and our ability to receive sufficient supplies of our EyeQ™ SoCs could be adversely affected by events in Taiwan, China and the broader region, such as natural disasters in Taiwan, including earthquakes, drought and typhoons, escalations of tensions between the People’s Republic of China and Taiwan, including resulting from the People’s Republic of China’s step up of military exercises around Taiwan, political unrest, trade restrictions, war, or other geopolitical issues. These same factors may also adversely affect the global supply of microchips and cause additional constraints on global automotive production.</w:t>
      </w:r>
    </w:p>
    <w:p>
      <w:pPr>
        <w:spacing w:after="0" w:line="1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166" w:lineRule="exact"/>
        <w:rPr>
          <w:sz w:val="20"/>
          <w:szCs w:val="20"/>
          <w:color w:val="auto"/>
        </w:rPr>
      </w:pPr>
    </w:p>
    <w:p>
      <w:pPr>
        <w:jc w:val="both"/>
        <w:ind w:firstLine="362"/>
        <w:spacing w:after="0" w:line="255" w:lineRule="auto"/>
        <w:rPr>
          <w:sz w:val="20"/>
          <w:szCs w:val="20"/>
          <w:color w:val="auto"/>
        </w:rPr>
      </w:pPr>
      <w:r>
        <w:rPr>
          <w:rFonts w:ascii="Times New Roman" w:cs="Times New Roman" w:eastAsia="Times New Roman" w:hAnsi="Times New Roman"/>
          <w:sz w:val="19"/>
          <w:szCs w:val="19"/>
          <w:color w:val="auto"/>
        </w:rPr>
        <w:t>A large number of direct and indirect suppliers and vendors provide materials, equipment, and services that are used in the production of our solutions and other aspects of our business. Where possible, we seek to have several sources of supply, and to ensure our suppliers and vendors have multiple sources of supply as well. However, for certain materials, equipment, and services, we, and/or our suppliers and vendors, rely on a single or a limited number of direct and indirect suppliers and vendors, or upon direct and indirect suppliers and vendors in a single location, for example STMicroelectronics and TSMC. In addition, direct and indirect supplier and vendor consolidation, financial health or business failures can impact the nature, quality, availability, and pricing of the products and services available to us. For example, we currently depend on Amazon Web Services for cloud services in connection with our REM™ mapping system, Roadbook™, and AMaaS solutions including the Moovit platform, and a failure of such cloud services would result in interruptions to our services. In addition, the semiconductor industry has previously experienced widespread shortages of substrates. See “— We have previously experienced constraints in the supply of our EyeQ™ SoCs as the result of the global semiconductor shortage during 2021 and 2022, and future shortages in the supply of our EyeQ™ SoCs or other critical parts would adversely affect our business, results of operations, and financial condition” and “— We depend on STMicroelectronics to manufacture our EyeQ™ SoCs.” Further, in 2025 and in 2026 the global AI industry has generated increased demand for semiconductor components across multiple industries, including components necessary for the production of our solutions, such as EyeQ™ SoCs and ECUs for Mobileye SuperVision™, Mobileye Chauffeur™ and Mobileye Drive™. This new demand has resulted in and may continue to result in shortages of components necessary for our solutions, substantial increases in prices for such components and suppliers requiring us to increase lead times and purchase greater quantities of such components in advance in order to secure sufficient supply. Such shortages of components, as well as the increases in pricing, order requirements and lead times, has and may continue to impact our ability to supply solutions to our customers in order to meet demand as well as impact OEMs’ ability to purchase our solutions.</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800"/>
          </w:cols>
          <w:pgMar w:left="540" w:top="1350" w:right="540" w:bottom="0" w:gutter="0" w:footer="0" w:header="0"/>
          <w:type w:val="continuous"/>
        </w:sectPr>
      </w:pPr>
    </w:p>
    <w:bookmarkStart w:id="43" w:name="page44"/>
    <w:bookmarkEnd w:id="43"/>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face equipment failures, experience financial instability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197"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201"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 are unable to manage these risks, our ability to timely supply competitive solutions will be harmed, our costs will increase, and our business, results of operations, and financial condition would be adversely affected.</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Increases in costs of the materials and other components that we use in our solutions would adversely affect our business, results of operations, and financial condition.</w:t>
      </w:r>
    </w:p>
    <w:p>
      <w:pPr>
        <w:spacing w:after="0" w:line="165"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Significant changes in the markets in which we purchase materials, components, and supplies for the production of our solutions may adversely affect our profitability. Our contractual relationship with STMicroelectronics, our sole supplier of EyeQ™ SoCs, and with other suppliers does not provide us with long-term pricing or quantity guarantees. As a result of the global semiconductor shortage in 2021 and 2022 as well as inflationary pressures, we have experienced and may experience in the future increases in the cost of our EyeQ™ SoCs. For example, the AI industry has generated significant demand for components necessary for the production of our solutions and has resulted in shortages, excess lead times and increases in the prices of components. See “— We face additional supply chain risks and risks of interruption of requisite services, including, as a result of our reliance on a single supplier or limited suppliers and vendors, for certain components, equipment, and services.” We have adjusted, and continue to seek to adjust, the prices charged to our customers to offset these cost increases, but anticipate that, despite such price increases, our percentage gross margin may decrease, at least in the short term, as a result of these cost increases. Competitive and market pressures limit our ability to recover increases in costs through increases in prices we charge to our customers, and,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20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800"/>
          </w:cols>
          <w:pgMar w:left="540" w:top="1347" w:right="540" w:bottom="0" w:gutter="0" w:footer="0" w:header="0"/>
          <w:type w:val="continuous"/>
        </w:sectPr>
      </w:pPr>
    </w:p>
    <w:bookmarkStart w:id="44" w:name="page45"/>
    <w:bookmarkEnd w:id="44"/>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may suffer from claims or incur losses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84"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Our software and hardware, including our EyeQ™ SoCs, AI technologies and Mentee Robotics’s humanoid robot systems, are complex and, from time to time, have had, and could have or could be alleged to have, defects in design or manufacturing, inadequate, inaccurate, biased or otherwise flawed data or algorithms used to train certain AI technologies, security vulnerabilities or other errors, failures, or other issues of not functioning in accordance with their specifications or as expected. Some errors or defects in our solutions have been, and could be, initially undetected and only discovered after they have been tested, commercialized, and deployed by customers. Alleged or actual defects in any of our solutions could result in adverse publicity for us, warranty claims, litigation against us, legal expenses and damages, our customers never being able to commercialize technology incorporating our solutions, negative publicity for our customers,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192"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w:t>
      </w:r>
    </w:p>
    <w:p>
      <w:pPr>
        <w:spacing w:after="0" w:line="192"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Depending on the terms under which we supply products to a Tier 1 customer or an OEM, vehicle manufacturers have held and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 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19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While STMicroelectronics is responsible for quality control and procedures for testing and manufacturing our EyeQ™ SoCs to our specifications, we retain liability for failure in production caused by defective EyeQ™ SoC design or error. Further, although we use disclaimers, limitations of liability, and similar provisions in our agreements, there is no assurance that any or all of these provisions will prove to be effective barriers to product liability claims with respect to our products.</w:t>
      </w:r>
    </w:p>
    <w:p>
      <w:pPr>
        <w:spacing w:after="0" w:line="19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addition, although we currently maintain casualty insurance, there is no assurance that such insurance will be adequate to cover any or all of our potential losses, including due to large deductibles and broad exclusions. Our insurers may also discontinue our insurance coverage or be unable or unwilling to pay a claim, and we may be unable to find replacement insurance on acceptable terms, or at all. In respect of the commercialization of our solutions, including Mobileye SuperVision™, Mobileye Chauffeur™ and Mobileye Drive™, adequate insurance coverage may be partially or entirely unavailable to cover the associated risks, for which specialized insurance may be required. Losses not covered by insurance may be large, which could harm our results of operations and financial condition.</w:t>
      </w:r>
    </w:p>
    <w:p>
      <w:pPr>
        <w:spacing w:after="0" w:line="201"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800"/>
          </w:cols>
          <w:pgMar w:left="540" w:top="1349" w:right="540" w:bottom="0" w:gutter="0" w:footer="0" w:header="0"/>
          <w:type w:val="continuous"/>
        </w:sectPr>
      </w:pPr>
    </w:p>
    <w:bookmarkStart w:id="45" w:name="page46"/>
    <w:bookmarkEnd w:id="45"/>
    <w:p>
      <w:pPr>
        <w:jc w:val="both"/>
        <w:spacing w:after="0" w:line="280" w:lineRule="auto"/>
        <w:rPr>
          <w:sz w:val="20"/>
          <w:szCs w:val="20"/>
          <w:color w:val="auto"/>
        </w:rPr>
      </w:pPr>
      <w:r>
        <w:rPr>
          <w:rFonts w:ascii="Times New Roman" w:cs="Times New Roman" w:eastAsia="Times New Roman" w:hAnsi="Times New Roman"/>
          <w:sz w:val="20"/>
          <w:szCs w:val="20"/>
          <w:color w:val="auto"/>
        </w:rPr>
        <w:t>services that affect the performance of EyeQ™ SoCs, notwithstanding the absence of any defect in design or manufacture or other failure in EyeQ™ SoCs themselves, could result in additional claims being made against us.</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 addition, humanoid robotics is an emerging industry and the types of legal claims brought against us, if any, may be complex and unprecedented. We may be required to incur significant costs and resources related to any litigation related to the use of humanoid robot systems as we continue the development and deployment of technologies.</w:t>
      </w:r>
    </w:p>
    <w:p>
      <w:pPr>
        <w:spacing w:after="0" w:line="18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invest significant effort and money seeking OEM selection of our ADAS and autonomous driving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93"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 We typically sell our products to Tier 1 suppliers, but increasingly engage directly with OEMs, particularly with respect to our advanced product portfolio, which adds complexity to the sourcing and contracting process for us, and could strain our resources.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84" w:lineRule="exact"/>
        <w:rPr>
          <w:sz w:val="20"/>
          <w:szCs w:val="20"/>
          <w:color w:val="auto"/>
        </w:rPr>
      </w:pPr>
    </w:p>
    <w:p>
      <w:pPr>
        <w:jc w:val="both"/>
        <w:ind w:firstLine="362"/>
        <w:spacing w:after="0" w:line="242" w:lineRule="auto"/>
        <w:rPr>
          <w:sz w:val="20"/>
          <w:szCs w:val="20"/>
          <w:color w:val="auto"/>
        </w:rPr>
      </w:pPr>
      <w:r>
        <w:rPr>
          <w:rFonts w:ascii="Times New Roman" w:cs="Times New Roman" w:eastAsia="Times New Roman" w:hAnsi="Times New Roman"/>
          <w:sz w:val="20"/>
          <w:szCs w:val="20"/>
          <w:color w:val="auto"/>
        </w:rPr>
        <w:t>We generally do not have contracts with customers that require them to purchase our solutions in any certain quantity or at any certain price, and our sales could be less than we forecast if a vehicle model for 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For example, in the third quarter of 2024, Zeekr announced their decision to utilize their in-house system instead of SuperVision™ for at least a major portion of production for their 001 model going forward.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global material shortage in 2021 and 2022, we worked with our customers to ensure they commit to certain volumes on an annual basis in order to secure quantities. In late 2023, we returned to our pre-global material shortage practice of having customers commit to certain volumes on a quarterly or shorter basis.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800"/>
          </w:cols>
          <w:pgMar w:left="540" w:top="1347" w:right="540" w:bottom="0" w:gutter="0" w:footer="0" w:header="0"/>
          <w:type w:val="continuous"/>
        </w:sectPr>
      </w:pPr>
    </w:p>
    <w:bookmarkStart w:id="46" w:name="page47"/>
    <w:bookmarkEnd w:id="46"/>
    <w:p>
      <w:pPr>
        <w:jc w:val="both"/>
        <w:ind w:firstLine="361"/>
        <w:spacing w:after="0" w:line="259" w:lineRule="auto"/>
        <w:rPr>
          <w:sz w:val="20"/>
          <w:szCs w:val="20"/>
          <w:color w:val="auto"/>
        </w:rPr>
      </w:pPr>
      <w:r>
        <w:rPr>
          <w:rFonts w:ascii="Times New Roman" w:cs="Times New Roman" w:eastAsia="Times New Roman" w:hAnsi="Times New Roman"/>
          <w:sz w:val="19"/>
          <w:szCs w:val="19"/>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188" w:lineRule="exact"/>
        <w:rPr>
          <w:sz w:val="20"/>
          <w:szCs w:val="20"/>
          <w:color w:val="auto"/>
        </w:rPr>
      </w:pPr>
    </w:p>
    <w:p>
      <w:pPr>
        <w:jc w:val="both"/>
        <w:ind w:firstLine="362"/>
        <w:spacing w:after="0" w:line="241" w:lineRule="auto"/>
        <w:rPr>
          <w:sz w:val="20"/>
          <w:szCs w:val="20"/>
          <w:color w:val="auto"/>
        </w:rPr>
      </w:pPr>
      <w:r>
        <w:rPr>
          <w:rFonts w:ascii="Times New Roman" w:cs="Times New Roman" w:eastAsia="Times New Roman" w:hAnsi="Times New Roman"/>
          <w:sz w:val="20"/>
          <w:szCs w:val="20"/>
          <w:color w:val="auto"/>
        </w:rPr>
        <w:t>In connection with our design wins, we typically receive preliminary estimates from OEMs of their anticipated production volumes for the models relating to those design wins. Those estimates may be revised significantly by the OEMs, potentially multiple times, and may not be representative of future production volumes associated with those design wins, which could be significantly higher or lower than estimated. For example, several automakers decreased their initial 2023 vehicle production projections, and we had to adjust our forecasts accordingly. Furthermore, long development cycles or vehicle model cancellations or postponements would adversely affect our business, results of operations, and financial condition. In addition, in prior periods, including during the global semi-conductor shortage in 2021 and 2022, certain Tier 1 customers increased their orders for components and parts, including our solutions, to counteract the impact of supply chain shortages for auto parts, and we expect following the abatement of such shortages, these Tier 1 customers in turn will utilize such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during prior periods. For example, as a result of our standard planning process for 2024, we became aware in late 2023 that our Tier 1 customers accrued significant excess inventory during 2021 and 2022 in a desire to avoid parts shortages, and in 2023 as a result of lower- than-expected production at certain OEMs. We estimate that our customers used the vast majority of this excess, accrued inventory in 2024 in accordance with our expectations, but there is no guarantee that orders will remain normalized or that our customers won’t build up excess inventory in the future. In addition, the AI industry has generated significant demand for components necessary for the production of our solutions. Such component shortages and resulting price increases may cause our Tier 1 customers and OEM customers to increase their orders for our solutions to counteract any impact such component shortages may have on our ability to meet demand. As a result, some demand for our solutions and the corresponding revenue from these customers may be shifted to earlier time periods than otherwise would have occurred absent such shortages. See “— We face additional supply chain risks and risks of interruption of requisite services, including, as a result of our reliance on a single supplier or limited suppliers and vendors, for certain components, equipment, and services.”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189"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We supply OEMs with the EyeQ™ platform directly or through our arrangements with automotive system integrators, known as Tier 1 automotive suppliers, which are direct suppliers to OEMs. In 2025, our three largest Tier 1 customers, which were ZF, Valeo, and Aptiv, accounted for 30%, 17%, and 15%, respectively, of our revenue, compared to 27%, 20%, and 14%, respectively, in 2024. Moreover, in 2025, 17%, 12%, 11%, and 11% of our revenue was derived from the incorporation of our solutions into the vehicle models of four OEMs and a total of 82%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 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committed to purchasing minimum quantities of certain solutions in 2023. However, with the abatement of global shortages, our customers have generally reverted to our customary practice of committing to purchase quantities of our solutions on a quarterly or shorter basis.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800"/>
          </w:cols>
          <w:pgMar w:left="540" w:top="1347" w:right="540" w:bottom="0" w:gutter="0" w:footer="0" w:header="0"/>
          <w:type w:val="continuous"/>
        </w:sectPr>
      </w:pPr>
    </w:p>
    <w:bookmarkStart w:id="47" w:name="page48"/>
    <w:bookmarkEnd w:id="47"/>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Our customers and the OEMs that incorporate our solutions may not perform as well as the automotive market as a whole, which in turn could impact our business, results of operations, and financial condition relative to the industry.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success of our AMaaS and robotaxi solutions will depend on their effective deployment and operation by third parties, and may be adversely affected by regulatory developments, safety incidents, negative media coverage or public perception.</w:t>
      </w:r>
    </w:p>
    <w:p>
      <w:pPr>
        <w:spacing w:after="0" w:line="165"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Our AMaaS and robotaxi strategy is primarily focused on enabling third parties, such as vehicle manufacturers, fleet operators, transportation network companies and other mobility service providers to deploy and operate autonomous vehicles using our technology, including Mobileye Drive™. As a result, the success of our AMaaS directed solutions will depend significantly on the ability and willingness of these third parties to integrate our technology into their vehicles and platforms, make substantial upfront and ongoing investments, obtain and maintain regulatory approvals, deploy and operate fleets safely and reliably, and achieve sufficient utilization and consumer acceptance. Many of these factors are outside of our control, and any failure, delay or change in strategy by our partners could limit the scale, timing or commercial viability of robotaxi deployments and adversely affect our business, results of operations and financial condition. We are collaborating with various business-to-business and business-to-consumer channels for the purpose of deploying Mobileye Drive™. As part of our business-to-business go-to-market strategy, we expect to sell and integrate Mobileye Drive™ to a range of shuttle network operators and vehicle OEMs that intend to operate consumer-facing AMaaS, transportation on demand, and delivery services. Additionally, as part of our business-to-customer go-to-market strategy, we expect to deploy Mobileye Drive™-enabled AMaaS offerings by integrating them with our self-driving vehicles in partnership with transportation network companies. Such third parties may also terminate our partnerships with them. Any failures by third parties to effectively deploy and operate our AMaaS solutions, or the termination of our relationships with any such third parties, would adversely affect our business, results of operations, and financial condition.</w:t>
      </w:r>
    </w:p>
    <w:p>
      <w:pPr>
        <w:spacing w:after="0" w:line="198"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Our reliance on third-party partners for robotaxi deployments exposes us to risks associated with complex and evolving commercial relationships, including disagreements regarding deployment schedules, operational responsibilities, economics, branding, data access and use, liability allocation, and the allocation of costs associated with vehicle hardware, software updates, maintenance and fleet operations. Our partners may also face their own operational, financial or strategic challenges, may decide to delay, reduce or discontinue their autonomous mobility programs, may pursue competing technologies or in-house solutions, or may exit certain markets or geographies, any of which could adversely affect demand for our technology and our ability to achieve anticipated benefits from our AMaaS and robotaxi initiatives.</w:t>
      </w:r>
    </w:p>
    <w:p>
      <w:pPr>
        <w:spacing w:after="0" w:line="20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Robotaxi services represent a particularly demanding application of autonomous driving technology and are subject to heightened technological, safety, regulatory and operational risks compared to driver-assistance or consumer autonomous driving applications. Autonomous vehicles intended for driverless commercial operation must function reliably across diverse and complex real-world conditions, including dense urban environments, variable weather, unpredictable behavior by other road users and rare or novel edge cases. Any real or perceived failure of vehicles incorporating our technology to operate safely could result in accidents, injuries or fatalities, increased regulatory scrutiny, litigation, reputational harm, reduced consumer acceptance and reluctance by partners or regulators to approve or expand robotaxi deployments.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800"/>
          </w:cols>
          <w:pgMar w:left="540" w:top="1347" w:right="540" w:bottom="0" w:gutter="0" w:footer="0" w:header="0"/>
          <w:type w:val="continuous"/>
        </w:sectPr>
      </w:pPr>
    </w:p>
    <w:bookmarkStart w:id="48" w:name="page49"/>
    <w:bookmarkEnd w:id="48"/>
    <w:p>
      <w:pPr>
        <w:jc w:val="both"/>
        <w:ind w:firstLine="361"/>
        <w:spacing w:after="0" w:line="260" w:lineRule="auto"/>
        <w:rPr>
          <w:sz w:val="20"/>
          <w:szCs w:val="20"/>
          <w:color w:val="auto"/>
        </w:rPr>
      </w:pPr>
      <w:r>
        <w:rPr>
          <w:rFonts w:ascii="Times New Roman" w:cs="Times New Roman" w:eastAsia="Times New Roman" w:hAnsi="Times New Roman"/>
          <w:sz w:val="19"/>
          <w:szCs w:val="19"/>
          <w:color w:val="auto"/>
        </w:rPr>
        <w:t>In addition, the success of our robotaxi platform and future autonomous mobility products may be significantly influenced by media coverage, public commentary and public perception regarding autonomous driving technologies generally, and robotaxi services in particular. Media coverage of accidents, system failures, regulatory actions or other events involving autonomous vehicles, whether or not such events involve our technology or accurately reflect its performance, may disproportionately influence public opinion, regulatory attitudes and the willingness of consumers, fleet operators and transportation network companies and other mobility service providers to adopt or expand robotaxi services. Negative or inaccurate media coverage, heightened scrutiny by regulators or policymakers, or shifts in public sentiment regarding the safety or reliability of autonomous vehicles could adversely affect demand for our products, delay commercialization efforts and impair the long-term adoption of our autonomous mobility solutions.</w:t>
      </w:r>
    </w:p>
    <w:p>
      <w:pPr>
        <w:spacing w:after="0" w:line="18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Robotaxi services are also subject to evolving, fragmented and jurisdiction-specific regulatory regimes governing autonomous vehicle testing and deployment, commercial transportation services, data privacy, cybersecurity, insurance and ongoing reporting obligations. Regulatory requirements may change over time, differ materially across jurisdictions and impose conditions that limit operational flexibility, increase costs or delay or prevent large-scale deployment. There can be no assurance that the regulatory approvals required for the widespread commercialization of robotaxi services will be obtained on a timely basis, on commercially reasonable terms, or at all.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Developing RoadBook</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depends on continued cooperation by OEMs.</w:t>
      </w:r>
    </w:p>
    <w:p>
      <w:pPr>
        <w:spacing w:after="0" w:line="180"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The success of our Cloud-Enhanced ADAS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Mobileye Surround ADAS™, Mobileye SuperVision™, Mobileye Chauffeur™ and Mobileye Drive™ systems requires significant amounts of fresh mapping data from series production vehicles around the world in order to develop RoadBook™.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 our Cloud-Enhanced ADAS™, Mobileye Surround ADAS™, Mobileye SuperVision™, Mobileye Chauffeur™ and Mobileye Drive™ systems will not perform as expected, which would adversely affect our business, results of operations,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highly dependent on the services of Professor Amnon Shashua, our President and Chief Executive Officer.</w:t>
      </w:r>
    </w:p>
    <w:p>
      <w:pPr>
        <w:spacing w:after="0" w:line="238"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 Chairman and co-founder of OrCam, which harnesses computer vision and AI to assist the visually and hearing impaired, the Founder of One Zero Digital Bank, an entirely digital independent bank being developed in Israel, the Chairman and co-founder of Mentee Robotics, which Mobileye acquired on February 3, 2026, a co-founder, CEO and director of AA-I Technologies, which is developing AI super intelligence for scientific and research applications,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800"/>
          </w:cols>
          <w:pgMar w:left="540" w:top="1347" w:right="540" w:bottom="0" w:gutter="0" w:footer="0" w:header="0"/>
          <w:type w:val="continuous"/>
        </w:sectPr>
      </w:pPr>
    </w:p>
    <w:bookmarkStart w:id="49" w:name="page50"/>
    <w:bookmarkEnd w:id="49"/>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retain, and motivate key employees, then our business, results of operations, and financial condition would be adversely affected.</w:t>
      </w:r>
    </w:p>
    <w:p>
      <w:pPr>
        <w:spacing w:after="0" w:line="166" w:lineRule="exact"/>
        <w:rPr>
          <w:sz w:val="20"/>
          <w:szCs w:val="20"/>
          <w:color w:val="auto"/>
        </w:rPr>
      </w:pPr>
    </w:p>
    <w:p>
      <w:pPr>
        <w:jc w:val="both"/>
        <w:ind w:firstLine="361"/>
        <w:spacing w:after="0" w:line="256" w:lineRule="auto"/>
        <w:rPr>
          <w:sz w:val="20"/>
          <w:szCs w:val="20"/>
          <w:color w:val="auto"/>
        </w:rPr>
      </w:pPr>
      <w:r>
        <w:rPr>
          <w:rFonts w:ascii="Times New Roman" w:cs="Times New Roman" w:eastAsia="Times New Roman" w:hAnsi="Times New Roman"/>
          <w:sz w:val="19"/>
          <w:szCs w:val="19"/>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have previously used and intend to continue to use employee incentives such as share-based awards. Our employee hiring and retention also depend on our ability to build and maintain a diverse and inclusive workplace culture and be viewed as an employer of choice. If our share-based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Further, with our acquisition of the Mentee business in the first quarter of 2026, we gained approximately 87 new employees, including employees important to the ongoing integration of the business and technologies. We may have to spend additional resources to successfully integrate and retain such employees. If we do not effectively hire, onboard, retain, and motivate key employees, then our business, results of operations, and financial condition would be adversely affected.</w:t>
      </w:r>
    </w:p>
    <w:p>
      <w:pPr>
        <w:spacing w:after="0" w:line="19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Changes in our management team can also disrupt our business. Our management and senior leadership team has significant industry experience, and their knowledge and relationships would be difficult to replace. Further, Professor Amnon Shashua, our President and Chief Executive Officer, and Professor Shai Shalev-Shwartz, our Chief Technology Officer, are both prominent in the computer science, AI and technology communities, especially in Israel. Their service at Mobileye is an important contribution to our ability to attract, retain and motivate key talent. Leadership changes may occur from time to time, and we cannot predict whether significant resignations will occur or whether we will be able to recruit qualified personnel. In addition, the 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integration risks and costs associated with companies, assets, employees, products, and technologies that we have or that we may acquire, including in respect of our acquisition of Mentee Robotics Ltd.</w:t>
      </w:r>
    </w:p>
    <w:p>
      <w:pPr>
        <w:spacing w:after="0" w:line="165"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We have in the past and, if we are presented with appropriate opportunities, we may in the future 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stockholders.</w:t>
      </w:r>
    </w:p>
    <w:p>
      <w:pPr>
        <w:spacing w:after="0" w:line="197"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On February 3, 2026, we acquired 100% of the issued and outstanding stock of Mentee Robotics Ltd., a privately held Israeli company focused on humanoid robotics, in exchange for a purchase price consisting of cash and shares of Class A common stock. We face risks, uncertainties and potential disruptions with the integration of Mentee Robotics and its personnel, technology and operations. We may not realize the anticipated benefits of the acquisition, and our operating results and financial condition could be adversely affected. Humanoid robotics represents a nascent and rapidly evolving market characterized by significant technological complexity, long development timelines, potentially high capital requirements, uncertain customer demand, and evolving regulatory and safety frameworks. The commercialization of humanoid robotics remains subject to significant uncertainties, including regulatory approval across jurisdictions, public acceptance, safety performance, scalability and economic viability.</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800"/>
          </w:cols>
          <w:pgMar w:left="540" w:top="1349" w:right="54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in the future, which may not be available on terms acceptable to us, or at all.</w:t>
      </w:r>
    </w:p>
    <w:p>
      <w:pPr>
        <w:spacing w:after="0" w:line="238"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A majority of our operating expenses are for research and development activities. Our capital requirements will depend on many factors, including, but not limited to:</w:t>
      </w:r>
    </w:p>
    <w:p>
      <w:pPr>
        <w:spacing w:after="0" w:line="179" w:lineRule="exact"/>
        <w:rPr>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technological advancements;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market acceptance of our solutions and solution enhancements, and the overall level of sales of our solutions;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research and development expenses;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relationships with our customers and suppliers;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control costs;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sales and marketing expenses;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enhancements to our infrastructure and systems and any capital improvements to our facilities;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acquisitions of businesses and product lines; and</w:t>
      </w:r>
    </w:p>
    <w:p>
      <w:pPr>
        <w:spacing w:after="0" w:line="252"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conditions, inflation, rising interest rates, and international conflicts and their impact on the automotive industry in particular.</w:t>
      </w:r>
    </w:p>
    <w:p>
      <w:pPr>
        <w:spacing w:after="0" w:line="16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spacing w:after="0" w:line="1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affected by fluctuations in currency exchange rates, including those in connection with prior inflationary trends in the United States.</w:t>
      </w:r>
    </w:p>
    <w:p>
      <w:pPr>
        <w:spacing w:after="0" w:line="165"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and the Japanese Yen. Although most of our sales occur in U.S. dollars, and our financial results are reported in U.S. dollars, the payroll and other operating expenses that are denominated in New Israeli Shekels are well above half of these expenses. An increase in the value of the dollar will increase the real cost to our customers of our solutions in those markets outside the U.S. where we sell in dollars. A decrease in the value of the dollar will increase the dollar value of operating expenses denominated in New Israeli Shekels, including for example the majority of our payroll expenses, as well as some of our utilities and capital expenditures. In 2024, the Company initiated a foreign currency cash flow hedging program, designed to hedge the Company’s foreign exchange rate risk resulting from its ILS payroll expenses, but there is no guarantee that volatility in exchange rates will not adversely affect our business, results of operations and financial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a holding company.</w:t>
      </w:r>
    </w:p>
    <w:p>
      <w:pPr>
        <w:spacing w:after="0" w:line="238"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We are a holding company. Accordingly, our ability to conduct our operations, service any debt that we may incur,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800"/>
          </w:cols>
          <w:pgMar w:left="540" w:top="1350" w:right="54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Risks Related to Privacy, Data, and Cybersecurity</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Interruptions to our information technology systems and networks and cybersecurity incidents could adversely affect our business, results of operations, and financial condition.</w:t>
      </w:r>
    </w:p>
    <w:p>
      <w:pPr>
        <w:spacing w:after="0" w:line="165"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logical, electronic, and organizational measures designed to safeguard and secure our systems to prevent a data breach or compromise, and to prevent damage to or downtime of our systems, and although we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200"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As third party and supply chain cybersecurity risks have become a heightened focus, 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Additionally, any contractual protections with such third parties, including our right to indemnification, if any at all, may be limited or insufficient to prevent a negative impact on our business from such cyberattacks. Despite the implementation of preventative and detective security controls, our and such third parties’ IT systems are vulnerable to damage, shutdown, or interruption from a variety of sources, including telecommunications or network failures or interruptions, system malfunction, natural disasters, cyber-crime, terrorism, and war. Additionally, our IT systems and products may be vulnerable to malicious acts by hackers, including through the use of AI and automation, which may increase the speed and effectiveness of attacks, and through the use of computer viruses, malware (including ransomware), phishing attacks, or denial of service attacks.</w:t>
      </w:r>
    </w:p>
    <w:p>
      <w:pPr>
        <w:spacing w:after="0" w:line="199" w:lineRule="exact"/>
        <w:rPr>
          <w:sz w:val="20"/>
          <w:szCs w:val="20"/>
          <w:color w:val="auto"/>
        </w:rPr>
      </w:pPr>
    </w:p>
    <w:p>
      <w:pPr>
        <w:jc w:val="both"/>
        <w:ind w:firstLine="361"/>
        <w:spacing w:after="0" w:line="257" w:lineRule="auto"/>
        <w:rPr>
          <w:sz w:val="20"/>
          <w:szCs w:val="20"/>
          <w:color w:val="auto"/>
        </w:rPr>
      </w:pPr>
      <w:r>
        <w:rPr>
          <w:rFonts w:ascii="Times New Roman" w:cs="Times New Roman" w:eastAsia="Times New Roman" w:hAnsi="Times New Roman"/>
          <w:sz w:val="19"/>
          <w:szCs w:val="19"/>
          <w:color w:val="auto"/>
        </w:rPr>
        <w:t>We regularly face attempts by others to gain unauthorized access, or to introduce malicious software, to our IT systems. Individuals or organizations, including malicious hackers, state-sponsored organizations, insider threats, including employees and third- party service providers, or intruders into our physical 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may see enhanced effectiveness through the use of AI, and if successful, may expose us and the affected 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188" w:lineRule="exact"/>
        <w:rPr>
          <w:sz w:val="20"/>
          <w:szCs w:val="20"/>
          <w:color w:val="auto"/>
        </w:rPr>
      </w:pPr>
    </w:p>
    <w:p>
      <w:pPr>
        <w:jc w:val="both"/>
        <w:ind w:firstLine="361"/>
        <w:spacing w:after="0" w:line="259" w:lineRule="auto"/>
        <w:rPr>
          <w:sz w:val="20"/>
          <w:szCs w:val="20"/>
          <w:color w:val="auto"/>
        </w:rPr>
      </w:pPr>
      <w:r>
        <w:rPr>
          <w:rFonts w:ascii="Times New Roman" w:cs="Times New Roman" w:eastAsia="Times New Roman" w:hAnsi="Times New Roman"/>
          <w:sz w:val="19"/>
          <w:szCs w:val="19"/>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Recent regulatory developments enhance cybersecurity disclosure and incident reporting requirements, and may increase the likelihood that cybersecurity incidents result in regulatory inquiries, reporting obligations, or enforcement actions. In addition, cybersecurity threats are constantly evolving, including through the use of AI, thereby increasing the difficulty of successfully</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800"/>
          </w:cols>
          <w:pgMar w:left="540" w:top="1345" w:right="540" w:bottom="0" w:gutter="0" w:footer="0" w:header="0"/>
          <w:type w:val="continuous"/>
        </w:sectPr>
      </w:pPr>
    </w:p>
    <w:bookmarkStart w:id="52" w:name="page53"/>
    <w:bookmarkEnd w:id="52"/>
    <w:p>
      <w:pPr>
        <w:jc w:val="both"/>
        <w:spacing w:after="0" w:line="243" w:lineRule="auto"/>
        <w:rPr>
          <w:sz w:val="20"/>
          <w:szCs w:val="20"/>
          <w:color w:val="auto"/>
        </w:rPr>
      </w:pPr>
      <w:r>
        <w:rPr>
          <w:rFonts w:ascii="Times New Roman" w:cs="Times New Roman" w:eastAsia="Times New Roman" w:hAnsi="Times New Roman"/>
          <w:sz w:val="20"/>
          <w:szCs w:val="20"/>
          <w:color w:val="auto"/>
        </w:rPr>
        <w:t>defending against them or implementing adequate preventative measures. As a result of and following the COVID-19 pandemic, remote work and remote access to our network and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or regulatory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2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Security breaches and other disruptions of our in-vehicle systems and related data could impact the safety of our end users and reduce confidence in us and our solutions.</w:t>
      </w:r>
    </w:p>
    <w:p>
      <w:pPr>
        <w:spacing w:after="0" w:line="165"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and safety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increased car connectivity and over-the-air updates, our solutions may increasingly be subject to cyber threats.</w:t>
      </w:r>
    </w:p>
    <w:p>
      <w:pPr>
        <w:spacing w:after="0" w:line="201"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We also transmit and store RoadBook™ data on the cloud and operate MaaS connectivity infrastructure with Amazon Web Services, and we depend on Amazon Web Services for securing their underlying infrastructure for the data stored on it. Hackers may attempt to infiltrate, steal, corrupt, or manipulate such data on the cloud, which could also result in our in-vehicle systems malfunctioning.</w:t>
      </w:r>
    </w:p>
    <w:p>
      <w:pPr>
        <w:spacing w:after="0" w:line="168"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outside such vehicles, or result in legal or regulatory claims or proceedings, liability, or regulatory penalties. Moreover, existing as well as future laws and regulations that require or permit third-party access to vehicle data and related systems, such as the Massachusetts data access law and proposed federal “right to repair” legislation, including the U.S. Repair Act, could expose our vehicle systems and vehicles incorporating our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184"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may increase as a result of the future introduction of our MaaS solutions, including any integration of Moovit, which may provide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We may also be required to expend significant resources to investigate a potential data breach. A major data breach or a major breach of our network</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800"/>
          </w:cols>
          <w:pgMar w:left="540" w:top="1347" w:right="540" w:bottom="0" w:gutter="0" w:footer="0" w:header="0"/>
          <w:type w:val="continuous"/>
        </w:sectPr>
      </w:pPr>
    </w:p>
    <w:bookmarkStart w:id="53" w:name="page54"/>
    <w:bookmarkEnd w:id="53"/>
    <w:p>
      <w:pPr>
        <w:jc w:val="both"/>
        <w:spacing w:after="0" w:line="280" w:lineRule="auto"/>
        <w:rPr>
          <w:sz w:val="20"/>
          <w:szCs w:val="20"/>
          <w:color w:val="auto"/>
        </w:rPr>
      </w:pPr>
      <w:r>
        <w:rPr>
          <w:rFonts w:ascii="Times New Roman" w:cs="Times New Roman" w:eastAsia="Times New Roman" w:hAnsi="Times New Roman"/>
          <w:sz w:val="20"/>
          <w:szCs w:val="20"/>
          <w:color w:val="auto"/>
        </w:rPr>
        <w:t>security and systems may result in fines, penalties, and damages, harm our reputation, and adversely affect our business, results of operations, and financial condition.</w:t>
      </w:r>
    </w:p>
    <w:p>
      <w:pPr>
        <w:spacing w:after="0" w:line="164"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EU,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In addition, as the EU AI Act phased application may classify certain AI systems used in the context of autonomous driving, mobility, and large-scale monitoring of public spaces as high-risk AI systems, the AI Act may trigger additional obligations related to data governance, transparency, human oversight, risk management, and post-market monitoring.</w:t>
      </w:r>
    </w:p>
    <w:p>
      <w:pPr>
        <w:spacing w:after="0" w:line="205"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Costs to comply with Data Protection Laws and implement appropriate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including in each case in respect of our use of AI technologies (which are subject to increasing regulatory scrutiny and, in certain jurisdictions, new compliance frameworks applicable to high- risk or large-scale AI deployments), even if unfounded, to successfully negotiate privacy, data protection, or information security-related contractual terms with customers, or to comply and demonstrate compliance with Data Protection Laws, could result in additional cost and liability to us, harm our reputation and brand, and could adversely affect our business, results of operations, and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Rights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adequately protect, defend or enforce our intellectual property rights, and our efforts to do so may be costly.</w:t>
      </w:r>
    </w:p>
    <w:p>
      <w:pPr>
        <w:spacing w:after="0" w:line="238"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 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800"/>
          </w:cols>
          <w:pgMar w:left="540" w:top="1347" w:right="540" w:bottom="0" w:gutter="0" w:footer="0" w:header="0"/>
          <w:type w:val="continuous"/>
        </w:sectPr>
      </w:pPr>
    </w:p>
    <w:bookmarkStart w:id="54" w:name="page55"/>
    <w:bookmarkEnd w:id="54"/>
    <w:p>
      <w:pPr>
        <w:jc w:val="both"/>
        <w:ind w:left="4" w:firstLine="361"/>
        <w:spacing w:after="0" w:line="244" w:lineRule="auto"/>
        <w:rPr>
          <w:sz w:val="20"/>
          <w:szCs w:val="20"/>
          <w:color w:val="auto"/>
        </w:rPr>
      </w:pPr>
      <w:r>
        <w:rPr>
          <w:rFonts w:ascii="Times New Roman" w:cs="Times New Roman" w:eastAsia="Times New Roman" w:hAnsi="Times New Roman"/>
          <w:sz w:val="20"/>
          <w:szCs w:val="20"/>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98" w:lineRule="exact"/>
        <w:rPr>
          <w:sz w:val="20"/>
          <w:szCs w:val="20"/>
          <w:color w:val="auto"/>
        </w:rPr>
      </w:pPr>
    </w:p>
    <w:p>
      <w:pPr>
        <w:jc w:val="both"/>
        <w:ind w:left="4" w:firstLine="362"/>
        <w:spacing w:after="0" w:line="256" w:lineRule="auto"/>
        <w:rPr>
          <w:sz w:val="20"/>
          <w:szCs w:val="20"/>
          <w:color w:val="auto"/>
        </w:rPr>
      </w:pPr>
      <w:r>
        <w:rPr>
          <w:rFonts w:ascii="Times New Roman" w:cs="Times New Roman" w:eastAsia="Times New Roman" w:hAnsi="Times New Roman"/>
          <w:sz w:val="19"/>
          <w:szCs w:val="19"/>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misappropriates or otherwise violates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misappropriation or other violation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(loss). Any claims we assert against perceived infringers could provoke these parties to assert counterclaims against us, alleging that we infringe, misappropriate or otherwise violate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93" w:lineRule="exact"/>
        <w:rPr>
          <w:sz w:val="20"/>
          <w:szCs w:val="20"/>
          <w:color w:val="auto"/>
        </w:rPr>
      </w:pPr>
    </w:p>
    <w:p>
      <w:pPr>
        <w:jc w:val="both"/>
        <w:ind w:left="4" w:firstLine="361"/>
        <w:spacing w:after="0"/>
        <w:rPr>
          <w:sz w:val="20"/>
          <w:szCs w:val="20"/>
          <w:color w:val="auto"/>
        </w:rPr>
      </w:pPr>
      <w:r>
        <w:rPr>
          <w:rFonts w:ascii="Times New Roman" w:cs="Times New Roman" w:eastAsia="Times New Roman" w:hAnsi="Times New Roman"/>
          <w:sz w:val="20"/>
          <w:szCs w:val="20"/>
          <w:color w:val="auto"/>
        </w:rPr>
        <w:t>In addition, we depend on licenses for certain technologies from third parties and, as a result, are dependent on these third parties to protect, defend and enforce the intellectual property rights related to those technologies. This includes an agreement with Intel in which Intel grants to us a royalty-free, nonexclusive, nontransferable, and worldwide license, sublicense, or other right, as applicable, under certain patents and patent applications of other Intel subsidiaries and certain third parties, and further includes agreements we entered into with Intel in connection with the Mobileye IPO pursuant to which we are granted limited licenses from Intel for sensitive core technology relating to radar. See “— We depend on licenses for certain technologies from third parties, some of which require us to pay royalties, and our inability to use such technologies in the future would harm our ability to remain competitive” and “Risks Related to Our Relationship with Intel and Our Dual Class Structure — We may have conflicts of interest with Intel and, because of</w:t>
      </w:r>
    </w:p>
    <w:p>
      <w:pPr>
        <w:jc w:val="both"/>
        <w:ind w:left="4" w:hanging="4"/>
        <w:spacing w:after="0" w:line="260" w:lineRule="auto"/>
        <w:tabs>
          <w:tab w:leader="none" w:pos="2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84" w:lineRule="exact"/>
        <w:rPr>
          <w:sz w:val="20"/>
          <w:szCs w:val="20"/>
          <w:color w:val="auto"/>
        </w:rPr>
      </w:pPr>
    </w:p>
    <w:p>
      <w:pPr>
        <w:jc w:val="both"/>
        <w:ind w:left="4"/>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previously faced claims and may in the future become subject to additional claims and litigation brought by third parties alleging infringement. misappropriation or other violation by us of their intellectual property rights.</w:t>
      </w:r>
    </w:p>
    <w:p>
      <w:pPr>
        <w:spacing w:after="0" w:line="165" w:lineRule="exact"/>
        <w:rPr>
          <w:sz w:val="20"/>
          <w:szCs w:val="20"/>
          <w:color w:val="auto"/>
        </w:rPr>
      </w:pPr>
    </w:p>
    <w:p>
      <w:pPr>
        <w:jc w:val="both"/>
        <w:ind w:left="4" w:firstLine="360"/>
        <w:spacing w:after="0" w:line="250" w:lineRule="auto"/>
        <w:rPr>
          <w:sz w:val="20"/>
          <w:szCs w:val="20"/>
          <w:color w:val="auto"/>
        </w:rPr>
      </w:pPr>
      <w:r>
        <w:rPr>
          <w:rFonts w:ascii="Times New Roman" w:cs="Times New Roman" w:eastAsia="Times New Roman" w:hAnsi="Times New Roman"/>
          <w:sz w:val="20"/>
          <w:szCs w:val="20"/>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 recent years, there has been significant litigation globally involving patents and other intellectual property rights.</w:t>
      </w:r>
    </w:p>
    <w:p>
      <w:pPr>
        <w:sectPr>
          <w:pgSz w:w="11880" w:h="15480" w:orient="portrait"/>
          <w:cols w:equalWidth="0" w:num="1">
            <w:col w:w="10804"/>
          </w:cols>
          <w:pgMar w:left="536"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804"/>
          </w:cols>
          <w:pgMar w:left="536" w:top="1347" w:right="540" w:bottom="0" w:gutter="0" w:footer="0" w:header="0"/>
          <w:type w:val="continuous"/>
        </w:sectPr>
      </w:pPr>
    </w:p>
    <w:bookmarkStart w:id="55" w:name="page56"/>
    <w:bookmarkEnd w:id="55"/>
    <w:p>
      <w:pPr>
        <w:jc w:val="both"/>
        <w:ind w:firstLine="362"/>
        <w:spacing w:after="0" w:line="255" w:lineRule="auto"/>
        <w:rPr>
          <w:sz w:val="20"/>
          <w:szCs w:val="20"/>
          <w:color w:val="auto"/>
        </w:rPr>
      </w:pPr>
      <w:r>
        <w:rPr>
          <w:rFonts w:ascii="Times New Roman" w:cs="Times New Roman" w:eastAsia="Times New Roman" w:hAnsi="Times New Roman"/>
          <w:sz w:val="19"/>
          <w:szCs w:val="19"/>
          <w:color w:val="auto"/>
        </w:rPr>
        <w:t>We have previously faced claims and may in the future be subject to additional claims and litigation alleging our infringement, misappropriation or other violation of third -party patent rights, trade secret rights or other intellectual property rights, including in respect of our use of certain AI technologies,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misappropriate or otherwise violate a third party’s patent rights, or if we wish to avoid potential intellectual property litigation on any alleged infringement, misappropriation or other violation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200" w:lineRule="exact"/>
        <w:rPr>
          <w:sz w:val="20"/>
          <w:szCs w:val="20"/>
          <w:color w:val="auto"/>
        </w:rPr>
      </w:pPr>
    </w:p>
    <w:p>
      <w:pPr>
        <w:spacing w:after="0" w:line="23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color w:val="auto"/>
        </w:rPr>
        <w:t>A successful claim of infringement, misappropriation or other violation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misappropriation or other violation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misappropriation or other violation by our solutions of third-party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 consuming and expensive to resolve and would divert management’s time and attention from our business, which could seriously harm our business. A claim that our solutions infringe, misappropriate or otherwise violate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1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165"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integrate certain technologies developed and owned by third parties into our solutions, including the central processing unit cores of our EyeQ™ SoCs, through license and technology transfer agreements. Under these agreements, we are obligated to pay royalties for each unit of our solutions that we sell that incorporates such third-party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800"/>
          </w:cols>
          <w:pgMar w:left="540" w:top="1347" w:right="540" w:bottom="0" w:gutter="0" w:footer="0" w:header="0"/>
          <w:type w:val="continuous"/>
        </w:sectPr>
      </w:pPr>
    </w:p>
    <w:bookmarkStart w:id="56" w:name="page57"/>
    <w:bookmarkEnd w:id="56"/>
    <w:p>
      <w:pPr>
        <w:jc w:val="both"/>
        <w:ind w:firstLine="360"/>
        <w:spacing w:after="0"/>
        <w:rPr>
          <w:sz w:val="20"/>
          <w:szCs w:val="20"/>
          <w:color w:val="auto"/>
        </w:rPr>
      </w:pPr>
      <w:r>
        <w:rPr>
          <w:rFonts w:ascii="Times New Roman" w:cs="Times New Roman" w:eastAsia="Times New Roman" w:hAnsi="Times New Roman"/>
          <w:sz w:val="20"/>
          <w:szCs w:val="20"/>
          <w:color w:val="auto"/>
        </w:rPr>
        <w:t>We also are party to an agreement with Intel in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and we entered into agreements with Intel in connection with the Mobileye IPO in which we will have a limited license from Intel for sensitive core technology relating to radar. See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w:t>
      </w:r>
    </w:p>
    <w:p>
      <w:pPr>
        <w:spacing w:after="0" w:line="1" w:lineRule="exact"/>
        <w:rPr>
          <w:sz w:val="20"/>
          <w:szCs w:val="20"/>
          <w:color w:val="auto"/>
        </w:rPr>
      </w:pPr>
    </w:p>
    <w:p>
      <w:pPr>
        <w:ind w:left="340" w:hanging="340"/>
        <w:spacing w:after="0"/>
        <w:tabs>
          <w:tab w:leader="none" w:pos="3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Intel’s controlling beneficial ownership interest in our company, we may not be able to resolve such conflicts on terms favorable to</w:t>
      </w:r>
    </w:p>
    <w:p>
      <w:pPr>
        <w:spacing w:after="0" w:line="1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us.”</w:t>
      </w:r>
    </w:p>
    <w:p>
      <w:pPr>
        <w:spacing w:after="0" w:line="23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66"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 addition to patented technology, we rely on our unpatented proprietary technology, trade secrets, processes, and know-how.</w:t>
      </w:r>
    </w:p>
    <w:p>
      <w:pPr>
        <w:spacing w:after="0" w:line="238"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We rely on proprietary information (such as trade secrets, know-how,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non-use provisions with our employees, consultants, contractors, scientific advisors and other third parties. However, we may fail to enter into the necessary agreements, and even if entered into, these agreements may be breached or may otherwise fail to prevent disclosure, third -party infringement, misappropriation or other violation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800"/>
          </w:cols>
          <w:pgMar w:left="540" w:top="1347" w:right="540" w:bottom="0" w:gutter="0" w:footer="0" w:header="0"/>
          <w:type w:val="continuous"/>
        </w:sectPr>
      </w:pPr>
    </w:p>
    <w:bookmarkStart w:id="57" w:name="page58"/>
    <w:bookmarkEnd w:id="57"/>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166" w:lineRule="exact"/>
        <w:rPr>
          <w:sz w:val="20"/>
          <w:szCs w:val="20"/>
          <w:color w:val="auto"/>
        </w:rPr>
      </w:pPr>
    </w:p>
    <w:p>
      <w:pPr>
        <w:jc w:val="both"/>
        <w:ind w:firstLine="361"/>
        <w:spacing w:after="0" w:line="257" w:lineRule="auto"/>
        <w:rPr>
          <w:sz w:val="20"/>
          <w:szCs w:val="20"/>
          <w:color w:val="auto"/>
        </w:rPr>
      </w:pPr>
      <w:r>
        <w:rPr>
          <w:rFonts w:ascii="Times New Roman" w:cs="Times New Roman" w:eastAsia="Times New Roman" w:hAnsi="Times New Roman"/>
          <w:sz w:val="19"/>
          <w:szCs w:val="19"/>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 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192"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While we take steps to monitor the use of open-source software in our solutions,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9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800"/>
          </w:cols>
          <w:pgMar w:left="540" w:top="1347" w:right="54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Risks Related to Our Industry</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 uncertain economic environment and inflationary conditions may adversely affect global vehicle production and demand for our solutions.</w:t>
      </w:r>
    </w:p>
    <w:p>
      <w:pPr>
        <w:spacing w:after="0" w:line="165" w:lineRule="exact"/>
        <w:rPr>
          <w:sz w:val="20"/>
          <w:szCs w:val="20"/>
          <w:color w:val="auto"/>
        </w:rPr>
      </w:pPr>
    </w:p>
    <w:p>
      <w:pPr>
        <w:jc w:val="both"/>
        <w:ind w:firstLine="362"/>
        <w:spacing w:after="0" w:line="241" w:lineRule="auto"/>
        <w:rPr>
          <w:sz w:val="20"/>
          <w:szCs w:val="20"/>
          <w:color w:val="auto"/>
        </w:rPr>
      </w:pPr>
      <w:r>
        <w:rPr>
          <w:rFonts w:ascii="Times New Roman" w:cs="Times New Roman" w:eastAsia="Times New Roman" w:hAnsi="Times New Roman"/>
          <w:sz w:val="20"/>
          <w:szCs w:val="20"/>
          <w:color w:val="auto"/>
        </w:rPr>
        <w:t>Our business depends on, and is directly affected by, the global automobile industry. Economic 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and in response to labor relations issues and shortages, supply chain disruptions, regulatory requirements, trade agreements and other factors. Furthermore, uncertain economic conditions and inflation may contribute to a reduction in consumer demand, which may reduce vehicle production over at least the next several quarters. In addition to these general economic factors, uncertainties in specific markets may further contribute to lower vehicle production. For example, the disruption by Russia of gas supplies to Western Europe could significantly impact industrial production, including vehicle production, in significant markets such as Germany. We cannot predict when the impact of these factors on global vehicle production will substantially diminish. More generally, the volume of automotive production in North America, Europe, China, and the rest of the world has fluctuated, sometimes significantly, from year to year, for many reasons, and such fluctuations give rise to fluctuations in the demand for our solutions.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macro-factors impacting our sales to OEMs in China, and the extent of the adverse effect that such volatility could have on our results of operations, financial condition and business in the long term. As a result, in addition to the impact of the current uncertainties that we anticipate to impact automotive production in the near term, adverse changes in economic or market conditions or other factors, including, but not limited to, general economic conditions, the bankruptcy of any of our customers or the closure of OEM manufacturing facilities may result in a reduction in automotive sales and production, and could have an adverse effect on our business, results of operations, and financial condition.</w:t>
      </w:r>
    </w:p>
    <w:p>
      <w:pPr>
        <w:spacing w:after="0" w:line="2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166"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 acceptance of ADAS and autonomous driving technology does not increase, our business, results of operations, and financial condition would be adversely affected.</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800"/>
          </w:cols>
          <w:pgMar w:left="540" w:top="1345" w:right="54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Regulatory and Compliance Risks</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 variety of laws and regulations that affect our operations and that could adversely affect our business, results of operations, and financial condition.</w:t>
      </w:r>
    </w:p>
    <w:p>
      <w:pPr>
        <w:spacing w:after="0" w:line="165" w:lineRule="exact"/>
        <w:rPr>
          <w:sz w:val="20"/>
          <w:szCs w:val="20"/>
          <w:color w:val="auto"/>
        </w:rPr>
      </w:pPr>
    </w:p>
    <w:p>
      <w:pPr>
        <w:jc w:val="both"/>
        <w:ind w:firstLine="362"/>
        <w:spacing w:after="0" w:line="243" w:lineRule="auto"/>
        <w:rPr>
          <w:sz w:val="20"/>
          <w:szCs w:val="20"/>
          <w:color w:val="auto"/>
        </w:rPr>
      </w:pPr>
      <w:r>
        <w:rPr>
          <w:rFonts w:ascii="Times New Roman" w:cs="Times New Roman" w:eastAsia="Times New Roman" w:hAnsi="Times New Roman"/>
          <w:sz w:val="20"/>
          <w:szCs w:val="20"/>
          <w:color w:val="auto"/>
        </w:rPr>
        <w:t>We are subject to laws and regulations worldwide that affect our operations and that differ among jurisdictions, including automotive safety regulations, regulations governing autonomous driving technology, AI technologies, 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 Further, autonomous driving and AI technologies are the subject of evolving review by various federal, state and foreign governmental and regulatory agencies, including the SEC and U.S. Federal Trade Commission. For example, in Europe, the European Union’s Artificial Intelligence Act, which establishes, among other things, a risk-based governance framework for regulating AI systems operating in the European Union, entered into force on August 1, 2024. Various U.S. states and foreign jurisdictions also are applying, or are considering applying, their cybersecurity and data protection laws to AI technologies. As a result of the complexity and rapid development of autonomous vehicles (including the use of AI technologies in connection with their development), it is not possible to predict all of the legal, operational or technological risks related to our development of these technologies or our use of certain tools in connection therewith. Changes in laws and regulations governing autonomous vehicles and the use of certain technologies, such as AI, may adversely affect the ability of our business to develop and use such technologies in the future.</w:t>
      </w:r>
    </w:p>
    <w:p>
      <w:pPr>
        <w:spacing w:after="0" w:line="19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Although we have policies, controls, and procedures designed to help ensure compliance with 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1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65"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spacing w:after="0" w:line="204"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800"/>
          </w:cols>
          <w:pgMar w:left="540" w:top="1345" w:right="540" w:bottom="0" w:gutter="0" w:footer="0" w:header="0"/>
          <w:type w:val="continuous"/>
        </w:sectPr>
      </w:pPr>
    </w:p>
    <w:bookmarkStart w:id="60" w:name="page61"/>
    <w:bookmarkEnd w:id="60"/>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related to trade policies, sanctions, and import and export controls.</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92"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New measures imposed by the United States, the European Union, or others could restrict certain of our operations and adversely affect our business, results of operations, and financial condition.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20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particular, in response to Russia’s invasion of Ukraine, the United States, the European Union, and several other countries have imposed far-reaching sanctions and export control restrictions on Russian entities and individuals. See “— The current conflict between Ukraine and Russia has exacerbated market instability and disrupted the global economy.”</w:t>
      </w:r>
    </w:p>
    <w:p>
      <w:pPr>
        <w:spacing w:after="0" w:line="183" w:lineRule="exact"/>
        <w:rPr>
          <w:sz w:val="20"/>
          <w:szCs w:val="20"/>
          <w:color w:val="auto"/>
        </w:rPr>
      </w:pPr>
    </w:p>
    <w:p>
      <w:pPr>
        <w:jc w:val="both"/>
        <w:ind w:firstLine="362"/>
        <w:spacing w:after="0" w:line="242" w:lineRule="auto"/>
        <w:rPr>
          <w:sz w:val="20"/>
          <w:szCs w:val="20"/>
          <w:color w:val="auto"/>
        </w:rPr>
      </w:pPr>
      <w:r>
        <w:rPr>
          <w:rFonts w:ascii="Times New Roman" w:cs="Times New Roman" w:eastAsia="Times New Roman" w:hAnsi="Times New Roman"/>
          <w:sz w:val="20"/>
          <w:szCs w:val="20"/>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For example, the United States has enacted, and subsequently updated, controls on certain transactions involving items for semiconductor manufacturing end uses and advanced computing integrated circuits destined for China. BIS adopted final rules in January 2025 prohibiting certain transactions involving the sale or import of connected vehicles integrating specific hardware or software with a sufficient nexus to China or Russia. In response to expanding U.S. export controls, the People’s Republic of China has increasingly adopted retaliatory and defensive trade measures. These measures have included export controls on critical rare-earth materials and related to certain advanced semiconductors. In addition, the People’s Republic of China has implemented a series of industrial policies and other measures, including its “15th Five-Year Plan (2026-2030)” and “Artificial Intelligence Plus (AI+) Initiative” policy, to incentivize the development and growth of key industries domestically, such as robotics, aerospace and semiconductors, and to reduce reliance on foreign technology. These policies have also extended to ADAS and autonomous vehicle technologies, which has led to Chinese OEMs and other businesses choosing solutions from our Chinese competitors rather than our products, despite any competitive advantage our products may have in respect of price and/or performance. Although we do not believe that these recent controls and industrial policies and other retaliatory measures will materially impede our ability to conduct our business, there can be no assurance that these or future restrictions would not materially adversely affect our financial performance. We derive significant revenue from China. In 2025 and 2024, we derived approximately 23% and 26% respectively, of our revenue from shipments of products to China. It is difficult to predict what further trade- related actions governments may take, which may include trade restrictions and additional or increased tariffs and export controls imposed on short notice, and we may be unable to quickly and effectively react to or mitigate such actions.</w:t>
      </w:r>
    </w:p>
    <w:p>
      <w:pPr>
        <w:spacing w:after="0" w:line="203"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Changes in global tariff policies, import/export controls, or related trade restrictions could increase our costs or disrupt the supply of components used in our products. Our reliance on a global semiconductor and electronics supply chain means that new or expanded tariffs, retaliatory measures, or shifts in trade policy may lead to higher procurement expenses, longer lead times, or the need to qualify alternative suppliers. These factors could adversely affect our production schedules, margins, and our customers’ demand for products incorporating our technology.</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800"/>
          </w:cols>
          <w:pgMar w:left="540" w:top="1347" w:right="540" w:bottom="0" w:gutter="0" w:footer="0" w:header="0"/>
          <w:type w:val="continuous"/>
        </w:sectPr>
      </w:pPr>
    </w:p>
    <w:bookmarkStart w:id="61" w:name="page62"/>
    <w:bookmarkEnd w:id="61"/>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Such changes in global tariff policies, import/export controls or related trade restrictions could increase our costs or disrupt the supply of components used in our solutions or in our customers’ products. Our reliance on a global semiconductor and electronics supply chain means that new or expanded tariffs, retaliatory measures or shits in trade policy may lead to higher procurement expenses, longer lead times or the need to qualify alternative suppliers. These factors could adversely affect our production schedules, margins and our customers’ demand for products incorporating our technology. Additionally, sustained geopolitical tensions could lead to long-term changes in global trade and technology supply chains, and decoupling of global trade networks, which could adversely affect our business, results of operations, and financial condition.</w:t>
      </w:r>
    </w:p>
    <w:p>
      <w:pPr>
        <w:spacing w:after="0" w:line="19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Given our international supply chain and distribution, we are subject to import and export laws of multiple countries. Failure to comply with the requirements of such laws may lead to the imposition of additional taxes or duties on imports or exports, fines, or penalties.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current conflict between Ukraine and Russia has exacerbated market instability and disrupted the global economy.</w:t>
      </w:r>
    </w:p>
    <w:p>
      <w:pPr>
        <w:spacing w:after="0" w:line="239"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The current conflict between Ukraine and Russia has caused uncertainty about economic and political stability, increasing volatility in the credit and financial markets and disrupting the global economy. The United States, the European Union, and several other countries have imposed far-reaching sanctions and export control restrictions on Russian entities and individuals, including for example recent additional sanctions imposed by the European Union under Article 12g of Council Regulation (EU) No 833/2014.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Operations in Israel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Conditions in Israel affect our operations and may limit our ability to produce and sell our solutions.</w:t>
      </w:r>
    </w:p>
    <w:p>
      <w:pPr>
        <w:spacing w:after="0" w:line="238" w:lineRule="exact"/>
        <w:rPr>
          <w:sz w:val="20"/>
          <w:szCs w:val="20"/>
          <w:color w:val="auto"/>
        </w:rPr>
      </w:pPr>
    </w:p>
    <w:p>
      <w:pPr>
        <w:jc w:val="both"/>
        <w:ind w:firstLine="362"/>
        <w:spacing w:after="0" w:line="241" w:lineRule="auto"/>
        <w:rPr>
          <w:sz w:val="20"/>
          <w:szCs w:val="20"/>
          <w:color w:val="auto"/>
        </w:rPr>
      </w:pPr>
      <w:r>
        <w:rPr>
          <w:rFonts w:ascii="Times New Roman" w:cs="Times New Roman" w:eastAsia="Times New Roman" w:hAnsi="Times New Roman"/>
          <w:sz w:val="20"/>
          <w:szCs w:val="20"/>
          <w:color w:val="auto"/>
        </w:rPr>
        <w:t>Although we are incorporated under the laws of the State of Delaware, our headquarters and research and development center are located in the State of Israel, and as of December 27, 2025, substantially all of our equipment and tangible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On October 7, 2023, Hamas launched a series of attacks on civilian and military targets in Southern Israel and Central Israel, to which the Israel Defense Forces responded. In addition, both Hezbollah and the Houthi movement attacked military and civilian targets in Israel, to which Israel responded, including through increased air and ground operations in Lebanon. In addition, the Houthi movement attacked international shipping lanes in the Red Sea, to which both Israel and the United States responded. Further, on April 13, 2024 and October 1, 2024, Iran launched a series of drone and missile strikes against Israel, to which Israel responded. Most recently, on June 13, 2025 Israel launched a preemptive attack on Iran to which Iran responded with ballistic missile and drone attacks. On June 23, 2025, Israel and Iran agreed to a ceasefire, although there is no assurance that the ceasefire will continue. On October 9, 2025, Israel, Hamas, the United States and other countries in the region agreed to a framework for a ceasefire in Gaza between Israel and Hamas.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To date our operations have not been materially affected, although as of February 3, 2026 approximately 3.3% of our employees have been called to reserve duty in the Israel Defense Forces. However, any hostilities involving Israel, regional geopolitical instability or the interruption or curtailment of trade or diplomatic relations between Israel and its trading partners as a result thereof could adversely affect our business, results of operations, and financial condition.</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800"/>
          </w:cols>
          <w:pgMar w:left="540" w:top="1347" w:right="540" w:bottom="0" w:gutter="0" w:footer="0" w:header="0"/>
          <w:type w:val="continuous"/>
        </w:sectPr>
      </w:pPr>
    </w:p>
    <w:bookmarkStart w:id="62" w:name="page63"/>
    <w:bookmarkEnd w:id="62"/>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Our commercial insurance does not cover losses that may occur as a result of events associated with war and terrorism in Israel.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 Furthermore, depending on developments in the region, it may become difficult, or impossible, to renew or purchase appropriate policies pursuant to reasonable commercial terms, or insurers may condition coverage on our acceptance of certain limitations or exclusions.</w:t>
      </w:r>
    </w:p>
    <w:p>
      <w:pPr>
        <w:spacing w:after="0" w:line="197"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results of operations, and financial condition.</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operations may be disrupted by the obligations of personnel to perform military service as a result of current or future military actions involving Israel.</w:t>
      </w:r>
    </w:p>
    <w:p>
      <w:pPr>
        <w:spacing w:after="0" w:line="165"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call-ups in the future. For example, as a result of the conflicts in the Gaza Strip, Northern Israel, Lebanon, Iran and the broader region, as of February 3, 2026 approximately 3.3% of our employees have been called to reserve duty in the Israel Defense Forces. To date, our operations have not been materially affected. See “ Conditions in Israel affect our operations and may limit our ability to produce and sell our solutions.”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spacing w:after="0" w:line="2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166"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It may be difficult to enforce a U.S. judgment against our officers and directors, or to assert U.S. securities laws claims in Israel or serve process on our non-U.S. officers and directors.</w:t>
      </w:r>
    </w:p>
    <w:p>
      <w:pPr>
        <w:spacing w:after="0" w:line="165"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800"/>
          </w:cols>
          <w:pgMar w:left="540" w:top="1347" w:right="540" w:bottom="0" w:gutter="0" w:footer="0" w:header="0"/>
          <w:type w:val="continuous"/>
        </w:sectPr>
      </w:pPr>
    </w:p>
    <w:bookmarkStart w:id="63" w:name="page64"/>
    <w:bookmarkEnd w:id="63"/>
    <w:p>
      <w:pPr>
        <w:jc w:val="both"/>
        <w:ind w:firstLine="1"/>
        <w:spacing w:after="0" w:line="262" w:lineRule="auto"/>
        <w:rPr>
          <w:sz w:val="20"/>
          <w:szCs w:val="20"/>
          <w:color w:val="auto"/>
        </w:rPr>
      </w:pPr>
      <w:r>
        <w:rPr>
          <w:rFonts w:ascii="Times New Roman" w:cs="Times New Roman" w:eastAsia="Times New Roman" w:hAnsi="Times New Roman"/>
          <w:sz w:val="19"/>
          <w:szCs w:val="19"/>
          <w:color w:val="auto"/>
        </w:rPr>
        <w:t>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18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Moreover, an Israeli court will not enforce a non -Israeli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Relationship with Intel and our Dual Class Structure</w:t>
      </w:r>
    </w:p>
    <w:p>
      <w:pPr>
        <w:spacing w:after="0" w:line="2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dual class structure of our common stock has the effect of concentrating voting control with Intel, and Intel beneficially owns shares of our Class A and Class B common stock, representing a majority of the shares of our common stock and approximately 97.3% of the voting power of our outstanding common stock as of December 27, 2025. This will limit or preclude your ability to influence corporate matters.</w:t>
      </w:r>
    </w:p>
    <w:p>
      <w:pPr>
        <w:spacing w:after="0" w:line="19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Our Class B common stock has ten votes per share, and our Class A common stock has one vote per share. Because of the 10-to-1 voting ratio between our Class B common stock and our Class A common stock, Intel, which is the beneficial holder of 50,000,000 shares of Class A common stock and 597,768,015 shares of Class B common stock, beneficially owns approximately 97.3% of the voting power of our outstanding common stock as of December 27, 2025. Due to the issuance of shares of Class A common stock in connection with the acquisition of Mentee Robotics, Intel beneficially owns approximately 77.0% of our outstanding common stock and 96.9% of the voting power of our outstanding common stock as of February 3, 2026. Because Intel beneficially holds significantly more than a majority of the combined voting power of our common stock, it is able to control all matters submitted to our stockholders for approval.</w:t>
      </w:r>
    </w:p>
    <w:p>
      <w:pPr>
        <w:spacing w:after="0" w:line="20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including any negative perception by shareholders of Intel or its actions, may adversely affect the trading price of our Class A common stock.</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corporate governance standards of Nasdaq. As a result, we qualify for, and intend to rely on, exemptions from certain corporate governance standards. You will not have the same protections afforded to stockholders of companies that are subject to all corporate governance requirements of Nasdaq.</w:t>
      </w:r>
    </w:p>
    <w:p>
      <w:pPr>
        <w:spacing w:after="0" w:line="184"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So long as more than 50% of the voting power for the election of our directors is held by an individual, a group or another company, we will qualify as a “controlled company” under listing requirements of Nasdaq. Intel beneficially holds a majority of the voting power of our outstanding common stock. As a result, we are a “controlled company” under the Nasdaq rules. As a controlled company, we will be exempt from certain Nasdaq corporate governance requirements, and we intend to continue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Nasdaq.</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800"/>
          </w:cols>
          <w:pgMar w:left="540" w:top="1347" w:right="54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Our dual class structure may depress the trading price of our Class A common stock.</w:t>
      </w:r>
    </w:p>
    <w:p>
      <w:pPr>
        <w:spacing w:after="0" w:line="23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w:t>
      </w:r>
    </w:p>
    <w:p>
      <w:pPr>
        <w:spacing w:after="0" w:line="197"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Any actions or publications by stockholder advisory firms critical of our corporate governance practices or capital structure could also adversely affect the value of our Class A common stock.</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have conflicts of interest with Intel and, because of (i) certain provisions in our amended and restated certificate of incorporation relating to related person transactions and corporate opportunities, (ii) agreements we entered into with Intel in connection with the Mobileye IPO, and (iii) Intel’s controlling beneficial ownership interest in our company, we may not be able to resolve such conflicts on terms favorable to us.</w:t>
      </w:r>
    </w:p>
    <w:p>
      <w:pPr>
        <w:spacing w:after="0" w:line="19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Conflicts of interest may arise between Intel and us in a number of areas relating to our ongoing relationship. Potential conflicts of interest that we have identified include, but are not limited to, the following:</w:t>
      </w:r>
    </w:p>
    <w:p>
      <w:pPr>
        <w:spacing w:after="0" w:line="177" w:lineRule="exact"/>
        <w:rPr>
          <w:sz w:val="20"/>
          <w:szCs w:val="20"/>
          <w:color w:val="auto"/>
        </w:rPr>
      </w:pPr>
    </w:p>
    <w:p>
      <w:pPr>
        <w:jc w:val="both"/>
        <w:ind w:firstLine="359"/>
        <w:spacing w:after="0" w:line="253"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Certain of our directors may have conflicts of interest</w:t>
      </w:r>
      <w:r>
        <w:rPr>
          <w:rFonts w:ascii="Times New Roman" w:cs="Times New Roman" w:eastAsia="Times New Roman" w:hAnsi="Times New Roman"/>
          <w:sz w:val="20"/>
          <w:szCs w:val="20"/>
          <w:color w:val="auto"/>
        </w:rPr>
        <w:t>. Each of Patrick Bombach, Naga Chandrasekaran, and David Zinsner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serves both on our Board of Directors and in a senior management role at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204" w:lineRule="exact"/>
        <w:rPr>
          <w:rFonts w:ascii="Arial" w:cs="Arial" w:eastAsia="Arial" w:hAnsi="Arial"/>
          <w:sz w:val="20"/>
          <w:szCs w:val="20"/>
          <w:color w:val="auto"/>
        </w:rPr>
      </w:pPr>
    </w:p>
    <w:p>
      <w:pPr>
        <w:jc w:val="both"/>
        <w:ind w:firstLine="359"/>
        <w:spacing w:after="0" w:line="261" w:lineRule="auto"/>
        <w:tabs>
          <w:tab w:leader="none" w:pos="721"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Sale of shares of our common stock</w:t>
      </w:r>
      <w:r>
        <w:rPr>
          <w:rFonts w:ascii="Times New Roman" w:cs="Times New Roman" w:eastAsia="Times New Roman" w:hAnsi="Times New Roman"/>
          <w:sz w:val="19"/>
          <w:szCs w:val="19"/>
          <w:color w:val="auto"/>
        </w:rPr>
        <w:t>. Intel may decide to sell all or a portion of our shares that it holds to a third party,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w:t>
      </w:r>
    </w:p>
    <w:p>
      <w:pPr>
        <w:spacing w:after="0" w:line="199" w:lineRule="exact"/>
        <w:rPr>
          <w:rFonts w:ascii="Arial" w:cs="Arial" w:eastAsia="Arial" w:hAnsi="Arial"/>
          <w:sz w:val="19"/>
          <w:szCs w:val="19"/>
          <w:color w:val="auto"/>
        </w:rPr>
      </w:pPr>
    </w:p>
    <w:p>
      <w:pPr>
        <w:jc w:val="both"/>
        <w:ind w:firstLine="359"/>
        <w:spacing w:after="0" w:line="260"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Developing business relationships with Intel’s competitors</w:t>
      </w:r>
      <w:r>
        <w:rPr>
          <w:rFonts w:ascii="Times New Roman" w:cs="Times New Roman" w:eastAsia="Times New Roman" w:hAnsi="Times New Roman"/>
          <w:sz w:val="20"/>
          <w:szCs w:val="20"/>
          <w:color w:val="auto"/>
        </w:rPr>
        <w:t>. We may, from time to time, partner with, purchase from, and sell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 number of companies that compete with Intel. These companies may be less willing or unwilling to develop and maintain relationships with us, and may favor our competitors or may view us as competitors, because of our relationship with Intel.</w:t>
      </w:r>
    </w:p>
    <w:p>
      <w:pPr>
        <w:spacing w:after="0" w:line="196" w:lineRule="exact"/>
        <w:rPr>
          <w:rFonts w:ascii="Arial" w:cs="Arial" w:eastAsia="Arial" w:hAnsi="Arial"/>
          <w:sz w:val="20"/>
          <w:szCs w:val="20"/>
          <w:color w:val="auto"/>
        </w:rPr>
      </w:pPr>
    </w:p>
    <w:p>
      <w:pPr>
        <w:jc w:val="both"/>
        <w:ind w:firstLine="359"/>
        <w:spacing w:after="0" w:line="245"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Allocation of business opportunities</w:t>
      </w:r>
      <w:r>
        <w:rPr>
          <w:rFonts w:ascii="Times New Roman" w:cs="Times New Roman" w:eastAsia="Times New Roman" w:hAnsi="Times New Roman"/>
          <w:sz w:val="20"/>
          <w:szCs w:val="20"/>
          <w:color w:val="auto"/>
        </w:rPr>
        <w:t>. Business opportunities may arise that both we and Intel find attractive, and which would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complement our businesses. We may be prevented from taking advantage of new business opportunities that Intel has entered into. Furthermore, our amended and restated certificate of incorporation provides that, until the later of (i) the first date on which Intel ceases to beneficially own 20% or more of our outstanding shares of common stock and (ii) the date upon which none of our officers and/or directors are also officers and/or directors of Intel, (x) we will waive any interest or expectancy in potential transactions presented to our directors and officers who are also directors and/or officers of Intel unless expressly offered to such person in his or her capacity as our director and/or officer, as applicable, and (y) Intel shall have the right to, and shall have no duty not to, engage in the same or similar business activities or lines of business as we do, do business with any of our clients or customers, and employ or otherwise engage any of our officers or employees.</w:t>
      </w:r>
    </w:p>
    <w:p>
      <w:pPr>
        <w:spacing w:after="0" w:line="211" w:lineRule="exact"/>
        <w:rPr>
          <w:rFonts w:ascii="Arial" w:cs="Arial" w:eastAsia="Arial" w:hAnsi="Arial"/>
          <w:sz w:val="20"/>
          <w:szCs w:val="20"/>
          <w:color w:val="auto"/>
        </w:rPr>
      </w:pPr>
    </w:p>
    <w:p>
      <w:pPr>
        <w:jc w:val="both"/>
        <w:ind w:firstLine="359"/>
        <w:spacing w:after="0" w:line="270" w:lineRule="auto"/>
        <w:tabs>
          <w:tab w:leader="none" w:pos="7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Sale of our products on favorable terms</w:t>
      </w:r>
      <w:r>
        <w:rPr>
          <w:rFonts w:ascii="Times New Roman" w:cs="Times New Roman" w:eastAsia="Times New Roman" w:hAnsi="Times New Roman"/>
          <w:sz w:val="19"/>
          <w:szCs w:val="19"/>
          <w:color w:val="auto"/>
        </w:rPr>
        <w:t>. Under the terms of the Master Transaction Agreement we entered into with Intel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connection with the Mobileye IPO, so long as Intel holds at least 20% of our common stock, we will sell Intel our commercially available products, including EyeQ™ SoCs, for internal use, but not for resale on a standalone or bundled basis. We and Intel also agree pursuant to the Master Transaction Agreement to hold the other in most favored status with respect to products purchased or sold for internal use,</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800"/>
          </w:cols>
          <w:pgMar w:left="540" w:top="1350" w:right="540" w:bottom="0" w:gutter="0" w:footer="0" w:header="0"/>
          <w:type w:val="continuous"/>
        </w:sectPr>
      </w:pPr>
    </w:p>
    <w:bookmarkStart w:id="65" w:name="page66"/>
    <w:bookmarkEnd w:id="65"/>
    <w:p>
      <w:pPr>
        <w:spacing w:after="0" w:line="280" w:lineRule="auto"/>
        <w:rPr>
          <w:sz w:val="20"/>
          <w:szCs w:val="20"/>
          <w:color w:val="auto"/>
        </w:rPr>
      </w:pPr>
      <w:r>
        <w:rPr>
          <w:rFonts w:ascii="Times New Roman" w:cs="Times New Roman" w:eastAsia="Times New Roman" w:hAnsi="Times New Roman"/>
          <w:sz w:val="20"/>
          <w:szCs w:val="20"/>
          <w:color w:val="auto"/>
        </w:rPr>
        <w:t>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79" w:lineRule="exact"/>
        <w:rPr>
          <w:sz w:val="20"/>
          <w:szCs w:val="20"/>
          <w:color w:val="auto"/>
        </w:rPr>
      </w:pPr>
    </w:p>
    <w:p>
      <w:pPr>
        <w:jc w:val="both"/>
        <w:ind w:firstLine="360"/>
        <w:spacing w:after="0" w:line="256" w:lineRule="auto"/>
        <w:tabs>
          <w:tab w:leader="none" w:pos="721"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Worldwide and perpetual license to patents</w:t>
      </w:r>
      <w:r>
        <w:rPr>
          <w:rFonts w:ascii="Times New Roman" w:cs="Times New Roman" w:eastAsia="Times New Roman" w:hAnsi="Times New Roman"/>
          <w:sz w:val="19"/>
          <w:szCs w:val="19"/>
          <w:color w:val="auto"/>
        </w:rPr>
        <w:t>.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sublicenses or other rights Intel were to terminate for any reason, we may be unable to replace such licenses, sublicenses or other rights at prices or on terms as favorable as those Intel provides, if at all, and that could adversely affect our business, results of operations, and financial condition.</w:t>
      </w:r>
    </w:p>
    <w:p>
      <w:pPr>
        <w:spacing w:after="0" w:line="207" w:lineRule="exact"/>
        <w:rPr>
          <w:rFonts w:ascii="Arial" w:cs="Arial" w:eastAsia="Arial" w:hAnsi="Arial"/>
          <w:sz w:val="19"/>
          <w:szCs w:val="19"/>
          <w:color w:val="auto"/>
        </w:rPr>
      </w:pPr>
    </w:p>
    <w:p>
      <w:pPr>
        <w:jc w:val="both"/>
        <w:ind w:firstLine="359"/>
        <w:spacing w:after="0" w:line="243" w:lineRule="auto"/>
        <w:tabs>
          <w:tab w:leader="none" w:pos="721"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Limited license from Intel for certain technology related to radar. </w:t>
      </w:r>
      <w:r>
        <w:rPr>
          <w:rFonts w:ascii="Times New Roman" w:cs="Times New Roman" w:eastAsia="Times New Roman" w:hAnsi="Times New Roman"/>
          <w:sz w:val="20"/>
          <w:szCs w:val="20"/>
          <w:color w:val="auto"/>
        </w:rPr>
        <w:t>Intel has granted us a limited license for sensitive core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technology relating to radar pursuant to a Technology and Services Agreement. The license is limited to the development of a specific type of radar for specific applications. Any radar products which do not comply with this definition will require a separate license from Intel, at Intel’s discretion. Intellectual property developed under the agreement, either solely or jointly with Intel, regarding the radar technology, except for certain rights to specifically identified radar technology which is developed solely by us following the Mobileye IPO, will be assigned by us to Intel. As a result, we will not own most new radar intellectual property, even if it is developed solely by us. If we are unable to continue to use or license sensitive core technology related to radar from Intel, we may not be able to secure alternatives in a timely manner, or at all, and our ability to remain competitive would be harmed, which could adversely affect our business, results of operations and financial condition. See “Item 1A.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w:t>
      </w:r>
    </w:p>
    <w:p>
      <w:pPr>
        <w:spacing w:after="0" w:line="199"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9"/>
          <w:szCs w:val="19"/>
          <w:color w:val="auto"/>
        </w:rPr>
        <w:t>We are licensed to sell the radar products only for ADAS and AV solutions for automobiles and to certain types of customers (Tier 1s, OEMs, MaaS). The Technology and Services Agreement has a term of two years and will automatically renew for one-year renewal periods, unless the agreement is terminated for a party’s material breach, a party’s bankruptcy or insolvency, or advance notice of nonrenewal is given, however, termination of the agreement does not affect certain licenses granted to us by Intel in respect of the radar product. In addition, the agreement includes limitations on our ability (except after review and approval by Intel) to file a patent application based on or using the radar intellectual property licensed to us under the agreement, or information in Intel’s radar patents during the term of the agreement and for five years after the completion of the development of the last Mobileye sensor product.</w:t>
      </w:r>
    </w:p>
    <w:p>
      <w:pPr>
        <w:spacing w:after="0" w:line="181"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expect 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800"/>
          </w:cols>
          <w:pgMar w:left="540" w:top="1347" w:right="540" w:bottom="0" w:gutter="0" w:footer="0" w:header="0"/>
          <w:type w:val="continuous"/>
        </w:sectPr>
      </w:pPr>
    </w:p>
    <w:bookmarkStart w:id="66" w:name="page67"/>
    <w:bookmarkEnd w:id="66"/>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Although we entered into the Amended and Restated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 for periods prior to July 12, 2025.</w:t>
      </w:r>
    </w:p>
    <w:p>
      <w:pPr>
        <w:spacing w:after="0" w:line="18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were historically included in Intel’s consolidated group (the “Consolidated Group”) for U.S. federal income tax purposes, as well as in certain consolidated, combined, or unitary groups that include Intel and/or certain of its subsidiaries for state and local income tax purposes (each, a “Combined Group”). In connection with the Mobileye IPO, we entered into a tax sharing agreement with Intel, which was amended and restated on August 14, 2024 (the “Amended and Restated Tax Sharing Agreement”). Pursuant to the Amended and Restated Tax Sharing Agreement, we generally were required to make payments to Intel such that, with respect to tax returns for any taxable period in which we or any of our subsidiaries were included in the Consolidated Group or any Combined Group, the amount of taxes to be paid by us would be determined by computing the excess (if any) of any taxes due on any such return over the amount that would otherwise be due if such return were recomputed by excluding us and/or our included subsidiaries.</w:t>
      </w:r>
    </w:p>
    <w:p>
      <w:pPr>
        <w:spacing w:after="0" w:line="202"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As a result of changes in Intel’s ownership of our outstanding common stock due to the Secondary Offering, Share Repurchase and Conversion (each as defined in the MD&amp;A), we were deconsolidated from Intel’s U.S. domestic consolidated income tax return effective July 11, 2025 (the “Tax Deconsolidation”). As a result of the Tax Deconsolidation, starting on July 12, 2025, the computation of cash payable between the Company and Intel, under the Amended and Restated Tax Sharing Agreement, is no longer applicable with respect to U.S. federal and applicable state income taxes. However, other obligations of the parties under the Amended and Restated Tax Sharing Agreement remain in effect. We were previously included in the Consolidated Group for periods prior to July 12, 2025 and thereafter no longer will be included in the Consolidated Group going forward. Each member of a consolidated group during any part of a consolidated return year is jointly and severally liable for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spacing w:after="0" w:line="20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As a result of the Tax Deconsolidation, we are now solely responsible for the preparation, filing and payment of our U.S. federal and applicable state income taxes on a standalone basis. This transition may increase the complexity of our tax compliance and reporting obligations and require additional internal controls, systems, personnel and external advisory support.</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spacing w:after="0" w:line="183"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Under current U.S. federal income tax law, in order to consummate a tax-free spin-off of our stock, Intel would need to have beneficial ownership of our stock representing at least 80% of the total voting power and 80% of each class of non-voting capital stock. Nevertheless, if Intel were to decide to pursue a possible spin-off, we have agreed to cooperate with Intel and to take any and all actions reasonably requested by Intel in connection with such a transaction. Our rights, responsibilities and obligations with respect to any possible spin-off are set forth in the Master Transaction Agreement and Amended and Restated Tax Sharing Agreement. For example, in the event Intel completes a spin-off, we have agreed not to take certain actions, such as certain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or pursuant to our employee benefit plans limited to a share reserve of 5% of the outstanding number of shares of our common stock on the immediately preceding December 31. Intel’s intention to retain its ability to effectuate a tax -free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800"/>
          </w:cols>
          <w:pgMar w:left="540" w:top="1349" w:right="540" w:bottom="0" w:gutter="0" w:footer="0" w:header="0"/>
          <w:type w:val="continuous"/>
        </w:sectPr>
      </w:pPr>
    </w:p>
    <w:bookmarkStart w:id="67" w:name="page68"/>
    <w:bookmarkEnd w:id="67"/>
    <w:p>
      <w:pPr>
        <w:jc w:val="both"/>
        <w:ind w:left="1"/>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Certain corporate actions by us would require the prior consent of Intel, and there can be no guarantee that Intel will consent to such actions, even if they are in our best interests.</w:t>
      </w:r>
    </w:p>
    <w:p>
      <w:pPr>
        <w:spacing w:after="0" w:line="166" w:lineRule="exact"/>
        <w:rPr>
          <w:sz w:val="20"/>
          <w:szCs w:val="20"/>
          <w:color w:val="auto"/>
        </w:rPr>
      </w:pPr>
    </w:p>
    <w:p>
      <w:pPr>
        <w:jc w:val="both"/>
        <w:ind w:left="1" w:firstLine="360"/>
        <w:spacing w:after="0" w:line="250"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There can be no guarantee that Intel will consent to such actions, even if they are in our best interests.</w:t>
      </w:r>
    </w:p>
    <w:p>
      <w:pPr>
        <w:spacing w:after="0" w:line="194" w:lineRule="exact"/>
        <w:rPr>
          <w:sz w:val="20"/>
          <w:szCs w:val="20"/>
          <w:color w:val="auto"/>
        </w:rPr>
      </w:pPr>
    </w:p>
    <w:p>
      <w:pPr>
        <w:jc w:val="both"/>
        <w:ind w:left="1"/>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have historically utilized and plan to continue to utilize various administrative services and licenses, sublicenses and other rights provided by Intel, and if we are unable to continue utilizing such services and/or licenses, sublicenses or other rights we may fail to replace them at prices or on terms as favorable as those Intel provides. In addition, we have granted Intel a worldwide and perpetual license to our patents and patent applications.</w:t>
      </w:r>
    </w:p>
    <w:p>
      <w:pPr>
        <w:spacing w:after="0" w:line="192" w:lineRule="exact"/>
        <w:rPr>
          <w:sz w:val="20"/>
          <w:szCs w:val="20"/>
          <w:color w:val="auto"/>
        </w:rPr>
      </w:pPr>
    </w:p>
    <w:p>
      <w:pPr>
        <w:jc w:val="both"/>
        <w:ind w:left="1" w:firstLine="360"/>
        <w:spacing w:after="0" w:line="252" w:lineRule="auto"/>
        <w:rPr>
          <w:sz w:val="20"/>
          <w:szCs w:val="20"/>
          <w:color w:val="auto"/>
        </w:rPr>
      </w:pPr>
      <w:r>
        <w:rPr>
          <w:rFonts w:ascii="Times New Roman" w:cs="Times New Roman" w:eastAsia="Times New Roman" w:hAnsi="Times New Roman"/>
          <w:sz w:val="19"/>
          <w:szCs w:val="19"/>
          <w:color w:val="auto"/>
        </w:rPr>
        <w:t>We have historically utilized various administrative, financial, and other services provided by Intel. In addition,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w:t>
      </w:r>
    </w:p>
    <w:p>
      <w:pPr>
        <w:spacing w:after="0" w:line="6" w:lineRule="exact"/>
        <w:rPr>
          <w:sz w:val="20"/>
          <w:szCs w:val="20"/>
          <w:color w:val="auto"/>
        </w:rPr>
      </w:pPr>
    </w:p>
    <w:p>
      <w:pPr>
        <w:ind w:left="301" w:hanging="301"/>
        <w:spacing w:after="0"/>
        <w:tabs>
          <w:tab w:leader="none" w:pos="301"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automatically terminate once Intel’s ownership of our common stock falls below 50%. The license granted by us to Intel in clause</w:t>
      </w:r>
    </w:p>
    <w:p>
      <w:pPr>
        <w:jc w:val="both"/>
        <w:ind w:left="1" w:hanging="1"/>
        <w:spacing w:after="0" w:line="248" w:lineRule="auto"/>
        <w:tabs>
          <w:tab w:leader="none" w:pos="24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sublicenses or other rights from Intel were to terminate for any reason, we may be unable to replace such licenses, sublicenses or other rights at prices or on terms as favorable as those Intel provides, if at all, and that could adversely affect our business, results of operations, and financial condition.</w:t>
      </w:r>
    </w:p>
    <w:p>
      <w:pPr>
        <w:spacing w:after="0" w:line="194" w:lineRule="exact"/>
        <w:rPr>
          <w:sz w:val="20"/>
          <w:szCs w:val="20"/>
          <w:color w:val="auto"/>
        </w:rPr>
      </w:pPr>
    </w:p>
    <w:p>
      <w:pPr>
        <w:jc w:val="both"/>
        <w:ind w:left="1" w:firstLine="360"/>
        <w:spacing w:after="0" w:line="250" w:lineRule="auto"/>
        <w:rPr>
          <w:sz w:val="20"/>
          <w:szCs w:val="20"/>
          <w:color w:val="auto"/>
        </w:rPr>
      </w:pPr>
      <w:r>
        <w:rPr>
          <w:rFonts w:ascii="Times New Roman" w:cs="Times New Roman" w:eastAsia="Times New Roman" w:hAnsi="Times New Roman"/>
          <w:sz w:val="20"/>
          <w:szCs w:val="20"/>
          <w:color w:val="auto"/>
        </w:rPr>
        <w:t>Intel provides us with administrative, financial, legal, tax, and other services pursuant to the Administrative Services Agreement and certain technologies and products that may be used in the development, manufacture, and commercialization of our solutions pursuant to the Technology and Services Agreement. If we are unable to maintain these contractual relationships with Intel, we may fail to replace such services and/or licenses, sublicenses or other rights at prices or on terms as favorable as those Intel provides, and that could adversely affect our business, results of operations, and financial condition.</w:t>
      </w:r>
    </w:p>
    <w:p>
      <w:pPr>
        <w:spacing w:after="0" w:line="1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2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may fluctuate, and you could lose all or part of your investment.</w:t>
      </w:r>
    </w:p>
    <w:p>
      <w:pPr>
        <w:spacing w:after="0" w:line="238" w:lineRule="exact"/>
        <w:rPr>
          <w:sz w:val="20"/>
          <w:szCs w:val="20"/>
          <w:color w:val="auto"/>
        </w:rPr>
      </w:pPr>
    </w:p>
    <w:p>
      <w:pPr>
        <w:jc w:val="both"/>
        <w:ind w:left="1" w:firstLine="360"/>
        <w:spacing w:after="0" w:line="260" w:lineRule="auto"/>
        <w:rPr>
          <w:sz w:val="20"/>
          <w:szCs w:val="20"/>
          <w:color w:val="auto"/>
        </w:rPr>
      </w:pPr>
      <w:r>
        <w:rPr>
          <w:rFonts w:ascii="Times New Roman" w:cs="Times New Roman" w:eastAsia="Times New Roman" w:hAnsi="Times New Roman"/>
          <w:sz w:val="20"/>
          <w:szCs w:val="20"/>
          <w:color w:val="auto"/>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p>
      <w:pPr>
        <w:spacing w:after="0" w:line="198" w:lineRule="exact"/>
        <w:rPr>
          <w:sz w:val="20"/>
          <w:szCs w:val="20"/>
          <w:color w:val="auto"/>
        </w:rPr>
      </w:pPr>
    </w:p>
    <w:p>
      <w:pPr>
        <w:ind w:left="721" w:hanging="361"/>
        <w:spacing w:after="0"/>
        <w:tabs>
          <w:tab w:leader="none" w:pos="721"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regulators and other safety organizations regarding ADAS, autonomous driving and related technology;</w:t>
      </w:r>
    </w:p>
    <w:p>
      <w:pPr>
        <w:spacing w:after="0" w:line="252" w:lineRule="exact"/>
        <w:rPr>
          <w:rFonts w:ascii="Arial" w:cs="Arial" w:eastAsia="Arial" w:hAnsi="Arial"/>
          <w:sz w:val="20"/>
          <w:szCs w:val="20"/>
          <w:color w:val="auto"/>
        </w:rPr>
      </w:pPr>
    </w:p>
    <w:p>
      <w:pPr>
        <w:ind w:left="721" w:hanging="361"/>
        <w:spacing w:after="0"/>
        <w:tabs>
          <w:tab w:leader="none" w:pos="721"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publicized accidents involving ADAS and autonomous driving technology, whether developed by us or our competitors;</w:t>
      </w:r>
    </w:p>
    <w:p>
      <w:pPr>
        <w:spacing w:after="0" w:line="253" w:lineRule="exact"/>
        <w:rPr>
          <w:rFonts w:ascii="Arial" w:cs="Arial" w:eastAsia="Arial" w:hAnsi="Arial"/>
          <w:sz w:val="20"/>
          <w:szCs w:val="20"/>
          <w:color w:val="auto"/>
        </w:rPr>
      </w:pPr>
    </w:p>
    <w:p>
      <w:pPr>
        <w:ind w:left="721" w:hanging="361"/>
        <w:spacing w:after="0"/>
        <w:tabs>
          <w:tab w:leader="none" w:pos="721"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market acceptance of our solutions;</w:t>
      </w:r>
    </w:p>
    <w:p>
      <w:pPr>
        <w:spacing w:after="0" w:line="253" w:lineRule="exact"/>
        <w:rPr>
          <w:rFonts w:ascii="Arial" w:cs="Arial" w:eastAsia="Arial" w:hAnsi="Arial"/>
          <w:sz w:val="20"/>
          <w:szCs w:val="20"/>
          <w:color w:val="auto"/>
        </w:rPr>
      </w:pPr>
    </w:p>
    <w:p>
      <w:pPr>
        <w:ind w:left="721" w:hanging="361"/>
        <w:spacing w:after="0"/>
        <w:tabs>
          <w:tab w:leader="none" w:pos="721"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supply and demand for our products;</w:t>
      </w:r>
    </w:p>
    <w:p>
      <w:pPr>
        <w:spacing w:after="0" w:line="252" w:lineRule="exact"/>
        <w:rPr>
          <w:rFonts w:ascii="Arial" w:cs="Arial" w:eastAsia="Arial" w:hAnsi="Arial"/>
          <w:sz w:val="20"/>
          <w:szCs w:val="20"/>
          <w:color w:val="auto"/>
        </w:rPr>
      </w:pPr>
    </w:p>
    <w:p>
      <w:pPr>
        <w:ind w:left="721" w:hanging="361"/>
        <w:spacing w:after="0"/>
        <w:tabs>
          <w:tab w:leader="none" w:pos="721"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the results of research and development projects by us or our competitors;</w:t>
      </w:r>
    </w:p>
    <w:p>
      <w:pPr>
        <w:sectPr>
          <w:pgSz w:w="11880" w:h="15480" w:orient="portrait"/>
          <w:cols w:equalWidth="0" w:num="1">
            <w:col w:w="10801"/>
          </w:cols>
          <w:pgMar w:left="539"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801"/>
          </w:cols>
          <w:pgMar w:left="539" w:top="1349" w:right="540" w:bottom="0" w:gutter="0" w:footer="0" w:header="0"/>
          <w:type w:val="continuous"/>
        </w:sectPr>
      </w:pPr>
    </w:p>
    <w:bookmarkStart w:id="68" w:name="page69"/>
    <w:bookmarkEnd w:id="68"/>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others relating to autonomous driving technology and its adoption by OEMs;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 of new competitive systems and products by others;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earnings estimates or recommendations by securities analysts;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concerning our intellectual property rights;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loss of key personnel, particularly Professor Shashua;</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cost of satisfying our warranty obligations;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loss of key customers;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disruptions to our and the global supply chain;</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macroeconomic irregularities such as worsening inflationary trends, volatile interest rates and labor shortages;</w:t>
      </w:r>
    </w:p>
    <w:p>
      <w:pPr>
        <w:spacing w:after="0" w:line="252"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delays between our expenditures to develop and market new or enhanced products and the generation of sales from those products;</w:t>
      </w:r>
    </w:p>
    <w:p>
      <w:pPr>
        <w:spacing w:after="0" w:line="178"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amount that we spend to develop, acquire, or license new products, technologies, or businesses;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research and development and operating expenditures;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variations in our and our competitors’ results of operations and financial condition;</w:t>
      </w:r>
    </w:p>
    <w:p>
      <w:pPr>
        <w:spacing w:after="0" w:line="252"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our sale or proposed sale or the sale or proposed sale by Intel (or other actions taken by Intel) or other significant stockholders of our common stock or other securities in the future; and</w:t>
      </w:r>
    </w:p>
    <w:p>
      <w:pPr>
        <w:spacing w:after="0" w:line="179"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general market conditions and other factors, including factors unrelated to our operating performance.</w:t>
      </w:r>
    </w:p>
    <w:p>
      <w:pPr>
        <w:spacing w:after="0" w:line="238" w:lineRule="exact"/>
        <w:rPr>
          <w:sz w:val="20"/>
          <w:szCs w:val="20"/>
          <w:color w:val="auto"/>
        </w:rPr>
      </w:pPr>
    </w:p>
    <w:p>
      <w:pPr>
        <w:jc w:val="both"/>
        <w:ind w:firstLine="361"/>
        <w:spacing w:after="0" w:line="263" w:lineRule="auto"/>
        <w:rPr>
          <w:sz w:val="20"/>
          <w:szCs w:val="20"/>
          <w:color w:val="auto"/>
        </w:rPr>
      </w:pPr>
      <w:r>
        <w:rPr>
          <w:rFonts w:ascii="Times New Roman" w:cs="Times New Roman" w:eastAsia="Times New Roman" w:hAnsi="Times New Roman"/>
          <w:sz w:val="19"/>
          <w:szCs w:val="19"/>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pay dividends in the foreseeable future.</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ectPr>
          <w:pgSz w:w="11880" w:h="15480" w:orient="portrait"/>
          <w:cols w:equalWidth="0" w:num="1">
            <w:col w:w="10800"/>
          </w:cols>
          <w:pgMar w:left="540" w:top="136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800"/>
          </w:cols>
          <w:pgMar w:left="540" w:top="1363" w:right="54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i w:val="1"/>
          <w:iCs w:val="1"/>
          <w:color w:val="auto"/>
        </w:rPr>
        <w:t>The ongoing compliance requirements of being a public company may strain our resources and divert management’s attention.</w:t>
      </w:r>
    </w:p>
    <w:p>
      <w:pPr>
        <w:spacing w:after="0" w:line="238"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the Sarbanes-Oxley Act of 2002 (“Sarbanes-Oxley Act”) and stock exchange rules promulgated in response to the Sarbanes-Oxley Act. The requirements of these rules and regulations have and will continue to increase our legal and financial compliance costs, make some activities more difficult, time-consuming, or costly and increase demand on our systems and resources. As a public company, we are obligated to file with the SEC annual and quarterly information and other reports that are specified in the Exchange Act, and therefore need to have the ability to prepare financial statements that are compliant with all SEC reporting requirements on a timely basis. In addition, we continue to be subject to other reporting and corporate governance requirements, including certain requirements of Nasdaq and certain provisions of the Sarbanes-Oxley Act and the regulations promulgated thereunder, which impose significant compliance obligations upon us.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 to establish and maintain effective internal control over financial reporting in accordance with Section 404 of the Sarbanes-Oxley Act could have an adverse effect on our business, results of operations, and financial condition.</w:t>
      </w:r>
    </w:p>
    <w:p>
      <w:pPr>
        <w:spacing w:after="0" w:line="165"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As a public company, we are required to comply with the SEC’s rules implementing Sections 302 and 404 of the Sarbanes -Oxley Act, which require management to certify financial and other information in our quarterly and annual reports and provide an annual management report on the effectiveness of internal control over financial reporting, to which our auditors need to attest in accordance with guidelines set forth by the Public Company Accounting Oversight Board.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 over financial reporting in accordance with Section 404 of the Sarbanes-Oxley Act. We cannot be certain as to the timing of completion of our evaluation, testing and any remediation actions or the impact of the same on our operations.</w:t>
      </w:r>
    </w:p>
    <w:p>
      <w:pPr>
        <w:spacing w:after="0" w:line="18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addition, we may be required to incur costs in improving our internal control system and the hiring of additional personnel. Any such action could adversely affect our business, results of operations, and financial condition.</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166"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trading market for our Class A common stock will depend, in part, on the research and reports that securities and industry analysts publish about us and our business. If securities and industry analysts do not commence or maintain coverage of our company,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2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issuance by us of additional equity securities may dilute your ownership and adversely affect the market price of our Class A common stock.</w:t>
      </w:r>
    </w:p>
    <w:p>
      <w:pPr>
        <w:spacing w:after="0" w:line="166"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Our amended and restated certificate of incorporation authorizes us to issue shares of Class A common stock and rights relating to Class A common stock for the consideration and on the terms and conditions established by our board of directors in its sole discretion, whether in connection with acquisitions or otherwise. In addition, under the terms of the Master Transaction Agreement we entered into with Intel in connection with the Mobileye IPO, we granted Intel a continuing right to purchase from us such number of shares of Class</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800"/>
          </w:cols>
          <w:pgMar w:left="540" w:top="1350" w:right="540" w:bottom="0" w:gutter="0" w:footer="0" w:header="0"/>
          <w:type w:val="continuous"/>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20"/>
          <w:szCs w:val="20"/>
          <w:color w:val="auto"/>
        </w:rPr>
        <w:t>A common stock or Class B common stock as is necessary for Intel to maintain an aggregate ownership of our common stock representing at least 80.1% of our common stock outstanding following the Mobileye IPO. Any common stock that we issue, including under our equity incentive plan or in connection with the Master Transaction Agreement, would dilute the percentage ownership of existing stockholders prior to such issuance.</w:t>
      </w:r>
    </w:p>
    <w:p>
      <w:pPr>
        <w:spacing w:after="0" w:line="191"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including for example our acquisition of Mentee Robotics.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199"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2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16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Under our amended and restated certificate of incorporation, we opted out of the anti-takeover provisions of Section 203 of the Delaware General Corporation Law (the “DGCL”).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214" w:lineRule="exact"/>
        <w:rPr>
          <w:sz w:val="20"/>
          <w:szCs w:val="20"/>
          <w:color w:val="auto"/>
        </w:rPr>
      </w:pPr>
    </w:p>
    <w:p>
      <w:pPr>
        <w:jc w:val="both"/>
        <w:ind w:left="720" w:hanging="362"/>
        <w:spacing w:after="0" w:line="260"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p>
      <w:pPr>
        <w:spacing w:after="0" w:line="196" w:lineRule="exact"/>
        <w:rPr>
          <w:rFonts w:ascii="Arial" w:cs="Arial" w:eastAsia="Arial" w:hAnsi="Arial"/>
          <w:sz w:val="20"/>
          <w:szCs w:val="20"/>
          <w:color w:val="auto"/>
        </w:rPr>
      </w:pPr>
    </w:p>
    <w:p>
      <w:pPr>
        <w:ind w:left="720" w:hanging="362"/>
        <w:spacing w:after="0" w:line="279"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179" w:lineRule="exact"/>
        <w:rPr>
          <w:rFonts w:ascii="Arial" w:cs="Arial" w:eastAsia="Arial" w:hAnsi="Arial"/>
          <w:sz w:val="20"/>
          <w:szCs w:val="20"/>
          <w:color w:val="auto"/>
        </w:rPr>
      </w:pPr>
    </w:p>
    <w:p>
      <w:pPr>
        <w:jc w:val="both"/>
        <w:ind w:left="720" w:hanging="362"/>
        <w:spacing w:after="0" w:line="253"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p>
      <w:pPr>
        <w:spacing w:after="0" w:line="203" w:lineRule="exact"/>
        <w:rPr>
          <w:rFonts w:ascii="Arial" w:cs="Arial" w:eastAsia="Arial" w:hAnsi="Arial"/>
          <w:sz w:val="20"/>
          <w:szCs w:val="20"/>
          <w:color w:val="auto"/>
        </w:rPr>
      </w:pPr>
    </w:p>
    <w:p>
      <w:pPr>
        <w:jc w:val="both"/>
        <w:ind w:left="720" w:hanging="361"/>
        <w:spacing w:after="0" w:line="260"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p>
      <w:pPr>
        <w:spacing w:after="0" w:line="196" w:lineRule="exact"/>
        <w:rPr>
          <w:rFonts w:ascii="Arial" w:cs="Arial" w:eastAsia="Arial" w:hAnsi="Arial"/>
          <w:sz w:val="20"/>
          <w:szCs w:val="20"/>
          <w:color w:val="auto"/>
        </w:rPr>
      </w:pPr>
    </w:p>
    <w:p>
      <w:pPr>
        <w:jc w:val="both"/>
        <w:ind w:left="720" w:hanging="361"/>
        <w:spacing w:after="0" w:line="260"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96"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so long as Intel’s holdings in our stock represent at least 20% of the aggregate number of shares of our outstanding common stock, consent by holders of a majority of our Class B common stock will be required for consolidations or mergers;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800"/>
          </w:cols>
          <w:pgMar w:left="540" w:top="1347" w:right="540" w:bottom="0" w:gutter="0" w:footer="0" w:header="0"/>
          <w:type w:val="continuous"/>
        </w:sectPr>
      </w:pPr>
    </w:p>
    <w:bookmarkStart w:id="71" w:name="page72"/>
    <w:bookmarkEnd w:id="71"/>
    <w:p>
      <w:pPr>
        <w:ind w:left="721" w:hanging="360"/>
        <w:spacing w:after="0" w:line="279" w:lineRule="auto"/>
        <w:tabs>
          <w:tab w:leader="none" w:pos="721"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no provision in our amended and restated certificate of incorporation or amended and restated bylaws provides for cumulative voting, which limits the ability of minority stockholders to elect director candidates;</w:t>
      </w:r>
    </w:p>
    <w:p>
      <w:pPr>
        <w:spacing w:after="0" w:line="179" w:lineRule="exact"/>
        <w:rPr>
          <w:rFonts w:ascii="Arial" w:cs="Arial" w:eastAsia="Arial" w:hAnsi="Arial"/>
          <w:sz w:val="20"/>
          <w:szCs w:val="20"/>
          <w:color w:val="auto"/>
        </w:rPr>
      </w:pPr>
    </w:p>
    <w:p>
      <w:pPr>
        <w:ind w:left="721" w:hanging="360"/>
        <w:spacing w:after="0" w:line="279" w:lineRule="auto"/>
        <w:tabs>
          <w:tab w:leader="none" w:pos="721"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only the Chairman of our Board of Directors, our Chief Executive Officer, or our Secretary upon written request by a majority of our Board of Directors are authorized to call a special meeting of stockholders;</w:t>
      </w:r>
    </w:p>
    <w:p>
      <w:pPr>
        <w:spacing w:after="0" w:line="178" w:lineRule="exact"/>
        <w:rPr>
          <w:rFonts w:ascii="Arial" w:cs="Arial" w:eastAsia="Arial" w:hAnsi="Arial"/>
          <w:sz w:val="20"/>
          <w:szCs w:val="20"/>
          <w:color w:val="auto"/>
        </w:rPr>
      </w:pPr>
    </w:p>
    <w:p>
      <w:pPr>
        <w:ind w:left="721" w:hanging="360"/>
        <w:spacing w:after="0" w:line="279" w:lineRule="auto"/>
        <w:tabs>
          <w:tab w:leader="none" w:pos="721"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our amended and restated certificate of incorporation provides that certain litigation against us can only be brought in Delaware unless we otherwise consent;</w:t>
      </w:r>
    </w:p>
    <w:p>
      <w:pPr>
        <w:spacing w:after="0" w:line="178" w:lineRule="exact"/>
        <w:rPr>
          <w:rFonts w:ascii="Arial" w:cs="Arial" w:eastAsia="Arial" w:hAnsi="Arial"/>
          <w:sz w:val="20"/>
          <w:szCs w:val="20"/>
          <w:color w:val="auto"/>
        </w:rPr>
      </w:pPr>
    </w:p>
    <w:p>
      <w:pPr>
        <w:jc w:val="both"/>
        <w:ind w:left="721" w:hanging="360"/>
        <w:spacing w:after="0" w:line="253" w:lineRule="auto"/>
        <w:tabs>
          <w:tab w:leader="none" w:pos="721"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p>
      <w:pPr>
        <w:spacing w:after="0" w:line="204" w:lineRule="exact"/>
        <w:rPr>
          <w:rFonts w:ascii="Arial" w:cs="Arial" w:eastAsia="Arial" w:hAnsi="Arial"/>
          <w:sz w:val="20"/>
          <w:szCs w:val="20"/>
          <w:color w:val="auto"/>
        </w:rPr>
      </w:pPr>
    </w:p>
    <w:p>
      <w:pPr>
        <w:ind w:left="721" w:hanging="360"/>
        <w:spacing w:after="0" w:line="279" w:lineRule="auto"/>
        <w:tabs>
          <w:tab w:leader="none" w:pos="721"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178" w:lineRule="exact"/>
        <w:rPr>
          <w:rFonts w:ascii="Arial" w:cs="Arial" w:eastAsia="Arial" w:hAnsi="Arial"/>
          <w:sz w:val="20"/>
          <w:szCs w:val="20"/>
          <w:color w:val="auto"/>
        </w:rPr>
      </w:pPr>
    </w:p>
    <w:p>
      <w:pPr>
        <w:ind w:left="721" w:hanging="360"/>
        <w:spacing w:after="0" w:line="279" w:lineRule="auto"/>
        <w:tabs>
          <w:tab w:leader="none" w:pos="721"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advance notice procedures apply for stockholders to nominate candidates for election as directors or to bring matters before an annual meeting of stockholders.</w:t>
      </w:r>
    </w:p>
    <w:p>
      <w:pPr>
        <w:spacing w:after="0" w:line="164" w:lineRule="exact"/>
        <w:rPr>
          <w:sz w:val="20"/>
          <w:szCs w:val="20"/>
          <w:color w:val="auto"/>
        </w:rPr>
      </w:pPr>
    </w:p>
    <w:p>
      <w:pPr>
        <w:jc w:val="both"/>
        <w:ind w:left="1" w:firstLine="360"/>
        <w:spacing w:after="0" w:line="250" w:lineRule="auto"/>
        <w:rPr>
          <w:sz w:val="20"/>
          <w:szCs w:val="20"/>
          <w:color w:val="auto"/>
        </w:rPr>
      </w:pPr>
      <w:r>
        <w:rPr>
          <w:rFonts w:ascii="Times New Roman" w:cs="Times New Roman" w:eastAsia="Times New Roman" w:hAnsi="Times New Roman"/>
          <w:sz w:val="20"/>
          <w:szCs w:val="20"/>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94" w:lineRule="exact"/>
        <w:rPr>
          <w:sz w:val="20"/>
          <w:szCs w:val="20"/>
          <w:color w:val="auto"/>
        </w:rPr>
      </w:pPr>
    </w:p>
    <w:p>
      <w:pPr>
        <w:jc w:val="both"/>
        <w:ind w:left="1"/>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66" w:lineRule="exact"/>
        <w:rPr>
          <w:sz w:val="20"/>
          <w:szCs w:val="20"/>
          <w:color w:val="auto"/>
        </w:rPr>
      </w:pPr>
    </w:p>
    <w:p>
      <w:pPr>
        <w:jc w:val="both"/>
        <w:ind w:left="1" w:firstLine="360"/>
        <w:spacing w:after="0" w:line="239" w:lineRule="auto"/>
        <w:rPr>
          <w:sz w:val="20"/>
          <w:szCs w:val="20"/>
          <w:color w:val="auto"/>
        </w:rPr>
      </w:pPr>
      <w:r>
        <w:rPr>
          <w:rFonts w:ascii="Times New Roman" w:cs="Times New Roman" w:eastAsia="Times New Roman" w:hAnsi="Times New Roman"/>
          <w:sz w:val="20"/>
          <w:szCs w:val="20"/>
          <w:color w:val="auto"/>
        </w:rPr>
        <w:t>Our amended and restated certificate of incorporation, to the fullest extent permitted by law, provides that, unless we consent in writing to the selection of an alternative forum, the Court of Chancery of the State of Delaware is the sole and exclusive forum for</w:t>
      </w:r>
    </w:p>
    <w:p>
      <w:pPr>
        <w:spacing w:after="0" w:line="2" w:lineRule="exact"/>
        <w:rPr>
          <w:sz w:val="20"/>
          <w:szCs w:val="20"/>
          <w:color w:val="auto"/>
        </w:rPr>
      </w:pPr>
    </w:p>
    <w:p>
      <w:pPr>
        <w:jc w:val="both"/>
        <w:ind w:left="1" w:hanging="1"/>
        <w:spacing w:after="0" w:line="239" w:lineRule="auto"/>
        <w:tabs>
          <w:tab w:leader="none" w:pos="28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behalf of us, (2) any action asserting a claim of breach of a duty (including any fiduciary duty) owed by any of our current or former directors, officers, stockholders, employees or agents to us or our stockholders,</w:t>
      </w:r>
    </w:p>
    <w:p>
      <w:pPr>
        <w:spacing w:after="0" w:line="1" w:lineRule="exact"/>
        <w:rPr>
          <w:rFonts w:ascii="Times New Roman" w:cs="Times New Roman" w:eastAsia="Times New Roman" w:hAnsi="Times New Roman"/>
          <w:sz w:val="20"/>
          <w:szCs w:val="20"/>
          <w:color w:val="auto"/>
        </w:rPr>
      </w:pPr>
    </w:p>
    <w:p>
      <w:pPr>
        <w:jc w:val="both"/>
        <w:ind w:left="1" w:hanging="1"/>
        <w:spacing w:after="0" w:line="250" w:lineRule="auto"/>
        <w:tabs>
          <w:tab w:leader="none" w:pos="28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93" w:lineRule="exact"/>
        <w:rPr>
          <w:sz w:val="20"/>
          <w:szCs w:val="20"/>
          <w:color w:val="auto"/>
        </w:rPr>
      </w:pPr>
    </w:p>
    <w:p>
      <w:pPr>
        <w:jc w:val="both"/>
        <w:ind w:left="1" w:firstLine="361"/>
        <w:spacing w:after="0" w:line="245" w:lineRule="auto"/>
        <w:rPr>
          <w:sz w:val="20"/>
          <w:szCs w:val="20"/>
          <w:color w:val="auto"/>
        </w:rPr>
      </w:pPr>
      <w:r>
        <w:rPr>
          <w:rFonts w:ascii="Times New Roman" w:cs="Times New Roman" w:eastAsia="Times New Roman" w:hAnsi="Times New Roman"/>
          <w:sz w:val="20"/>
          <w:szCs w:val="20"/>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96" w:lineRule="exact"/>
        <w:rPr>
          <w:sz w:val="20"/>
          <w:szCs w:val="20"/>
          <w:color w:val="auto"/>
        </w:rPr>
      </w:pPr>
    </w:p>
    <w:p>
      <w:pPr>
        <w:jc w:val="both"/>
        <w:ind w:left="1" w:firstLine="360"/>
        <w:spacing w:after="0" w:line="253" w:lineRule="auto"/>
        <w:rPr>
          <w:sz w:val="20"/>
          <w:szCs w:val="20"/>
          <w:color w:val="auto"/>
        </w:rPr>
      </w:pPr>
      <w:r>
        <w:rPr>
          <w:rFonts w:ascii="Times New Roman" w:cs="Times New Roman" w:eastAsia="Times New Roman" w:hAnsi="Times New Roman"/>
          <w:sz w:val="20"/>
          <w:szCs w:val="20"/>
          <w:color w:val="auto"/>
        </w:rPr>
        <w:t>Section 27 of the Exchange Act creates exclusive federal jurisdiction over all claims brought to enforce any duty or liability created by the Exchange Act or the rules and regulations thereunder and our amended and restated certificate of incorporation provides that neither the exclusive forum provision nor our federal forum provision applies to suits brought to enforce any duty or liability created by the Exchange Act.</w:t>
      </w:r>
    </w:p>
    <w:p>
      <w:pPr>
        <w:sectPr>
          <w:pgSz w:w="11880" w:h="15480" w:orient="portrait"/>
          <w:cols w:equalWidth="0" w:num="1">
            <w:col w:w="10801"/>
          </w:cols>
          <w:pgMar w:left="539"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801"/>
          </w:cols>
          <w:pgMar w:left="539" w:top="1362" w:right="540" w:bottom="0" w:gutter="0" w:footer="0" w:header="0"/>
          <w:type w:val="continuous"/>
        </w:sectPr>
      </w:pPr>
    </w:p>
    <w:bookmarkStart w:id="72" w:name="page73"/>
    <w:bookmarkEnd w:id="72"/>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4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our effective tax rates may reduce our net income (loss).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number of factors can increase our effective tax rates, which could reduce our net income (loss), including:</w:t>
      </w:r>
    </w:p>
    <w:p>
      <w:pPr>
        <w:spacing w:after="0" w:line="214" w:lineRule="exact"/>
        <w:rPr>
          <w:sz w:val="20"/>
          <w:szCs w:val="20"/>
          <w:color w:val="auto"/>
        </w:rPr>
      </w:pPr>
    </w:p>
    <w:p>
      <w:pPr>
        <w:ind w:left="720" w:hanging="360"/>
        <w:spacing w:after="0" w:line="279"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volume and mix of profits earned and location of assets across jurisdictions with varying tax rates and the associated impacts of legislative actions affecting multi-national enterprises;</w:t>
      </w:r>
    </w:p>
    <w:p>
      <w:pPr>
        <w:spacing w:after="0" w:line="138"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valuation of our deferred tax assets and liabilities, and in associated deferred tax asset valuation allowance;</w:t>
      </w:r>
    </w:p>
    <w:p>
      <w:pPr>
        <w:spacing w:after="0" w:line="213"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adjustments to income taxes upon finalization of tax returns;</w:t>
      </w:r>
    </w:p>
    <w:p>
      <w:pPr>
        <w:spacing w:after="0" w:line="214"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expenses not deductible for tax purposes, including equity-based compensation or impairments of goodwill;</w:t>
      </w:r>
    </w:p>
    <w:p>
      <w:pPr>
        <w:spacing w:after="0" w:line="213"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available tax credits;</w:t>
      </w:r>
    </w:p>
    <w:p>
      <w:pPr>
        <w:spacing w:after="0" w:line="213"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ability to secure new, or renew existing, tax holidays and incentives;</w:t>
      </w:r>
    </w:p>
    <w:p>
      <w:pPr>
        <w:spacing w:after="0" w:line="213"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U.S. federal, state, or foreign tax laws or their interpretation, including changes in the U.S. to the taxation of non-U.S. income and expenses;</w:t>
      </w:r>
    </w:p>
    <w:p>
      <w:pPr>
        <w:spacing w:after="0" w:line="138" w:lineRule="exact"/>
        <w:rPr>
          <w:rFonts w:ascii="Arial" w:cs="Arial" w:eastAsia="Arial" w:hAnsi="Arial"/>
          <w:sz w:val="20"/>
          <w:szCs w:val="20"/>
          <w:color w:val="auto"/>
        </w:rPr>
      </w:pPr>
    </w:p>
    <w:p>
      <w:pPr>
        <w:jc w:val="both"/>
        <w:ind w:left="720" w:hanging="360"/>
        <w:spacing w:after="0" w:line="260"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changes resulting from the adoption by countries of OECD recommendations, including adoption of tax legislation to comply with Pillar Two Model Rules, or other legislative actions. The regulations of Pillar Two Model Rules will become effective in Israel for tax years beginning after January 1, 2026;</w:t>
      </w:r>
    </w:p>
    <w:p>
      <w:pPr>
        <w:spacing w:after="0" w:line="156"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resolution of issues arising from tax audits, including payment of interest and penalties;</w:t>
      </w:r>
    </w:p>
    <w:p>
      <w:pPr>
        <w:spacing w:after="0" w:line="213"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business or legal entity operating model;</w:t>
      </w:r>
    </w:p>
    <w:p>
      <w:pPr>
        <w:spacing w:after="0" w:line="213"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accounting standards; and</w:t>
      </w:r>
    </w:p>
    <w:p>
      <w:pPr>
        <w:spacing w:after="0" w:line="213" w:lineRule="exact"/>
        <w:rPr>
          <w:rFonts w:ascii="Arial" w:cs="Arial" w:eastAsia="Arial" w:hAnsi="Arial"/>
          <w:sz w:val="20"/>
          <w:szCs w:val="20"/>
          <w:color w:val="auto"/>
        </w:rPr>
      </w:pPr>
    </w:p>
    <w:p>
      <w:pPr>
        <w:ind w:left="720" w:hanging="360"/>
        <w:spacing w:after="0" w:line="307" w:lineRule="auto"/>
        <w:tabs>
          <w:tab w:leader="none" w:pos="720"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or regional conditions can adversely affect our business, results of operations, and financial condition.</w:t>
      </w:r>
    </w:p>
    <w:p>
      <w:pPr>
        <w:spacing w:after="0" w:line="19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We and our suppliers have manufacturing, assembly and testing, research and development, sales and other operations in Israel and several other countries, and some of our business activities are concentrated in one or more geographic areas. Moreover, 78% of our total revenue in 2025 was derived outside of the United States, with China, Germany, and South Korea making up 23%, 16%, and 10% of total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800"/>
          </w:cols>
          <w:pgMar w:left="540" w:top="1347" w:right="540" w:bottom="0" w:gutter="0" w:footer="0" w:header="0"/>
          <w:type w:val="continuous"/>
        </w:sectPr>
      </w:pPr>
    </w:p>
    <w:bookmarkStart w:id="73" w:name="page74"/>
    <w:bookmarkEnd w:id="73"/>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Adverse changes in economic conditions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can be adversely affected by other global and regional factors that periodically occur, including:</w:t>
      </w:r>
    </w:p>
    <w:p>
      <w:pPr>
        <w:spacing w:after="0" w:line="254" w:lineRule="exact"/>
        <w:rPr>
          <w:sz w:val="20"/>
          <w:szCs w:val="20"/>
          <w:color w:val="auto"/>
        </w:rPr>
      </w:pPr>
    </w:p>
    <w:p>
      <w:pPr>
        <w:ind w:left="720" w:hanging="360"/>
        <w:spacing w:after="0" w:line="279"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geopolitical and security issues, such as armed conflict and civil or military unrest, political instability, human rights concerns and terrorist activity;</w:t>
      </w:r>
    </w:p>
    <w:p>
      <w:pPr>
        <w:spacing w:after="0" w:line="179" w:lineRule="exact"/>
        <w:rPr>
          <w:rFonts w:ascii="Arial" w:cs="Arial" w:eastAsia="Arial" w:hAnsi="Arial"/>
          <w:sz w:val="20"/>
          <w:szCs w:val="20"/>
          <w:color w:val="auto"/>
        </w:rPr>
      </w:pPr>
    </w:p>
    <w:p>
      <w:pPr>
        <w:ind w:left="720" w:hanging="360"/>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natural disasters, public health issues (such as the COVID-19 pandemic) and other catastrophic events;</w:t>
      </w:r>
    </w:p>
    <w:p>
      <w:pPr>
        <w:spacing w:after="0" w:line="252"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178"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formal or informal imposition of new or revised export, import or doing-business regulations, including trade sanctions, tariffs, and changes in the ability to obtain export licenses, which could be changed without notice;</w:t>
      </w:r>
    </w:p>
    <w:p>
      <w:pPr>
        <w:spacing w:after="0" w:line="179"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 restrictions on, or nationalization of, our operations in any country, or restrictions on our ability to repatriate earnings from a particular country;</w:t>
      </w:r>
    </w:p>
    <w:p>
      <w:pPr>
        <w:spacing w:after="0" w:line="178"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adverse changes relating to government grants, tax credits or other government incentives, including more favorable incentives provided to competitors;</w:t>
      </w:r>
    </w:p>
    <w:p>
      <w:pPr>
        <w:spacing w:after="0" w:line="178" w:lineRule="exact"/>
        <w:rPr>
          <w:rFonts w:ascii="Arial" w:cs="Arial" w:eastAsia="Arial" w:hAnsi="Arial"/>
          <w:sz w:val="20"/>
          <w:szCs w:val="20"/>
          <w:color w:val="auto"/>
        </w:rPr>
      </w:pPr>
    </w:p>
    <w:p>
      <w:pPr>
        <w:ind w:left="720" w:hanging="360"/>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employment practices and labor issues;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ineffective legal protection of our intellectual property rights in certain countries;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local business and cultural factors that differ from our current standards and practices;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continuing uncertainty regarding social, political, immigration and tax and trade policies; and</w:t>
      </w:r>
    </w:p>
    <w:p>
      <w:pPr>
        <w:spacing w:after="0" w:line="253"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determine that our goodwill has become impaired, we may incur impairment charges, which would negatively impact our operating results.</w:t>
      </w:r>
    </w:p>
    <w:p>
      <w:pPr>
        <w:spacing w:after="0" w:line="165"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Indicators that are considered include industry and market considerations, overall financial performance, and other relevant events and factors affecting the reporting unit, including rising interest rates, or a significant decline in our stock price and/or market capitalization for a sustained period of time, and we consider both the income approach and the market approach to estimate a reporting unit’s fair value. Significant estimates include business projections, terminal growth rate, and discount rate based on the reporting unit’s weighted average cost of capital. The estimated fair value using a market approach is based on a number of assumptions, including current market capitalization as corroboration of fair value.</w:t>
      </w:r>
    </w:p>
    <w:p>
      <w:pPr>
        <w:spacing w:after="0" w:line="20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have in the past and may in the future be required to record a significant impairment charge to earnings in our consolidated financial statements during the period in which any impairment of our goodwill is determined, due to, among other things, a decline in the market capitalization of the Company. Any such charge could have a material adverse impact on our results of operations.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800"/>
          </w:cols>
          <w:pgMar w:left="540" w:top="1347" w:right="54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i w:val="1"/>
          <w:iCs w:val="1"/>
          <w:color w:val="auto"/>
        </w:rPr>
        <w:t>Catastrophic events can adversely affect our business, results of operations, and financial condition.</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operations and business, and those of our customers and direct and indirect vendors and suppliers of OEMs, can be disrupted by natural disasters, industrial accidents, public health issues, cybersecurity incidents, interruptions of service from utilities, transportation, telecommunications or IT systems providers, production equipment failures or other catastrophic events.</w:t>
      </w:r>
    </w:p>
    <w:p>
      <w:pPr>
        <w:spacing w:after="0" w:line="18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pacing w:after="0" w:line="192"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201"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Even though we maintain insurance coverage for a variety of property, casualty, and other risks, not all possible risks are or can be fully covered and therefore any insurance payments to the Company may not necessarily cover the entire scope of the damage and/or all possible losses. We may also decide not to purchase certain policies and/or to self- insure against certain risks. The types and amounts of our insurance coverage vary depending on availability, cost, and decisions with respect to risk retention. We may decided to not purchase certain policies at all for various reasons, including due to the costs of such policy outweighing any economic benefit, and there is no certainty that it will be possible to purchase or renew suitable insurance policies in the future pursuant to reasonable commercial terms, if at all. Some of the policies under which we are covered may have large deductibles and broad exclusions. In addition, one or more insurance providers may be unable or unwilling to pay a claim. Our insurers may also discontinue our insurance coverage and we may be unable to find replacement insurance on acceptable terms or at all, or where we share our limits with Intel claims by Intel under these policies may exhaust the available policy limits. Certain of our commercial agreements require us to arrange or maintain specified insurance policies. If such insurance becomes unavailable in whole or in part, prohibitively expensive, or cannot be procured or maintained through reasonable commercial efforts, we may be unable to comply with these contractual undertakings, which could expose us to claims of breach, penalties, or other contractual remedies.</w:t>
      </w:r>
    </w:p>
    <w:p>
      <w:pPr>
        <w:spacing w:after="0" w:line="20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Losses not covered by insurance may be large, which would adversely affect our business, results of operations,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w:t>
      </w:r>
    </w:p>
    <w:p>
      <w:pPr>
        <w:spacing w:after="0" w:line="238"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Cybersecurity risk management is an integral part of our overall enterprise risk management program, which we have continued to invest in developing. Our corporate cybersecurity risk management program provides a framework for handling cybersecurity threats and incidents, including threats and incidents associated with the use of services provided by third-party vendors and service providers, and facilitating coordination across different business units of the Company. Our corporate cybersecurity risk management program is based on and audited against industry standards, including ISO 27001 for Information Security Management Systems (ISMS) and the automotive industry’s Trusted Information Security Assessment Exchange standard (TISAX).</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800"/>
          </w:cols>
          <w:pgMar w:left="540" w:top="1350" w:right="540" w:bottom="0" w:gutter="0" w:footer="0" w:header="0"/>
          <w:type w:val="continuous"/>
        </w:sectPr>
      </w:pPr>
    </w:p>
    <w:bookmarkStart w:id="75" w:name="page76"/>
    <w:bookmarkEnd w:id="75"/>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corporate cybersecurity team is responsible for operating our cybersecurity risk management program. The cybersecurity team determines with management an annual workplan for risk assessments, reviews, audits and tests. The cybersecurity team also conducts vulnerability assessments, security reviews and penetration tests on a regular basis in accordance with such workplan. Following risk assessments that require any remediation, the cybersecurity team then conducts a risk treatment and response process, including mitigation, remediation and risk reduction efforts. Our policies also require that Internet-accessible enterprise systems and applications must undergo a penetration test at least annually, and we engage specialized, independent, third parties to conduct penetration tests and specific in-depth reviews of certain enterprise systems and applications.</w:t>
      </w:r>
    </w:p>
    <w:p>
      <w:pPr>
        <w:spacing w:after="0" w:line="201"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With respect to overseeing and identifying cybersecurity risks associated with third parties, we seek to impose certain cybersecurity requirements on critical third parties with whom we do business. The cybersecurity team performs risk assessments, due diligence checks and validation of key security controls in accordance with our cybersecurity policies and standards for third-party vendors and service providers with whom we exchange information or integrate our information systems and networks. We include cybersecurity and privacy addenda and clauses in our agreements with such third parties where applicable and seek to pass through any necessary regulatory and contractual requirements to such third parties. When we do become aware that a third-party vendor or service provider has experienced a compromise or failure, we attempt to mitigate our risk, including by terminating such third party’s connection to our information systems and networks where appropriate or by exercising any applicable contractual remedies we may have, such as a right to indemnification.</w:t>
      </w:r>
    </w:p>
    <w:p>
      <w:pPr>
        <w:spacing w:after="0" w:line="197"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On a semi-annual basis the cybersecurity team conducts a program performance evaluation with management to assess the continuing suitability, adequacy and effectiveness of the Company’s cybersecurity risk management program, including with respect to the fulfillment of cybersecurity objectives and compliance with industry standards, and to recommend changes to the Company’s threat modeling, priorities for future risk assessments, policy adjustments in response to newly identified risks or non-compliance, and overall risk acceptance.</w:t>
      </w:r>
    </w:p>
    <w:p>
      <w:pPr>
        <w:spacing w:after="0" w:line="19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To foster a culture of cybersecurity awareness within the Company and provide employees with further knowledge of cybersecurity-conscious behavior, all employees of the Company are required to attend cybersecurity training sessions during the onboarding process and at least once per year.</w:t>
      </w:r>
    </w:p>
    <w:p>
      <w:pPr>
        <w:spacing w:after="0" w:line="18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organizational cybersecurity program is under the direction of our Chief Information Security Officer (“CISO”) who receives reports from our cybersecurity team and oversees the prevention, detection, mitigation, and remediation of cybersecurity threats and incidents. Our CISO reports to our Chief Operating Officer (“COO”), who may discuss cybersecurity risks and other operational risks with other senior management as appropriate. Our CISO and dedicated cybersecurity team personnel are certified and experienced information systems security professionals and cybersecurity managers with many years of experience. Our CISO has served in that position since 2019 and has over 25 years of managerial and professional cybersecurity expertise. He has held the role of CISO and other senior management positions with NDS, Cisco and Deloitte and has also served as cybersecurity consultant for companies in multiple global industries. Our COO has over 20 years of experience in project management and cybersecurity, including from past roles with Verint-Systems and Cisco Systems as well as the establishment and management of the Company’s cybersecurity team prior to our CISO joining the Company.</w:t>
      </w:r>
    </w:p>
    <w:p>
      <w:pPr>
        <w:spacing w:after="0" w:line="20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The Company’s cybersecurity team regularly meets with the COO to report its findings. The COO in turn periodically reports on such matters to the Chief Executive Officer and other members of management.</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COO and CISO provide updates to the audit committee of our board of directors (the “Audit Committee”) on the Company’s cybersecurity programs, material cybersecurity risks and mitigation strategies. In addition to such regular updates, and as part of our incident response processes, our COO is also responsible for informing the Audit Committee of material cybersecurity threats and incidents, based on management’s assessment of risk.</w:t>
      </w:r>
    </w:p>
    <w:p>
      <w:pPr>
        <w:spacing w:after="0" w:line="19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Our board of directors has overall oversight responsibility for our risk management, and delegates cybersecurity risk management oversight to the Audit Committee. The Audit Committee is responsible for ensuring that management has processes in place designed to identify and assess cybersecurity risks to which the Company is exposed and implement processes and programs designed to manage cybersecurity risks and mitigate and remediate cybersecurity threats and incidents. Both management and the Audit Committee also report material cybersecurity risks to our full board of directors, based on management’s assessment of risk.</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800"/>
          </w:cols>
          <w:pgMar w:left="540" w:top="1347" w:right="540" w:bottom="0" w:gutter="0" w:footer="0" w:header="0"/>
          <w:type w:val="continuous"/>
        </w:sectPr>
      </w:pPr>
    </w:p>
    <w:bookmarkStart w:id="76" w:name="page77"/>
    <w:bookmarkEnd w:id="76"/>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In 2025, we did not identify any cybersecurity risks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 – Risks Related to Privacy, Data, and Cybersecurity” in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own our principal offices at Shlomo Momo HaLevi Street 1, Jerusalem, Israel, totaling approximately 1,377,781 square feet (approximately 128,000 square meters). We also lease office space in Tel Aviv and various other locations in Israel and around the world, including Detroit, Munich, Tokyo, Beijing and Shanghai.</w:t>
      </w:r>
    </w:p>
    <w:p>
      <w:pPr>
        <w:spacing w:after="0" w:line="1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are working to enter into additional leases for more office space in various locations around the world. In most of the countries we operate in, we lease office space for local operations (local country leadership, customer support, local sales, etc.) and we do not foresee any significant changes to these operations going forward.</w:t>
      </w:r>
    </w:p>
    <w:p>
      <w:pPr>
        <w:spacing w:after="0" w:line="183" w:lineRule="exact"/>
        <w:rPr>
          <w:sz w:val="20"/>
          <w:szCs w:val="20"/>
          <w:color w:val="auto"/>
        </w:rPr>
      </w:pPr>
    </w:p>
    <w:p>
      <w:pPr>
        <w:ind w:right="700" w:firstLine="360"/>
        <w:spacing w:after="0" w:line="469" w:lineRule="auto"/>
        <w:rPr>
          <w:sz w:val="20"/>
          <w:szCs w:val="20"/>
          <w:color w:val="auto"/>
        </w:rPr>
      </w:pPr>
      <w:r>
        <w:rPr>
          <w:rFonts w:ascii="Times New Roman" w:cs="Times New Roman" w:eastAsia="Times New Roman" w:hAnsi="Times New Roman"/>
          <w:sz w:val="20"/>
          <w:szCs w:val="20"/>
          <w:color w:val="auto"/>
        </w:rPr>
        <w:t xml:space="preserve">We consider our facilities, taken as a whole, to be suitable, adequate, and of sufficient capacity for our current operations. </w:t>
      </w:r>
      <w:r>
        <w:rPr>
          <w:rFonts w:ascii="Times New Roman" w:cs="Times New Roman" w:eastAsia="Times New Roman" w:hAnsi="Times New Roman"/>
          <w:sz w:val="20"/>
          <w:szCs w:val="20"/>
          <w:b w:val="1"/>
          <w:bCs w:val="1"/>
          <w:color w:val="auto"/>
        </w:rPr>
        <w:t>Item 3. Legal Proceedings</w:t>
      </w:r>
    </w:p>
    <w:p>
      <w:pPr>
        <w:spacing w:after="0" w:line="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800"/>
          </w:cols>
          <w:pgMar w:left="540" w:top="1347" w:right="540" w:bottom="0" w:gutter="0" w:footer="0" w:header="0"/>
          <w:type w:val="continuous"/>
        </w:sectPr>
      </w:pPr>
    </w:p>
    <w:bookmarkStart w:id="77" w:name="page78"/>
    <w:bookmarkEnd w:id="77"/>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Legal Actions</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Class Action</w:t>
      </w:r>
    </w:p>
    <w:p>
      <w:pPr>
        <w:spacing w:after="0" w:line="196" w:lineRule="exact"/>
        <w:rPr>
          <w:sz w:val="20"/>
          <w:szCs w:val="20"/>
          <w:color w:val="auto"/>
        </w:rPr>
      </w:pPr>
    </w:p>
    <w:p>
      <w:pPr>
        <w:jc w:val="both"/>
        <w:ind w:firstLine="362"/>
        <w:spacing w:after="0" w:line="242" w:lineRule="auto"/>
        <w:rPr>
          <w:sz w:val="20"/>
          <w:szCs w:val="20"/>
          <w:color w:val="auto"/>
        </w:rPr>
      </w:pPr>
      <w:r>
        <w:rPr>
          <w:rFonts w:ascii="Times New Roman" w:cs="Times New Roman" w:eastAsia="Times New Roman" w:hAnsi="Times New Roman"/>
          <w:sz w:val="20"/>
          <w:szCs w:val="20"/>
          <w:color w:val="auto"/>
        </w:rPr>
        <w:t>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1:24-CV-01390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On August 15, 2025, Mobileye and the named defendants filed their opposition brief, and on September 5, 2025, the appellants filed their reply brief in further support of the appeal. Oral argument was held on December 4, 2025. On December 16, 2025, the Second Circuit issued a summary order affirming the Court’s dismissal of the second amended complaint in full. The lead plaintiff has ninety days from the date of the summary order to file a writ of certiorari with the U.S. Supreme Court. We intend to defend the matter vigorously. No provision was recorded in the consolidated financial statements as of December 27, 2025.</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Derivative Action - U.S. District Court for the Southern District of New York</w:t>
      </w:r>
    </w:p>
    <w:p>
      <w:pPr>
        <w:spacing w:after="0" w:line="236"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pacing w:after="0" w:line="202"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 2024, this derivative action was consolidated with the derivative action originally filed on April 12, 2024 and the consolidated derivative action was stayed by the court pending resolution of the anticipated motion to dismiss in the consolidated securities action. Following dismissal of the consolidated securities action, the Court ordered the parties to jointly propose a schedule for further proceedings by April 24, 2025. On April 25, 2025, the Court entered a stipulation and order of voluntary dismissal without prejudice. In the event the plaintiffs refile this lawsuit, we intend to continue defending the matter vigorously. No provision was recorded in the consolidated financial statements as of December 27, 2025.</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800"/>
          </w:cols>
          <w:pgMar w:left="540" w:top="1350" w:right="540" w:bottom="0" w:gutter="0" w:footer="0" w:header="0"/>
          <w:type w:val="continuous"/>
        </w:sectPr>
      </w:pPr>
    </w:p>
    <w:bookmarkStart w:id="78" w:name="page79"/>
    <w:bookmarkEnd w:id="78"/>
    <w:p>
      <w:pPr>
        <w:ind w:left="360"/>
        <w:spacing w:after="0"/>
        <w:rPr>
          <w:sz w:val="20"/>
          <w:szCs w:val="20"/>
          <w:color w:val="auto"/>
        </w:rPr>
      </w:pPr>
      <w:r>
        <w:rPr>
          <w:rFonts w:ascii="Times New Roman" w:cs="Times New Roman" w:eastAsia="Times New Roman" w:hAnsi="Times New Roman"/>
          <w:sz w:val="20"/>
          <w:szCs w:val="20"/>
          <w:i w:val="1"/>
          <w:iCs w:val="1"/>
          <w:color w:val="auto"/>
        </w:rPr>
        <w:t>U.S. Derivative Action - State of Delaware</w:t>
      </w:r>
    </w:p>
    <w:p>
      <w:pPr>
        <w:spacing w:after="0" w:line="236"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On May 6, 2025, a derivative lawsuit captioned Levitan et al. vs. Shashua et al. was filed in the State of Delaware’s Court of Chancery against certain current and former members of the Mobileye Board of Directors and against Intel Corporation, in its capacity as Mobileye’s controlling shareholder. Mobileye was also named as a nominal defendant. The complaint principally asserts claims for breach of fiduciary duty against the named director defendants and breach of fiduciary duty and unjust enrichment against Intel, alleging that the named director defendants and Intel should not have authorized Mobileye’s June 5, 2023 secondary offering given their purported knowledge of the alleged challenges facing the Company concerning customer demand and the buildup of excess inventory by Mobileye’s Tier 1 customers. The complaint seeks unspecified damages and other relief. On September 8, 2025, Mobileye, Intel Corporation and the named director defendants filed a motion to dismiss the complaint. Plaintiffs thereafter informed defendants that, rather than opposing the motion, they intended to file an amended complaint. The parties stipulated and the court ordered that the plaintiffs’ amended complaint was due on January 23, 2026. On January 28, 2026, the Court entered a stipulation and order of voluntary dismissal with prejudice. No provision was recorded in the consolidated financial statements as of December 27, 2025.</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Patent Litigation</w:t>
      </w:r>
    </w:p>
    <w:p>
      <w:pPr>
        <w:spacing w:after="0" w:line="237"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On November 4, 2024, Mobileye filed a motion to dismiss asserting improper venue, which the court dismissed without prejudice to refile in view of an amended complaint filed by Facet, adding Mobileye Vision Technologies Ltd. and Mobileye Inc., each wholly-owned indirect subsidiaries of Mobileye Global Inc., as additional defendants. On November 7, 2024, Mobileye Vision Technologies Ltd. and Mobileye Inc., sued Facet Technology Corp. in the U.S. District Court of Minnesota seeking a declaratory judgment that the Mobileye plaintiffs do not infringe either patent. On March 5, 2025, the Patent Trial and Appeal Board (“PTAB”) of the US Patent and Trademark Office instituted two Inter Parte Review (IPR) proceedings filed by Mobileye Vision Technologies Ltd. against the patents asserted by Facet. On March 15, 2025, the parties agreed and the relevant courts entered orders staying all litigation pending the outcome of the both IPRs. On January 23, 2026, the PTAB issued final written decisions in both IPRs, finding some claims unpatentable and permitting some claims to survive. For the claims asserted against Mobileye in district court, the PTAB ruled in Mobileye’s favor on all claims except a single claim of one patent. Both parties have until February 23, 2026 to request Director Review. If no request for Director Review is filed, the parties have until March 27, 2026 to file a notice of appeal with the Court of Appeals for the Federal Circuit. We intend to defend the matter vigorously. No provision was recorded in the consolidated financial statements as of December 27,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800"/>
          </w:cols>
          <w:pgMar w:left="540" w:top="135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800"/>
          </w:cols>
          <w:pgMar w:left="540" w:top="1352" w:right="540" w:bottom="0" w:gutter="0" w:footer="0" w:header="0"/>
          <w:type w:val="continuous"/>
        </w:sectPr>
      </w:pPr>
    </w:p>
    <w:bookmarkStart w:id="79" w:name="page80"/>
    <w:bookmarkEnd w:id="79"/>
    <w:p>
      <w:pPr>
        <w:ind w:left="504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44" w:lineRule="exact"/>
        <w:rPr>
          <w:sz w:val="20"/>
          <w:szCs w:val="20"/>
          <w:color w:val="auto"/>
        </w:rPr>
      </w:pPr>
    </w:p>
    <w:p>
      <w:pPr>
        <w:jc w:val="both"/>
        <w:ind w:right="20" w:firstLine="360"/>
        <w:spacing w:after="0" w:line="280" w:lineRule="auto"/>
        <w:rPr>
          <w:sz w:val="20"/>
          <w:szCs w:val="20"/>
          <w:color w:val="auto"/>
        </w:rPr>
      </w:pPr>
      <w:r>
        <w:rPr>
          <w:rFonts w:ascii="Times New Roman" w:cs="Times New Roman" w:eastAsia="Times New Roman" w:hAnsi="Times New Roman"/>
          <w:sz w:val="20"/>
          <w:szCs w:val="20"/>
          <w:color w:val="auto"/>
        </w:rPr>
        <w:t>Our Class A common stock is listed on Nasdaq under the symbol “MBLY”. Our Class B common stock is not listed nor traded on any stock exchange.</w:t>
      </w:r>
    </w:p>
    <w:p>
      <w:pPr>
        <w:spacing w:after="0" w:line="163"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On February 3, 2026, there were 5 stockholders of record of our Class A common stock and 1 stockholder of record of our Class B common stock. The number of record holders does not include persons who held shares of our Class A common stock in nominee or “street name” accounts through brokers.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4"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20"/>
          <w:szCs w:val="20"/>
          <w:color w:val="auto"/>
        </w:rPr>
        <w:t>We intend to retain any future earnings and do not anticipate declaring or paying any cash dividends in the foreseeable future. See “Item 1A. Risk Factors — Risks Related to Ownership of Our Class A Common Stock — We do not expect to pay dividends in the foreseeable future.”</w:t>
      </w:r>
    </w:p>
    <w:p>
      <w:pPr>
        <w:spacing w:after="0" w:line="184" w:lineRule="exact"/>
        <w:rPr>
          <w:sz w:val="20"/>
          <w:szCs w:val="20"/>
          <w:color w:val="auto"/>
        </w:rPr>
      </w:pPr>
    </w:p>
    <w:p>
      <w:pPr>
        <w:jc w:val="both"/>
        <w:ind w:right="20" w:firstLine="360"/>
        <w:spacing w:after="0" w:line="253" w:lineRule="auto"/>
        <w:rPr>
          <w:sz w:val="20"/>
          <w:szCs w:val="20"/>
          <w:color w:val="auto"/>
        </w:rPr>
      </w:pPr>
      <w:r>
        <w:rPr>
          <w:rFonts w:ascii="Times New Roman" w:cs="Times New Roman" w:eastAsia="Times New Roman" w:hAnsi="Times New Roman"/>
          <w:sz w:val="20"/>
          <w:szCs w:val="20"/>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may be contained in any of our subsidiaries’ credit facilities, and such other factors as our board of directors may deem relevant.</w:t>
      </w:r>
    </w:p>
    <w:p>
      <w:pPr>
        <w:spacing w:after="0" w:line="191"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44" w:lineRule="exact"/>
        <w:rPr>
          <w:sz w:val="20"/>
          <w:szCs w:val="20"/>
          <w:color w:val="auto"/>
        </w:rPr>
      </w:pPr>
    </w:p>
    <w:p>
      <w:pPr>
        <w:jc w:val="both"/>
        <w:ind w:right="20"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filed (and is hereby incorporated by reference) by an amendment hereto or pursuant to a definitive proxy statement pursuant to Regulation 14A that will contain such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44"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20"/>
          <w:szCs w:val="20"/>
          <w:color w:val="auto"/>
        </w:rPr>
        <w:t>The following performance graph shall not be deemed “soliciting material” or to be “filed” with the SEC for purposes of Section 18 of the Exchange Act, or otherwise subject to the liabilities under that Section, and shall not be deemed to be incorporated by reference into any filing of Mobileye under the Securities Act or the Exchange Act.</w:t>
      </w:r>
    </w:p>
    <w:p>
      <w:pPr>
        <w:spacing w:after="0" w:line="18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following graph compares the cumulative total stockholder return on our Class A common stock with the comparable cumulative return of the NASDAQ Composite index and PHLX Semiconductor index. The graph assumes that $100 was invested in our Class A common stock and in each index on October 26, 2022, the date our Class A common stock began trading on Nasdaq. The comparisons are based on historical data and are not indicative of, nor intended to forecast, the future performance of our Class A common stock.</w:t>
      </w:r>
    </w:p>
    <w:p>
      <w:pPr>
        <w:sectPr>
          <w:pgSz w:w="11880" w:h="15480" w:orient="portrait"/>
          <w:cols w:equalWidth="0" w:num="1">
            <w:col w:w="10820"/>
          </w:cols>
          <w:pgMar w:left="540" w:top="1345"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820"/>
          </w:cols>
          <w:pgMar w:left="540" w:top="1345" w:right="520" w:bottom="0" w:gutter="0" w:footer="0" w:header="0"/>
          <w:type w:val="continuous"/>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628650</wp:posOffset>
            </wp:positionH>
            <wp:positionV relativeFrom="page">
              <wp:posOffset>869950</wp:posOffset>
            </wp:positionV>
            <wp:extent cx="6285230" cy="21418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285230" cy="214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*$100 invested at the closing price on the first day of trading on October 26, 2022 of Mobileye Class A common stock and in indices, including reinvestment of dividends.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Shares of Equity Securities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following discussion and analysis of our financial condition and results of operations should be read in conjunction with our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 -looking statements and important factors that could cause actual results to differ materially from the results described in or implied by the forward-looking statements contained in the following discussion and analysis.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Mobileye is a leader in the development and deployment of ADAS and autonomous driving technologies and solutions. We pioneered ADAS technology more than 25 years ago and have continuously expanded the scope of our ADAS offerings, while leading the evolution to autonomous driving solutions.</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 -critical capabilities at the edge and in the cloud, advancing the safety of road users, and revolutionizing the driving experience and the movement of people and goods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800"/>
          </w:cols>
          <w:pgMar w:left="540" w:top="1440" w:right="540" w:bottom="0" w:gutter="0" w:footer="0" w:header="0"/>
        </w:sectPr>
      </w:pPr>
    </w:p>
    <w:bookmarkStart w:id="81" w:name="page82"/>
    <w:bookmarkEnd w:id="81"/>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As of December 27, 2025, our solutions had been installed in approximately 1,400 vehicle models (including local country, year, and other vehicle model variations), and our SoCs had been deployed in more than 230 million vehicles. We are actively working with more than 50 OEMs worldwide on the implementation of our ADAS solutions. For the year ended December 27, 2025, we shipped approximately 35.7 million of our systems, of which the substantial majority were EyeQ™ SoCs. This represents an increase from the approximately 29.0 million of our systems that we shipped in 2024 and a decrease from the approximately 37.4 million of our systems that we shipped in 2023.</w:t>
      </w:r>
    </w:p>
    <w:p>
      <w:pPr>
        <w:spacing w:after="0" w:line="19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were founded in Israel in 1999. Our co -founder, Professor Amnon Shashua, is our President and Chief Executive Officer. In 2014, we completed an initial public offering as a foreign private issuer and traded under the symbol “MBLY” on the New York Stock Exchange. Intel acquired Mobileye for $15.3 billion in 2017, after which we became a wholly-owned subsidiary of Intel. We completed the Reorganization and Mobileye IPO in October 2022.</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Secondary Offering, Share Repurchase, Option and Conversion</w:t>
      </w:r>
    </w:p>
    <w:p>
      <w:pPr>
        <w:spacing w:after="0" w:line="238"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On July 9, 2025, the Company announced the pricing of a public secondary offering of 50,000,000 shares of Class A common stock (which shares were received upon the conversion of 50,000,000 shares of Class B common stock into Class A common stock) by Intel at a public offering price of $16.50 per share (the “Secondary Offering”), with Intel granting the underwriters a 30-day option to purchase up to an additional 7,500,000 shares of Class A common stock (the “Option”). The Secondary Offering closed on July 11, 2025.</w:t>
      </w:r>
    </w:p>
    <w:p>
      <w:pPr>
        <w:spacing w:after="0" w:line="17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 connection with and conditional upon the closing of the Secondary Offering, on July 11, 2025 the Company purchased from Intel 6,231,985 shares of Class A common stock (which shares were received upon the conversion of 6,231,985 shares of Class B common stock into Class A common stock) at a price of $16.04625 share, which is equal to the per share purchase price paid by the underwriters in the Secondary Offering pursuant to a share repurchase agreement with Intel (the “Share Repurchase”). The aggregate consideration paid by the Company for the Share Repurchase was $ 100 million. Upon closing of the Share Repurchase, the Company cancelled and retired the 6,231,985 shares of Class A common stock acquired pursuant to the Share Repurchase.</w:t>
      </w:r>
    </w:p>
    <w:p>
      <w:pPr>
        <w:spacing w:after="0" w:line="19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Following the closing of the Share Repurchase, the underwriters exercised the Option (which shares were received upon the conversion of 7,500,000 shares of Class B common stock into Class A common stock), which closed on July 11, 2025. The Company did not sell any shares of Class A common stock in the Secondary Offering or in respect of the exercise of the Option, and did not receive any proceeds from the sale of shares offered by Intel in each instance.</w:t>
      </w:r>
    </w:p>
    <w:p>
      <w:pPr>
        <w:spacing w:after="0" w:line="19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In addition to and conditional upon the closing of the Secondary Offering, Intel voluntarily converted pursuant to the Company’s Amended and Restated Certificate of Incorporation an additional 50,000,000 shares of Class B common stock to Class A common stock (the “Conversion”). The shares issued to Intel pursuant to the Conversion were issued pursuant to an exemption from registration pursuant to Section 3(a)(9) of the U.S. Securities Act of 1933. The Company received no proceeds from issuance of shares in the Conversion.</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paid the costs associated with the registration of shares in connection with the Secondary Offering and the Option, other than underwriting discounts, fees and commissions.</w:t>
      </w:r>
    </w:p>
    <w:p>
      <w:pPr>
        <w:spacing w:after="0" w:line="16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Upon completion of the Secondary Offering, Share Repurchase, Option and Conversion, Intel continues to directly or indirectly hold all of the Class B common stock of Mobileye as well as 50,000,000 shares of Class A common stock, which as of December 27, 2025, together represent approximately 79.5% of our outstanding common stock and 97.3% of the voting power of our common stock. Due to the issuance of shares of Class A common stock in connection with the Acquisition (as defined below), Intel beneficially owns approximately 77.0% of our outstanding common stock and 96.9% of the voting power of our outstanding common stock as of February 3, 2026.</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Acquisition of Mentee Robotics</w:t>
      </w:r>
    </w:p>
    <w:p>
      <w:pPr>
        <w:spacing w:after="0" w:line="23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On February 3, 2026, the Company and Mobileye Vision Technologies Ltd. (a wholly-owned indirect subsidiary of the Company) acquired 100% of the issued and outstanding stock of Mentee Robotics Ltd. (“Mentee Robotics” and such transaction, the “Acquisition”), pursuant to a share purchase agreement dated as of January 5, 2026, by and among the Company, Mobileye Vision Technologies Ltd., Mentee Robotics, the shareholders of Mentee Robotics, and Shareholder Representative Services LLC, as the exclusive representative of the Mentee Robotics shareholders.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800"/>
          </w:cols>
          <w:pgMar w:left="540" w:top="1347" w:right="540" w:bottom="0" w:gutter="0" w:footer="0" w:header="0"/>
          <w:type w:val="continuous"/>
        </w:sectPr>
      </w:pPr>
    </w:p>
    <w:bookmarkStart w:id="82" w:name="page83"/>
    <w:bookmarkEnd w:id="82"/>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Acquisition was approved by the Company’s Board of Directors (the “Board”), acting on the recommendation of a strategic transaction committee consisting of four disinterested directors (two of whom are independent). The Audit Committee of the Board also approved the Acquisition pursuant to the Company’s Related Persons Transaction Policy. Intel, as the sole beneficial holder of the Company’s issued and outstanding Class B common stock, also approved the Acquisition pursuant to the Company’s Amended and Restated Certificate of Incorporation. Prof. Amnon Shashua recused himself from the Board’s consideration and approval of the Acquisition. Prof. Shashua, President and CEO of the Company, is the Chairman, Co-Founder and a significant shareholder of Mentee Robotics, and Prof. Shai Shalev-Shwartz, Chief Technology Officer of the Company, is Co-Founder and a significant shareholder of Mentee Robotics (Prof. Shalev-Shwartz, together with Prof. Shashua and Prof. Lior Wolf, the Chief Executive Officer and a Co -Founder of Mentee Robotics, the “Mentee Founders”). In addition, Prof. Shashua’s son and son-in-law, are both employees of Mentee Robotics and each held vested and unvested options issued pursuant to Mentee Robotics’ employee incentive plan and therefore received some consideration pursuant to the terms of the Share Purchase Agreement.</w:t>
      </w:r>
    </w:p>
    <w:p>
      <w:pPr>
        <w:spacing w:after="0" w:line="19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The Share Purchase Agreement provided for an aggregate purchase price of $900 million, which consisted of (i) approximately $612 million in cash (subject to certain adjustments,) and (ii) 26,279,824 shares of Class A common stock of the Company. The entirety of such Class A common stock was allocated to the Mentee Founders (the “Aggregate Stock Consideration”). 10% of the Aggregate Stock Consideration is subject to a six-month lock- up period pursuant to a Lock-Up Agreement. The remaining 90% of the Aggregate Stock Consideration was deposited with a deferred consideration trustee and will be released in equal portions twenty-four and forty-eight months after the closing date on February 3, 2026, subject to continued employment, or under certain circumstances affiliation, with the Company and its subsidiaries. Prof. Shashua received 37.83% of the total consideration, valued at approximately $341 million, to be paid evenly in cash and the Company’s Class A Stock, and Prof. Shalev- Shwartz received 13.07% of the total consideration, valued at approximately $118 million, to be paid evenly in cash and the Company’s Class A common stock.</w:t>
      </w:r>
    </w:p>
    <w:p>
      <w:pPr>
        <w:spacing w:after="0" w:line="197"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At the closing, $95 million of the purchase price was deposited with an escrow agent (provided that with respect to Mentee Founders, 50% of their pro rata portion of the escrow was deposited in the form of Class A common stock) to secure the post-closing purchase price adjustments and certain indemnification obligations of the shareholders of Mentee Robotics.</w:t>
      </w:r>
    </w:p>
    <w:p>
      <w:pPr>
        <w:spacing w:after="0" w:line="183"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Pursuant to the Share Purchase Agreement, (i) all vested options to acquire shares of Mentee Robotics (each option, a “Mentee Option”) and 20% of unvested Mentee Options were cancelled and converted into the right to receive a portion of the cash consideration based on the intrinsic value of such Mentee Options at the purchase price and (ii) all remaining unvested Mentee Options were cancelled and converted into the right to receive a number of unvested RSUs of the Company calculated based on the volume weighted average of the closing sale prices for the Company’s Class A common stock over the thirty (30) Trading Days ending immediately prior to February 3, 2026 and with a value equal to the intrinsic value of such Mentee Options at the purchase price.</w:t>
      </w:r>
    </w:p>
    <w:p>
      <w:pPr>
        <w:spacing w:after="0" w:line="18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Share Purchase Agreement contains customary representations, warranties and covenants of the Company, Mobileye Vision Technologies Ltd. and Mentee Robotics, certain of which (except for the representations and warranties of the Company) shall survive the closing of the Acquisition. The shareholders of Mentee Robotics have agreed to indemnify the Company and Mobileye Vision Technologies Ltd. for certain breaches of representations, warranties and covenants.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Business Model</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currently derive substantially all of our revenue from our commercially deployed ADAS solutions, including our Premium ADAS solutions. We are now approaching the start of production of an advanced set of solutions, including Mobileye Surround ADAS™, Mobileye SuperVision™, Mobileye Chauffeur™ and Mobileye Drive™. These solutions are propelled by our EyeQ™6 SOC and subsequent EyeQ™ generations, our next-generation software solutions, and our software-defined imaging radars. We expect these solutions will, over time, meaningfully contribute to changes in our mix of revenue and result in broader adoption of premium ADAS and AV products by our customers.</w:t>
      </w:r>
    </w:p>
    <w:p>
      <w:pPr>
        <w:spacing w:after="0" w:line="19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generate the majority of our revenue from the sale of our EyeQ™ SoCs to OEMs through sales to Tier 1 automotive suppliers. We typically sell our products with volume-based pricing and recognize the revenue and costs associated with our products upon shipment.</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800"/>
          </w:cols>
          <w:pgMar w:left="540" w:top="1347" w:right="540" w:bottom="0" w:gutter="0" w:footer="0" w:header="0"/>
          <w:type w:val="continuous"/>
        </w:sectPr>
      </w:pPr>
    </w:p>
    <w:bookmarkStart w:id="83" w:name="page84"/>
    <w:bookmarkEnd w:id="83"/>
    <w:p>
      <w:pPr>
        <w:jc w:val="both"/>
        <w:spacing w:after="0" w:line="280" w:lineRule="auto"/>
        <w:rPr>
          <w:sz w:val="20"/>
          <w:szCs w:val="20"/>
          <w:color w:val="auto"/>
        </w:rPr>
      </w:pPr>
      <w:r>
        <w:rPr>
          <w:rFonts w:ascii="Times New Roman" w:cs="Times New Roman" w:eastAsia="Times New Roman" w:hAnsi="Times New Roman"/>
          <w:sz w:val="20"/>
          <w:szCs w:val="20"/>
          <w:color w:val="auto"/>
        </w:rPr>
        <w:t>by the OEM to purchase particular volumes, and programs are subject to changes with respect to timing and volumes. The revenue that we may recognize in any given year is attributable to program design wins in previous years.</w:t>
      </w:r>
    </w:p>
    <w:p>
      <w:pPr>
        <w:spacing w:after="0" w:line="16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have also established relationships with several suppliers, such as Quanta Computer, to develop and assemble our ECUs, including the design for our Mobileye SuperVision™, which includes our EyeQ™5 SoCs manufactured by STMicroelectronics. As part of an effort to establish redundancy and better control of our supply chain, we have sought additional qualified suppliers, and we have recently entered into an agreement with TSMC (Taiwan Semiconductor Manufacturing Company Ltd.) pursuant to which it will manufacture components of our imaging radar and some of our future generations of our EyeQ™ product, and potentially other future products.</w:t>
      </w:r>
    </w:p>
    <w:p>
      <w:pPr>
        <w:spacing w:after="0" w:line="20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Our close partnership with Intel exists on multiple fronts. As a result of our relationship with Intel, we have access to unique and differentiating technologies. For example, we may license certain technologies from Intel that support the design and development of our software-defined imaging radar, including Intel’s mmWave technologies. Intel’s strength in government affairs and policy development around the world will continue to be of significant value to us as we collaborate with regulators who are preparing frameworks to enable commercial deployment of AVs.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believe there are several important factors that have affected and that we expect to continue to affect our results of operations:</w:t>
      </w:r>
    </w:p>
    <w:p>
      <w:pPr>
        <w:spacing w:after="0" w:line="239" w:lineRule="exact"/>
        <w:rPr>
          <w:sz w:val="20"/>
          <w:szCs w:val="20"/>
          <w:color w:val="auto"/>
        </w:rPr>
      </w:pPr>
    </w:p>
    <w:p>
      <w:pPr>
        <w:jc w:val="both"/>
        <w:ind w:firstLine="361"/>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 xml:space="preserve">Global demand for automotive vehicles. </w:t>
      </w:r>
      <w:r>
        <w:rPr>
          <w:rFonts w:ascii="Times New Roman" w:cs="Times New Roman" w:eastAsia="Times New Roman" w:hAnsi="Times New Roman"/>
          <w:sz w:val="19"/>
          <w:szCs w:val="19"/>
          <w:color w:val="auto"/>
        </w:rPr>
        <w:t>Our business performance is related to global automotive sales and automotive vehicle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geopolitical issues including trade restrictions and tariffs, as well as other factors.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 factors impacting our sales to OEMs in China, and the extent of the adverse effect that such volatility could have on our results of operations, financial condition and business in the long term. While automotive production has now recovered to approximately 2019 levels, current uncertain economic conditions and inflation may contribute to a reduction in consumer demand. In addition to economic conditions, in prior periods, including during the supply chain crisis and semi-conductor shortage of 2021 and 2022, certain Tier 1 customers increased their orders for components and parts, including our solutions, to counteract the impact of supply chain shortages for auto parts. As a result, some demand for our solutions and the corresponding revenue from these customers were shifted to earlier time periods than otherwise would have occurred absent a general supply chain shortage and inflationary environment. As a result of our standard planning process for 2024, including discussions with our Tier 1 customers, we became aware in late 2023 of significant excess inventory at our customers. This as well as lower than expected production at certain OEMs during 2023 led to the decision by our Tier 1 customers to prioritize in the first quarter of 2024 the utilization of excess inventory on hand before using new shipments to meet the demand of OEMs. We estimate our customers used the vast majority of this excess customer inventory in 2024 in accordance with our expectations, but there is no guarantee that orders will remain normalized or that our customers won’t build up excess inventory in the future. Further, recent increased demand for semi-conductor and other components has resulted in component shortages, price increases and longer order lead times, which may increase the pricing of our solutions and/or our ability to meet our customers’ demand. Certain Tier 1 customers may increase their orders for our solutions to counteract these component shortages and any resulting price increases or other impacts, causing some demand for our solutions and the corresponding revenue to be shifted to earlier time period than otherwise would have occurred. ADAS volumes have grown faster in recent years than the overall automotive market as ADAS penetration rates have increased, and we believe that we will continue to benefit from that trend. Our revenue of $1,894 million for the year ended December 27, 2025 was up 15% year-over-year, primarily due to the normalization of excess inventory by our Tier 1 customers that was previously used to satisfy demand during the first half of 2024. Continued or future constraints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800"/>
          </w:cols>
          <w:pgMar w:left="540" w:top="1347" w:right="540" w:bottom="0" w:gutter="0" w:footer="0" w:header="0"/>
          <w:type w:val="continuous"/>
        </w:sectPr>
      </w:pPr>
    </w:p>
    <w:bookmarkStart w:id="84" w:name="page85"/>
    <w:bookmarkEnd w:id="84"/>
    <w:p>
      <w:pPr>
        <w:jc w:val="both"/>
        <w:ind w:firstLine="36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Acquisition and integration of new technologies and expansion into adjacent markets. </w:t>
      </w:r>
      <w:r>
        <w:rPr>
          <w:rFonts w:ascii="Times New Roman" w:cs="Times New Roman" w:eastAsia="Times New Roman" w:hAnsi="Times New Roman"/>
          <w:sz w:val="20"/>
          <w:szCs w:val="20"/>
          <w:color w:val="auto"/>
        </w:rPr>
        <w:t>Our results of operations may be affected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our ability to successfully integrate acquired businesses and technologies and to effectively allocate resources to new areas of development. On February 3, 2026, we acquired Mentee Robotics, a privately held Israeli company focused on humanoid robotics, which we expect to operate as an independent subsidiary in the short to medium term. The integration of Mentee Robotics’ personnel, technology and operations may require significant management attention, capital investment and operating expenses, and we may not realize the anticipated benefits of the acquisition on the expected timeline or at all. Humanoid robotics is a nascent and rapidly evolving area characterized by significant technical complexity, long development timelines, potentially high capital requirements, uncertain customer demand and evolving regulatory and safety frameworks. Our investment in this area may result in increased research and development and operating expenses and may divert resources from our core ADAS and autonomous driving initiatives. In addition, the timing and extent of commercialization of humanoid robotics solutions remains uncertain with respect to scalability, economic viability and regulatory approval. As a result, our expansion into adjacent markets, including through the acquisition of Mentee Robotics, may adversely affect our results of operations, margins and cash flows, particularly in the near to medium term.</w:t>
      </w:r>
    </w:p>
    <w:p>
      <w:pPr>
        <w:spacing w:after="0" w:line="20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Trade policies, sanctions and import and export controls. </w:t>
      </w:r>
      <w:r>
        <w:rPr>
          <w:rFonts w:ascii="Times New Roman" w:cs="Times New Roman" w:eastAsia="Times New Roman" w:hAnsi="Times New Roman"/>
          <w:sz w:val="19"/>
          <w:szCs w:val="19"/>
          <w:color w:val="auto"/>
        </w:rPr>
        <w:t>Trade policies, sanctions and import and export controls. Trade policies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raw components or raw materials or impede or slow the movement of our goods across borders. In addition, tariffs could lead to higher prices for finished automobiles, which would reduce demand for automobiles and thus the market for our products.</w:t>
      </w:r>
    </w:p>
    <w:p>
      <w:pPr>
        <w:spacing w:after="0" w:line="179"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During 2025, the United States implemented a series of broad-based and sector-specific tariffs affecting passenger vehicles, automotive components and other industrial inputs, as well as country-specific tariff regimes and reciprocal trade measures. These actions were accompanied by ongoing bilateral and multilateral negotiations, interim trade agreements, pauses, delays and retaliatory measures by certain countries, resulting in significant uncertainty regarding the scope, timing and duration of applicable tariffs and export controls. In addition, sector-specific measures announced during 2025, including tariffs on certain raw materials, and export controls affecting the semiconductor supply chain, have increased complexity and risk across global automotive and technology markets.</w:t>
      </w:r>
    </w:p>
    <w:p>
      <w:pPr>
        <w:spacing w:after="0" w:line="18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As of the date of this report, there remains a high degree of uncertainty surrounding U.S. trade policy, how it will be implemented, how other countries will react, and how it will ultimately impact our industry and business. For example, our customers may have shifted or will shift orders for components and parts, including our solutions, adjust sourcing strategies or modify productions schedules, which could shift demand for our solutions and corresponding revenue between periods. While we continually evaluate changes in U.S. trade policy and global reactions thereto, as well as our ability to mitigate their impact, these developments may negatively impact our customers, our results of operations and our business.</w:t>
      </w:r>
    </w:p>
    <w:p>
      <w:pPr>
        <w:spacing w:after="0" w:line="194"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Design wins with new and existing customers. </w:t>
      </w:r>
      <w:r>
        <w:rPr>
          <w:rFonts w:ascii="Times New Roman" w:cs="Times New Roman" w:eastAsia="Times New Roman" w:hAnsi="Times New Roman"/>
          <w:sz w:val="19"/>
          <w:szCs w:val="19"/>
          <w:color w:val="auto"/>
        </w:rPr>
        <w:t>Global OEMs are continuously looking for innovative ways to improve the customer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including in-house technologies developed by our customers, through investment in research and development. Together with Tier 1 automotive suppliers, we work closely with OEMs to understand their solution requirements and have built close long-term relationships with them extending across multiple generations of EyeQ™ products, though there is no guarantee that our customers will purchase our solutions in any certain quantity or at any certain price even after we achieve design wins.</w:t>
      </w:r>
    </w:p>
    <w:p>
      <w:pPr>
        <w:spacing w:after="0" w:line="186"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Investment in technology leadership and product development. </w:t>
      </w:r>
      <w:r>
        <w:rPr>
          <w:rFonts w:ascii="Times New Roman" w:cs="Times New Roman" w:eastAsia="Times New Roman" w:hAnsi="Times New Roman"/>
          <w:sz w:val="19"/>
          <w:szCs w:val="19"/>
          <w:color w:val="auto"/>
        </w:rPr>
        <w:t>We believe our ability to continue to develop and design highly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advanced and cost-efficient ADAS and AV solutions will position us to extend our technology leadership and encourage greater adoption of our solutions by enabling greater levels of autonomy. We also believe that our roadmap for future generations of EyeQ™ SoCs and advanced systems will ultimately power autonomous driving solutions. The EyeQ™ family design further enables scalable ECU architectures, from supporting a variety of ADAS solution architectures to hosting the full workload of autonomous driving, while meeting stringent cost and power efficiency requirements. We expect that our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800"/>
          </w:cols>
          <w:pgMar w:left="540" w:top="1347" w:right="540" w:bottom="0" w:gutter="0" w:footer="0" w:header="0"/>
          <w:type w:val="continuous"/>
        </w:sectPr>
      </w:pPr>
    </w:p>
    <w:bookmarkStart w:id="85" w:name="page86"/>
    <w:bookmarkEnd w:id="85"/>
    <w:p>
      <w:pPr>
        <w:jc w:val="both"/>
        <w:ind w:firstLine="360"/>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Regulation for ADAS and autonomous driving solutions. </w:t>
      </w:r>
      <w:r>
        <w:rPr>
          <w:rFonts w:ascii="Times New Roman" w:cs="Times New Roman" w:eastAsia="Times New Roman" w:hAnsi="Times New Roman"/>
          <w:sz w:val="19"/>
          <w:szCs w:val="19"/>
          <w:color w:val="auto"/>
        </w:rPr>
        <w:t>Demand for our solutions is influenced by the impact of regulation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92"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203"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Consumer adoption of our ADAS and autonomous driving solutions. </w:t>
      </w:r>
      <w:r>
        <w:rPr>
          <w:rFonts w:ascii="Times New Roman" w:cs="Times New Roman" w:eastAsia="Times New Roman" w:hAnsi="Times New Roman"/>
          <w:sz w:val="20"/>
          <w:szCs w:val="20"/>
          <w:color w:val="auto"/>
        </w:rPr>
        <w:t>Our financial performance is in part driven by public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awareness and demand for ADAS solutions. Over time we expect autonomous driving solutions to contribute meaningfully to our revenue growth. As a result, consumers’ demand for, and willingness to adopt, ADAS and autonomous driving technologies, including robotaxi services,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9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Solution mix, pricing, and product costs. </w:t>
      </w:r>
      <w:r>
        <w:rPr>
          <w:rFonts w:ascii="Times New Roman" w:cs="Times New Roman" w:eastAsia="Times New Roman" w:hAnsi="Times New Roman"/>
          <w:sz w:val="20"/>
          <w:szCs w:val="20"/>
          <w:color w:val="auto"/>
        </w:rPr>
        <w:t>Solution mix is among the most important factors affecting our revenue and gross margin,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9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 which carry significantly higher prices as compared to our single EyeQ™ SoC and cloud-enhanced ADAS products. We believe our differentiated and scalable solutions consistently enhanced by additional features can enable us to maintain or increase overall ASPs over time, as SuperVision™ and other advanced solutions become a larger portion of our product mix.</w:t>
      </w:r>
    </w:p>
    <w:p>
      <w:pPr>
        <w:spacing w:after="0" w:line="197" w:lineRule="exact"/>
        <w:rPr>
          <w:sz w:val="20"/>
          <w:szCs w:val="20"/>
          <w:color w:val="auto"/>
        </w:rPr>
      </w:pPr>
    </w:p>
    <w:p>
      <w:pPr>
        <w:jc w:val="both"/>
        <w:ind w:firstLine="361"/>
        <w:spacing w:after="0" w:line="263" w:lineRule="auto"/>
        <w:rPr>
          <w:sz w:val="20"/>
          <w:szCs w:val="20"/>
          <w:color w:val="auto"/>
        </w:rPr>
      </w:pPr>
      <w:r>
        <w:rPr>
          <w:rFonts w:ascii="Times New Roman" w:cs="Times New Roman" w:eastAsia="Times New Roman" w:hAnsi="Times New Roman"/>
          <w:sz w:val="19"/>
          <w:szCs w:val="19"/>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More recently, the AI industry has generated increased demand for components necessary for the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800"/>
          </w:cols>
          <w:pgMar w:left="540" w:top="1347" w:right="540" w:bottom="0" w:gutter="0" w:footer="0" w:header="0"/>
          <w:type w:val="continuous"/>
        </w:sectPr>
      </w:pPr>
    </w:p>
    <w:bookmarkStart w:id="86" w:name="page87"/>
    <w:bookmarkEnd w:id="86"/>
    <w:p>
      <w:pPr>
        <w:jc w:val="both"/>
        <w:spacing w:after="0" w:line="248" w:lineRule="auto"/>
        <w:rPr>
          <w:sz w:val="20"/>
          <w:szCs w:val="20"/>
          <w:color w:val="auto"/>
        </w:rPr>
      </w:pPr>
      <w:r>
        <w:rPr>
          <w:rFonts w:ascii="Times New Roman" w:cs="Times New Roman" w:eastAsia="Times New Roman" w:hAnsi="Times New Roman"/>
          <w:sz w:val="20"/>
          <w:szCs w:val="20"/>
          <w:color w:val="auto"/>
        </w:rPr>
        <w:t>production of our solutions, including EyeQ™ SoCs and ECUs for our SuperVision™, Mobileye Chauffeur™ and Mobileye Drive™ solutions. This new demand has resulted in and may continue to result in shortages of components necessary for our solutions and substantial increases in prices for such components.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spacing w:after="0" w:line="194" w:lineRule="exact"/>
        <w:rPr>
          <w:sz w:val="20"/>
          <w:szCs w:val="20"/>
          <w:color w:val="auto"/>
        </w:rPr>
      </w:pPr>
    </w:p>
    <w:p>
      <w:pPr>
        <w:jc w:val="both"/>
        <w:ind w:firstLine="362"/>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Supply and manufacturing capacity. </w:t>
      </w:r>
      <w:r>
        <w:rPr>
          <w:rFonts w:ascii="Times New Roman" w:cs="Times New Roman" w:eastAsia="Times New Roman" w:hAnsi="Times New Roman"/>
          <w:sz w:val="20"/>
          <w:szCs w:val="20"/>
          <w:color w:val="auto"/>
        </w:rPr>
        <w:t>Our solutions are dependent on the global semiconductor supply chain. The continued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 SoCs on our balance sheet as a result of the limited supply during 2021. Further, STMicroelectronics, our sole supplier of EyeQ™ SoCs, was not able to meet our demand for EyeQ™ SoCs during 2022, causing a further significant reduction in our company-owned inventory level. Starting in late 2022 and early 2023, such supply chain disruptions, raw material shortages and manufacturing limitations abated and during 2023, we successfully increased levels of EyeQ™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 SoCs or SuperVision™ ECUs on hand. As a result, we are substantially reliant on timely shipments of EyeQ™ SoCs from STMicroelectronics and ECUs from Quanta Computer (or other suppliers) and may in the future become reliant on additional suppliers such as TSMC, to fulfill customer orders and if such a shortfall of chips or ECUs were to occur, we may be unable to offset future supply constraints through the use of inventory on hand. Further, in 2025 and in 2026 the AI industry has generated increased demand for components necessary for the production of our solutions, including EyeQ™ SoCs and ECUs for our SuperVision™, Mobileye Chauffeur™ and Mobileye Drive™ solutions. This new demand has resulted in and may continue to result in shortages of components necessary for our solutions, substantial increases in prices for such components and suppliers requiring us to increase lead times and purchase greater quantities of such components in advance in order to ensure we secure sufficient supply. Such shortages of components, as well as the increases in pricing, order requirements and lead times, has and may continue to impact our ability to supply solutions to our customers in order to meet demand as well as impact OEMs’ ability to purchase our solutions.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216"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Equity compensation expenses. </w:t>
      </w:r>
      <w:r>
        <w:rPr>
          <w:rFonts w:ascii="Times New Roman" w:cs="Times New Roman" w:eastAsia="Times New Roman" w:hAnsi="Times New Roman"/>
          <w:sz w:val="20"/>
          <w:szCs w:val="20"/>
          <w:color w:val="auto"/>
        </w:rPr>
        <w:t>In connection with the Mobileye IPO, we established an equity incentive plan for purposes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granting share-based compensation awards to certain members of our senior management, to our non-employee directors and to employees, to incentivize their performance and align their interests with ours. Historically, grants of share-based compensation to our employees were made pursuant to Intel’s employee equity incentive plans, and such historical grants will continue to be based on their original vesting schedules. Equity compensation has been, and will continue to be, an important part of our future compensation strategy and a significant component of our future expenses, which we expect to increase over time.</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Intel Segment Reporting</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800"/>
          </w:cols>
          <w:pgMar w:left="540" w:top="1347" w:right="540" w:bottom="0" w:gutter="0" w:footer="0" w:header="0"/>
          <w:type w:val="continuous"/>
        </w:sectPr>
      </w:pPr>
    </w:p>
    <w:bookmarkStart w:id="87" w:name="page88"/>
    <w:bookmarkEnd w:id="87"/>
    <w:p>
      <w:pPr>
        <w:ind w:left="360"/>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currently derive substantially all of our revenue from our commercially deployed ADAS solutions including our Premium ADAS solutions. We generate the majority of our revenue from the sale of our EyeQ™ SoCs to OEMs primarily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9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EyeQ™ SoC sales represented approximately 91% and 86% of our revenue for the years 2025 and 2024, respectively. Sales of our SuperVision™ product represented the majority of the remainder of our revenue for both 2025 and 2024. Revenue from the sale of our EyeQ™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9"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Cost of revenue consists primarily of expenses associated with the manufacturing cost of our EyeQ™ SoCs and our SuperVision™ product, and amortization of acquired intangible assets, identified as developed technology. Additional costs are royalty fees for the intellectual property that is included in the EyeQ™ SoC, personnel-related expenses, logistics and insurance costs and allocated overhead costs. As we develop and sell full systems that include hardware beyond EyeQ™ SoCs, we expect that our gross margin will decrease over time because of the greater hardware content included in our solutions. However, as a result of a higher expected selling price for such systems, we expect our gross profit per unit will increase on a dollar basis in future periods.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net</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Research and development expenses primarily consist of expenses associated with personnel related expenses, facilities, equipment and supplies for research and development activities, materials, parts and other prototype development, cloud computing services, consulting and other professional services, quality assurance within the development programs, and allocated overhead costs.</w:t>
      </w:r>
    </w:p>
    <w:p>
      <w:pPr>
        <w:spacing w:after="0" w:line="18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93"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The expected increase is mainly due to additional research and development headcount and higher direct expenses that we expect to incur in connection with the development of our new EyeQ™ SoC generations, Premium Driver-Assist offerings and the investment in software and hardware infrastructure for our AV solutions and active sensor suite.</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19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spacing w:after="0" w:line="145" w:lineRule="exact"/>
        <w:rPr>
          <w:sz w:val="20"/>
          <w:szCs w:val="20"/>
          <w:color w:val="auto"/>
        </w:rPr>
      </w:pPr>
    </w:p>
    <w:p>
      <w:pPr>
        <w:jc w:val="both"/>
        <w:ind w:firstLine="360"/>
        <w:spacing w:after="0" w:line="308" w:lineRule="auto"/>
        <w:rPr>
          <w:sz w:val="20"/>
          <w:szCs w:val="20"/>
          <w:color w:val="auto"/>
        </w:rPr>
      </w:pPr>
      <w:r>
        <w:rPr>
          <w:rFonts w:ascii="Times New Roman" w:cs="Times New Roman" w:eastAsia="Times New Roman" w:hAnsi="Times New Roman"/>
          <w:sz w:val="19"/>
          <w:szCs w:val="19"/>
          <w:color w:val="auto"/>
        </w:rPr>
        <w:t>We expect to increase our sales and marketing expenses over time, as we continue our efforts to increase market awareness of the benefits of our solutions, but we expect sales and marketing expenses to decrease as a percentage of total revenue as our business grows.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800"/>
          </w:cols>
          <w:pgMar w:left="540" w:top="1345" w:right="540" w:bottom="0" w:gutter="0" w:footer="0" w:header="0"/>
          <w:type w:val="continuous"/>
        </w:sectPr>
      </w:pPr>
    </w:p>
    <w:bookmarkStart w:id="88" w:name="page89"/>
    <w:bookmarkEnd w:id="88"/>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7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General and administrative expenses consist of personnel-related expenses, including share-based compensation of our executive, insurance costs, expenses associated with finance and legal departments, including legal and accounting fees, litigation expenses, and fees for professional and contract services.</w:t>
      </w:r>
    </w:p>
    <w:p>
      <w:pPr>
        <w:spacing w:after="0" w:line="12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expect our general and administrative expenses to moderately increase in absolute dollars but to decrease as a percentage of total revenue as our business grows. The expected increase is mainly associated with the costs related to being a public company, as well as the increased use of share-based compensation for general and administrative personnel.</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w:t>
      </w:r>
    </w:p>
    <w:p>
      <w:pPr>
        <w:spacing w:after="0" w:line="179" w:lineRule="exact"/>
        <w:rPr>
          <w:sz w:val="20"/>
          <w:szCs w:val="20"/>
          <w:color w:val="auto"/>
        </w:rPr>
      </w:pPr>
    </w:p>
    <w:p>
      <w:pPr>
        <w:jc w:val="both"/>
        <w:ind w:firstLine="360"/>
        <w:spacing w:after="0" w:line="308" w:lineRule="auto"/>
        <w:rPr>
          <w:sz w:val="20"/>
          <w:szCs w:val="20"/>
          <w:color w:val="auto"/>
        </w:rPr>
      </w:pPr>
      <w:r>
        <w:rPr>
          <w:rFonts w:ascii="Times New Roman" w:cs="Times New Roman" w:eastAsia="Times New Roman" w:hAnsi="Times New Roman"/>
          <w:sz w:val="19"/>
          <w:szCs w:val="19"/>
          <w:color w:val="auto"/>
        </w:rPr>
        <w:t>Goodwill impairment expenses consist of a non-cash impairment loss recognized for the goodwill of the “Mobileye” reporting unit in the year ended December 28, 2024, as a result of the impairment analysis the Company performed during the third quarter of 2024.</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Financial Income (Expense), net</w:t>
      </w:r>
    </w:p>
    <w:p>
      <w:pPr>
        <w:spacing w:after="0" w:line="17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Financial income (expense), net, consists primarily of income related to investments in money market funds, as well as income from short term deposits, fair value revaluation of equity investments and fluctuations in value due to foreign exchange differences between our monetary assets and liabilities denominated in New Israeli Shekels and to a much lesser extent, the Euro, the Chinese Yuan, the Japanese Yen, and other currencies.</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Benefit (provision) for income taxes</w:t>
      </w:r>
    </w:p>
    <w:p>
      <w:pPr>
        <w:spacing w:after="0" w:line="179"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 In addition, in 2021, the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In Israel, the regulations of Pillar Two Model Rules will become effective for tax years beginning after January 1, 2026. The Pillar Two Model Rules did not have a material effect on our income tax provision for the 2025 fiscal year. We are continuing to evaluate the impacts of enacted legislation and pending legislation to enact Pillar Two Model Rules in the non-US tax jurisdictions in which we operate. The Company is a constituent entity of its Parent for Pillar Two Model Rules purposes.</w:t>
      </w:r>
    </w:p>
    <w:p>
      <w:pPr>
        <w:spacing w:after="0" w:line="146" w:lineRule="exact"/>
        <w:rPr>
          <w:sz w:val="20"/>
          <w:szCs w:val="20"/>
          <w:color w:val="auto"/>
        </w:rPr>
      </w:pPr>
    </w:p>
    <w:p>
      <w:pPr>
        <w:jc w:val="both"/>
        <w:ind w:firstLine="361"/>
        <w:spacing w:after="0" w:line="261" w:lineRule="auto"/>
        <w:rPr>
          <w:sz w:val="20"/>
          <w:szCs w:val="20"/>
          <w:color w:val="auto"/>
        </w:rPr>
      </w:pPr>
      <w:r>
        <w:rPr>
          <w:rFonts w:ascii="Times New Roman" w:cs="Times New Roman" w:eastAsia="Times New Roman" w:hAnsi="Times New Roman"/>
          <w:sz w:val="19"/>
          <w:szCs w:val="19"/>
          <w:color w:val="auto"/>
        </w:rPr>
        <w:t>In July 2025, the United States enacted tax reform through the One Big Beautiful Bill Act (“OBBBA”). Included in this legislation are provisions that allow for the immediate expensing of research and development costs conducted in the United States, immediate expensing of certain capital expenditures, and other changes to the U.S. taxation of profits derived from foreign operations. The Company is monitoring developments related to the implementation of the OBBBA and any additional guidance issued by the U.S. Department of the Treasury, the Internal Revenue Service, or other standard-setting bodies that may affect the Company’s accounting for income taxes. Based on information available at the end of the reporting period and management’s assessment of that information, the OBBBA does not have and is not expected to have a material impact on the Company’s consolidated financial statements.</w:t>
      </w:r>
    </w:p>
    <w:p>
      <w:pPr>
        <w:spacing w:after="0" w:line="126"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During the years presented in our consolidated financial statements, certain components of our business operations were included in the consolidated U.S. tax return filed by Intel. We also file certain foreign income tax returns on a separate basis, distinct from Intel. Following the Secondary Offering, which resulted in the Tax Deconsolidation (see Note 1 to the consolidated financial statements), the Company is no longer included in Intel’s U.S. federal consolidated income tax return and will be filing its own U.S. federal income tax returns for periods beginning July 12, 2025 onwards. Since prior to the Tax Deconsolidation, the Company’s income tax provision was calculated using the separate return method, as if the Company had filed its own U.S. federal income tax returns, the Tax Deconsolidation event does not have a material impact on the Company’s tax provision for the year ended December 27, 2025.</w:t>
      </w:r>
    </w:p>
    <w:p>
      <w:pPr>
        <w:spacing w:after="0" w:line="14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that we have not benefited due to a valuation allowance position. If warranted, based on the assessment of verifiable evidence in support of the realization of deferred tax assets, the valuation allowances may be released, resulting in a tax benefit.</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800"/>
          </w:cols>
          <w:pgMar w:left="540" w:top="1350" w:right="540" w:bottom="0" w:gutter="0" w:footer="0" w:header="0"/>
          <w:type w:val="continuous"/>
        </w:sectPr>
      </w:pPr>
    </w:p>
    <w:bookmarkStart w:id="89" w:name="page90"/>
    <w:bookmarkEnd w:id="89"/>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consolidated financial statements primarily relates to U.S. branch deferred tax assets not currently expected to be realized given that we have sustained recent losses.</w:t>
      </w:r>
    </w:p>
    <w:p>
      <w:pPr>
        <w:spacing w:after="0" w:line="151"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Certain net operating losses and tax credit carry-forward tax attributes generated by the Company and reflected in these consolidated financial statements have been utilized as part of Intel’s consolidated income tax return filings in the periods prior to the Tax Deconsolidation. The Company’s post Tax Deconsolidation net operating loss carryforwards have been reflected in these consolidated financial statements and the Company will recognize a benefit for these net operating losses when determined to be realizable.</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our results of operations in dollars and as a percentage of revenue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7"/>
          </w:tcPr>
          <w:p>
            <w:pPr>
              <w:jc w:val="center"/>
              <w:ind w:left="8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6"/>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7"/>
          </w:tcPr>
          <w:p>
            <w:pPr>
              <w:jc w:val="center"/>
              <w:ind w:left="83"/>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7"/>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bottom w:val="single" w:sz="8" w:color="auto"/>
            </w:tcBorders>
            <w:gridSpan w:val="7"/>
          </w:tcPr>
          <w:p>
            <w:pPr>
              <w:jc w:val="center"/>
              <w:ind w:left="6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7"/>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520" w:type="dxa"/>
            <w:vAlign w:val="bottom"/>
            <w:gridSpan w:val="3"/>
            <w:vMerge w:val="continue"/>
          </w:tcPr>
          <w:p>
            <w:pPr>
              <w:spacing w:after="0"/>
              <w:rPr>
                <w:sz w:val="14"/>
                <w:szCs w:val="14"/>
                <w:color w:val="auto"/>
              </w:rPr>
            </w:pPr>
          </w:p>
        </w:tc>
        <w:tc>
          <w:tcPr>
            <w:tcW w:w="1780" w:type="dxa"/>
            <w:vAlign w:val="bottom"/>
            <w:gridSpan w:val="8"/>
          </w:tcPr>
          <w:p>
            <w:pPr>
              <w:jc w:val="right"/>
              <w:spacing w:after="0" w:line="163" w:lineRule="exact"/>
              <w:rPr>
                <w:sz w:val="20"/>
                <w:szCs w:val="20"/>
                <w:color w:val="auto"/>
              </w:rPr>
            </w:pPr>
            <w:r>
              <w:rPr>
                <w:rFonts w:ascii="Times New Roman" w:cs="Times New Roman" w:eastAsia="Times New Roman" w:hAnsi="Times New Roman"/>
                <w:sz w:val="16"/>
                <w:szCs w:val="16"/>
                <w:b w:val="1"/>
                <w:bCs w:val="1"/>
                <w:color w:val="auto"/>
              </w:rPr>
              <w:t>Amount   % of Revenue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6"/>
          </w:tcPr>
          <w:p>
            <w:pPr>
              <w:ind w:left="80"/>
              <w:spacing w:after="0" w:line="163" w:lineRule="exact"/>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3"/>
          </w:tcPr>
          <w:p>
            <w:pPr>
              <w:jc w:val="right"/>
              <w:ind w:right="20"/>
              <w:spacing w:after="0" w:line="163" w:lineRule="exact"/>
              <w:rPr>
                <w:sz w:val="20"/>
                <w:szCs w:val="20"/>
                <w:color w:val="auto"/>
              </w:rPr>
            </w:pPr>
            <w:r>
              <w:rPr>
                <w:rFonts w:ascii="Times New Roman" w:cs="Times New Roman" w:eastAsia="Times New Roman" w:hAnsi="Times New Roman"/>
                <w:sz w:val="16"/>
                <w:szCs w:val="16"/>
                <w:b w:val="1"/>
                <w:bCs w:val="1"/>
                <w:color w:val="auto"/>
                <w:w w:val="95"/>
              </w:rPr>
              <w:t>% of Revenue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jc w:val="right"/>
              <w:ind w:right="200"/>
              <w:spacing w:after="0" w:line="163" w:lineRule="exact"/>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gridSpan w:val="5"/>
          </w:tcPr>
          <w:p>
            <w:pPr>
              <w:jc w:val="right"/>
              <w:spacing w:after="0" w:line="163" w:lineRule="exact"/>
              <w:rPr>
                <w:sz w:val="20"/>
                <w:szCs w:val="20"/>
                <w:color w:val="auto"/>
              </w:rPr>
            </w:pPr>
            <w:r>
              <w:rPr>
                <w:rFonts w:ascii="Times New Roman" w:cs="Times New Roman" w:eastAsia="Times New Roman" w:hAnsi="Times New Roman"/>
                <w:sz w:val="16"/>
                <w:szCs w:val="16"/>
                <w:b w:val="1"/>
                <w:bCs w:val="1"/>
                <w:color w:val="auto"/>
                <w:w w:val="97"/>
              </w:rPr>
              <w:t>% of Revenue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20" w:type="dxa"/>
            <w:vAlign w:val="bottom"/>
            <w:gridSpan w:val="3"/>
          </w:tcPr>
          <w:p>
            <w:pPr>
              <w:jc w:val="right"/>
              <w:ind w:right="300"/>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.Revenue</w:t>
            </w: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1,894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100</w:t>
            </w:r>
          </w:p>
        </w:tc>
        <w:tc>
          <w:tcPr>
            <w:tcW w:w="2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$ 1,654</w:t>
            </w: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gridSpan w:val="3"/>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rPr>
              <w:t>100</w:t>
            </w:r>
          </w:p>
        </w:tc>
        <w:tc>
          <w:tcPr>
            <w:tcW w:w="28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w w:val="96"/>
              </w:rPr>
              <w:t>$ 2,079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100</w:t>
            </w:r>
          </w:p>
        </w:tc>
        <w:tc>
          <w:tcPr>
            <w:tcW w:w="2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41"/>
        </w:trPr>
        <w:tc>
          <w:tcPr>
            <w:tcW w:w="4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Cost of revenue . . . . . . . . . . . . . . . . . . . . . . . . . . . . . . .</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52 %</w:t>
            </w:r>
          </w:p>
        </w:tc>
        <w:tc>
          <w:tcPr>
            <w:tcW w:w="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913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6"/>
          </w:tcPr>
          <w:p>
            <w:pPr>
              <w:jc w:val="right"/>
              <w:ind w:right="30"/>
              <w:spacing w:after="0"/>
              <w:rPr>
                <w:sz w:val="20"/>
                <w:szCs w:val="20"/>
                <w:color w:val="auto"/>
              </w:rPr>
            </w:pPr>
            <w:r>
              <w:rPr>
                <w:rFonts w:ascii="Times New Roman" w:cs="Times New Roman" w:eastAsia="Times New Roman" w:hAnsi="Times New Roman"/>
                <w:sz w:val="20"/>
                <w:szCs w:val="20"/>
                <w:color w:val="auto"/>
              </w:rPr>
              <w:t>55 %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0" w:type="dxa"/>
            <w:vAlign w:val="bottom"/>
          </w:tcPr>
          <w:p>
            <w:pPr>
              <w:spacing w:after="0"/>
              <w:rPr>
                <w:sz w:val="1"/>
                <w:szCs w:val="1"/>
                <w:color w:val="auto"/>
              </w:rPr>
            </w:pPr>
          </w:p>
        </w:tc>
      </w:tr>
      <w:tr>
        <w:trPr>
          <w:trHeight w:val="220"/>
        </w:trPr>
        <w:tc>
          <w:tcPr>
            <w:tcW w:w="4520" w:type="dxa"/>
            <w:vAlign w:val="bottom"/>
            <w:gridSpan w:val="3"/>
          </w:tcPr>
          <w:p>
            <w:pPr>
              <w:jc w:val="right"/>
              <w:ind w:right="300"/>
              <w:spacing w:after="0" w:line="219" w:lineRule="exact"/>
              <w:rPr>
                <w:sz w:val="20"/>
                <w:szCs w:val="20"/>
                <w:color w:val="auto"/>
              </w:rPr>
            </w:pPr>
            <w:r>
              <w:rPr>
                <w:rFonts w:ascii="Times New Roman" w:cs="Times New Roman" w:eastAsia="Times New Roman" w:hAnsi="Times New Roman"/>
                <w:sz w:val="20"/>
                <w:szCs w:val="20"/>
                <w:color w:val="auto"/>
                <w:w w:val="99"/>
              </w:rPr>
              <w:t>. . . . . . . . . . . . . . . . . . . . . . . . . . . . . . . . .</w:t>
            </w:r>
            <w:r>
              <w:rPr>
                <w:rFonts w:ascii="Times New Roman" w:cs="Times New Roman" w:eastAsia="Times New Roman" w:hAnsi="Times New Roman"/>
                <w:sz w:val="20"/>
                <w:szCs w:val="20"/>
                <w:b w:val="1"/>
                <w:bCs w:val="1"/>
                <w:color w:val="auto"/>
                <w:w w:val="99"/>
              </w:rPr>
              <w:t>Grossprofit</w:t>
            </w: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904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80"/>
              <w:spacing w:after="0" w:line="219" w:lineRule="exact"/>
              <w:rPr>
                <w:sz w:val="20"/>
                <w:szCs w:val="20"/>
                <w:color w:val="auto"/>
              </w:rPr>
            </w:pPr>
            <w:r>
              <w:rPr>
                <w:rFonts w:ascii="Times New Roman" w:cs="Times New Roman" w:eastAsia="Times New Roman" w:hAnsi="Times New Roman"/>
                <w:sz w:val="20"/>
                <w:szCs w:val="20"/>
                <w:b w:val="1"/>
                <w:bCs w:val="1"/>
                <w:color w:val="auto"/>
              </w:rPr>
              <w:t>48</w:t>
            </w:r>
          </w:p>
        </w:tc>
        <w:tc>
          <w:tcPr>
            <w:tcW w:w="26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b w:val="1"/>
                <w:bCs w:val="1"/>
                <w:color w:val="auto"/>
              </w:rPr>
              <w:t>741</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ind w:right="60"/>
              <w:spacing w:after="0" w:line="219" w:lineRule="exact"/>
              <w:rPr>
                <w:sz w:val="20"/>
                <w:szCs w:val="20"/>
                <w:color w:val="auto"/>
              </w:rPr>
            </w:pPr>
            <w:r>
              <w:rPr>
                <w:rFonts w:ascii="Times New Roman" w:cs="Times New Roman" w:eastAsia="Times New Roman" w:hAnsi="Times New Roman"/>
                <w:sz w:val="20"/>
                <w:szCs w:val="20"/>
                <w:b w:val="1"/>
                <w:bCs w:val="1"/>
                <w:color w:val="auto"/>
              </w:rPr>
              <w:t>45</w:t>
            </w:r>
          </w:p>
        </w:tc>
        <w:tc>
          <w:tcPr>
            <w:tcW w:w="280" w:type="dxa"/>
            <w:vAlign w:val="bottom"/>
            <w:gridSpan w:val="3"/>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1,047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50</w:t>
            </w:r>
          </w:p>
        </w:tc>
        <w:tc>
          <w:tcPr>
            <w:tcW w:w="2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r>
        <w:trPr>
          <w:trHeight w:val="208"/>
        </w:trPr>
        <w:tc>
          <w:tcPr>
            <w:tcW w:w="4520" w:type="dxa"/>
            <w:vAlign w:val="bottom"/>
            <w:gridSpan w:val="3"/>
          </w:tcPr>
          <w:p>
            <w:pPr>
              <w:spacing w:after="0" w:line="208" w:lineRule="exact"/>
              <w:rPr>
                <w:sz w:val="20"/>
                <w:szCs w:val="20"/>
                <w:color w:val="auto"/>
              </w:rPr>
            </w:pPr>
            <w:r>
              <w:rPr>
                <w:rFonts w:ascii="Times New Roman" w:cs="Times New Roman" w:eastAsia="Times New Roman" w:hAnsi="Times New Roman"/>
                <w:sz w:val="20"/>
                <w:szCs w:val="20"/>
                <w:color w:val="auto"/>
              </w:rPr>
              <w:t>Operating expenses: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Research and development, net . . . . . . . . . . . . . . . . . .</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61 %</w:t>
            </w:r>
          </w:p>
        </w:tc>
        <w:tc>
          <w:tcPr>
            <w:tcW w:w="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1,083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6"/>
          </w:tcPr>
          <w:p>
            <w:pPr>
              <w:jc w:val="right"/>
              <w:ind w:right="30"/>
              <w:spacing w:after="0"/>
              <w:rPr>
                <w:sz w:val="20"/>
                <w:szCs w:val="20"/>
                <w:color w:val="auto"/>
              </w:rPr>
            </w:pPr>
            <w:r>
              <w:rPr>
                <w:rFonts w:ascii="Times New Roman" w:cs="Times New Roman" w:eastAsia="Times New Roman" w:hAnsi="Times New Roman"/>
                <w:sz w:val="20"/>
                <w:szCs w:val="20"/>
                <w:color w:val="auto"/>
              </w:rPr>
              <w:t>65 %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43 %</w:t>
            </w: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Sales and marketing . . . . . . . . . . . . . . . . . . . . . . . . . . .</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6 %</w:t>
            </w:r>
          </w:p>
        </w:tc>
        <w:tc>
          <w:tcPr>
            <w:tcW w:w="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gridSpan w:val="5"/>
          </w:tcPr>
          <w:p>
            <w:pPr>
              <w:jc w:val="right"/>
              <w:ind w:right="30"/>
              <w:spacing w:after="0"/>
              <w:rPr>
                <w:sz w:val="20"/>
                <w:szCs w:val="20"/>
                <w:color w:val="auto"/>
              </w:rPr>
            </w:pPr>
            <w:r>
              <w:rPr>
                <w:rFonts w:ascii="Times New Roman" w:cs="Times New Roman" w:eastAsia="Times New Roman" w:hAnsi="Times New Roman"/>
                <w:sz w:val="20"/>
                <w:szCs w:val="20"/>
                <w:color w:val="auto"/>
              </w:rPr>
              <w:t>7 %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0" w:type="dxa"/>
            <w:vAlign w:val="bottom"/>
          </w:tcPr>
          <w:p>
            <w:pPr>
              <w:spacing w:after="0"/>
              <w:rPr>
                <w:sz w:val="1"/>
                <w:szCs w:val="1"/>
                <w:color w:val="auto"/>
              </w:rPr>
            </w:pPr>
          </w:p>
        </w:tc>
      </w:tr>
      <w:tr>
        <w:trPr>
          <w:trHeight w:val="229"/>
        </w:trPr>
        <w:tc>
          <w:tcPr>
            <w:tcW w:w="4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General and administrative . . . . . . . . . . . . . . . . . . . . .</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4 %</w:t>
            </w:r>
          </w:p>
        </w:tc>
        <w:tc>
          <w:tcPr>
            <w:tcW w:w="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5"/>
          </w:tcPr>
          <w:p>
            <w:pPr>
              <w:jc w:val="right"/>
              <w:ind w:right="30"/>
              <w:spacing w:after="0"/>
              <w:rPr>
                <w:sz w:val="20"/>
                <w:szCs w:val="20"/>
                <w:color w:val="auto"/>
              </w:rPr>
            </w:pPr>
            <w:r>
              <w:rPr>
                <w:rFonts w:ascii="Times New Roman" w:cs="Times New Roman" w:eastAsia="Times New Roman" w:hAnsi="Times New Roman"/>
                <w:sz w:val="20"/>
                <w:szCs w:val="20"/>
                <w:color w:val="auto"/>
              </w:rPr>
              <w:t>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4 %</w:t>
            </w:r>
          </w:p>
        </w:tc>
        <w:tc>
          <w:tcPr>
            <w:tcW w:w="0" w:type="dxa"/>
            <w:vAlign w:val="bottom"/>
          </w:tcPr>
          <w:p>
            <w:pPr>
              <w:spacing w:after="0"/>
              <w:rPr>
                <w:sz w:val="1"/>
                <w:szCs w:val="1"/>
                <w:color w:val="auto"/>
              </w:rPr>
            </w:pPr>
          </w:p>
        </w:tc>
      </w:tr>
      <w:tr>
        <w:trPr>
          <w:trHeight w:val="241"/>
        </w:trPr>
        <w:tc>
          <w:tcPr>
            <w:tcW w:w="4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Goodwill impairment . . . . . . . . . . . . . . . . . . . . . . . . . .</w:t>
            </w:r>
          </w:p>
        </w:tc>
        <w:tc>
          <w:tcPr>
            <w:tcW w:w="120" w:type="dxa"/>
            <w:vAlign w:val="bottom"/>
          </w:tcPr>
          <w:p>
            <w:pPr>
              <w:spacing w:after="0"/>
              <w:rPr>
                <w:sz w:val="20"/>
                <w:szCs w:val="20"/>
                <w:color w:val="auto"/>
              </w:rPr>
            </w:pPr>
          </w:p>
        </w:tc>
        <w:tc>
          <w:tcPr>
            <w:tcW w:w="1240" w:type="dxa"/>
            <w:vAlign w:val="bottom"/>
            <w:gridSpan w:val="6"/>
          </w:tcPr>
          <w:p>
            <w:pPr>
              <w:jc w:val="right"/>
              <w:ind w:right="7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 %</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2,695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6"/>
          </w:tcPr>
          <w:p>
            <w:pPr>
              <w:jc w:val="right"/>
              <w:ind w:right="30"/>
              <w:spacing w:after="0"/>
              <w:rPr>
                <w:sz w:val="20"/>
                <w:szCs w:val="20"/>
                <w:color w:val="auto"/>
              </w:rPr>
            </w:pPr>
            <w:r>
              <w:rPr>
                <w:rFonts w:ascii="Times New Roman" w:cs="Times New Roman" w:eastAsia="Times New Roman" w:hAnsi="Times New Roman"/>
                <w:sz w:val="20"/>
                <w:szCs w:val="20"/>
                <w:color w:val="auto"/>
              </w:rPr>
              <w:t>163 %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20"/>
        </w:trPr>
        <w:tc>
          <w:tcPr>
            <w:tcW w:w="4520" w:type="dxa"/>
            <w:vAlign w:val="bottom"/>
            <w:gridSpan w:val="3"/>
          </w:tcPr>
          <w:p>
            <w:pPr>
              <w:jc w:val="right"/>
              <w:ind w:right="300"/>
              <w:spacing w:after="0" w:line="215" w:lineRule="exact"/>
              <w:rPr>
                <w:sz w:val="20"/>
                <w:szCs w:val="20"/>
                <w:color w:val="auto"/>
              </w:rPr>
            </w:pPr>
            <w:r>
              <w:rPr>
                <w:rFonts w:ascii="Times New Roman" w:cs="Times New Roman" w:eastAsia="Times New Roman" w:hAnsi="Times New Roman"/>
                <w:sz w:val="20"/>
                <w:szCs w:val="20"/>
                <w:color w:val="auto"/>
              </w:rPr>
              <w:t>. . . . . . . . . . . . . . . . . . . . . . .Totaloperatingexpenses</w:t>
            </w: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1,344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71</w:t>
            </w:r>
          </w:p>
        </w:tc>
        <w:tc>
          <w:tcPr>
            <w:tcW w:w="2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3,966</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240</w:t>
            </w:r>
          </w:p>
        </w:tc>
        <w:tc>
          <w:tcPr>
            <w:tcW w:w="280" w:type="dxa"/>
            <w:vAlign w:val="bottom"/>
            <w:gridSpan w:val="3"/>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52</w:t>
            </w:r>
          </w:p>
        </w:tc>
        <w:tc>
          <w:tcPr>
            <w:tcW w:w="2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39"/>
        </w:trPr>
        <w:tc>
          <w:tcPr>
            <w:tcW w:w="45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 . . . . . . . . . . . . . . . . . . . . . .</w:t>
            </w:r>
            <w:r>
              <w:rPr>
                <w:rFonts w:ascii="Times New Roman" w:cs="Times New Roman" w:eastAsia="Times New Roman" w:hAnsi="Times New Roman"/>
                <w:sz w:val="20"/>
                <w:szCs w:val="20"/>
                <w:b w:val="1"/>
                <w:bCs w:val="1"/>
                <w:color w:val="auto"/>
              </w:rPr>
              <w:t>Operatingincome(loss)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(23)</w:t>
            </w:r>
          </w:p>
        </w:tc>
        <w:tc>
          <w:tcPr>
            <w:tcW w:w="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0"/>
                <w:szCs w:val="20"/>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8"/>
              </w:rPr>
              <w:t>$ (3,225)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(195)</w:t>
            </w: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r>
        <w:trPr>
          <w:trHeight w:val="221"/>
        </w:trPr>
        <w:tc>
          <w:tcPr>
            <w:tcW w:w="4520" w:type="dxa"/>
            <w:vAlign w:val="bottom"/>
            <w:gridSpan w:val="3"/>
          </w:tcPr>
          <w:p>
            <w:pPr>
              <w:jc w:val="right"/>
              <w:ind w:right="300"/>
              <w:spacing w:after="0" w:line="217" w:lineRule="exact"/>
              <w:rPr>
                <w:sz w:val="20"/>
                <w:szCs w:val="20"/>
                <w:color w:val="auto"/>
              </w:rPr>
            </w:pPr>
            <w:r>
              <w:rPr>
                <w:rFonts w:ascii="Times New Roman" w:cs="Times New Roman" w:eastAsia="Times New Roman" w:hAnsi="Times New Roman"/>
                <w:sz w:val="20"/>
                <w:szCs w:val="20"/>
                <w:color w:val="auto"/>
              </w:rPr>
              <w:t>. . . . . . . . . . . . . . . . .Financialincome(expense),net</w:t>
            </w: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80"/>
              <w:spacing w:after="0" w:line="217" w:lineRule="exact"/>
              <w:rPr>
                <w:sz w:val="20"/>
                <w:szCs w:val="20"/>
                <w:color w:val="auto"/>
              </w:rPr>
            </w:pPr>
            <w:r>
              <w:rPr>
                <w:rFonts w:ascii="Times New Roman" w:cs="Times New Roman" w:eastAsia="Times New Roman" w:hAnsi="Times New Roman"/>
                <w:sz w:val="20"/>
                <w:szCs w:val="20"/>
                <w:color w:val="auto"/>
              </w:rPr>
              <w:t>3</w:t>
            </w:r>
          </w:p>
        </w:tc>
        <w:tc>
          <w:tcPr>
            <w:tcW w:w="26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line="217" w:lineRule="exact"/>
              <w:rPr>
                <w:sz w:val="20"/>
                <w:szCs w:val="20"/>
                <w:color w:val="auto"/>
              </w:rPr>
            </w:pPr>
            <w:r>
              <w:rPr>
                <w:rFonts w:ascii="Times New Roman" w:cs="Times New Roman" w:eastAsia="Times New Roman" w:hAnsi="Times New Roman"/>
                <w:sz w:val="20"/>
                <w:szCs w:val="20"/>
                <w:color w:val="auto"/>
              </w:rPr>
              <w:t>62</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60"/>
              <w:spacing w:after="0" w:line="217" w:lineRule="exact"/>
              <w:rPr>
                <w:sz w:val="20"/>
                <w:szCs w:val="20"/>
                <w:color w:val="auto"/>
              </w:rPr>
            </w:pPr>
            <w:r>
              <w:rPr>
                <w:rFonts w:ascii="Times New Roman" w:cs="Times New Roman" w:eastAsia="Times New Roman" w:hAnsi="Times New Roman"/>
                <w:sz w:val="20"/>
                <w:szCs w:val="20"/>
                <w:color w:val="auto"/>
                <w:w w:val="99"/>
              </w:rPr>
              <w:t>4</w:t>
            </w:r>
          </w:p>
        </w:tc>
        <w:tc>
          <w:tcPr>
            <w:tcW w:w="280" w:type="dxa"/>
            <w:vAlign w:val="bottom"/>
            <w:gridSpan w:val="3"/>
          </w:tcPr>
          <w:p>
            <w:pPr>
              <w:spacing w:after="0" w:line="217"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49</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2</w:t>
            </w:r>
          </w:p>
        </w:tc>
        <w:tc>
          <w:tcPr>
            <w:tcW w:w="26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09"/>
        </w:trPr>
        <w:tc>
          <w:tcPr>
            <w:tcW w:w="4520" w:type="dxa"/>
            <w:vAlign w:val="bottom"/>
            <w:gridSpan w:val="3"/>
          </w:tcPr>
          <w:p>
            <w:pPr>
              <w:jc w:val="right"/>
              <w:ind w:right="300"/>
              <w:spacing w:after="0" w:line="209" w:lineRule="exact"/>
              <w:rPr>
                <w:sz w:val="20"/>
                <w:szCs w:val="20"/>
                <w:color w:val="auto"/>
              </w:rPr>
            </w:pPr>
            <w:r>
              <w:rPr>
                <w:rFonts w:ascii="Times New Roman" w:cs="Times New Roman" w:eastAsia="Times New Roman" w:hAnsi="Times New Roman"/>
                <w:sz w:val="20"/>
                <w:szCs w:val="20"/>
                <w:color w:val="auto"/>
              </w:rPr>
              <w:t>. . . . . . . . . . . . . .</w:t>
            </w:r>
            <w:r>
              <w:rPr>
                <w:rFonts w:ascii="Times New Roman" w:cs="Times New Roman" w:eastAsia="Times New Roman" w:hAnsi="Times New Roman"/>
                <w:sz w:val="20"/>
                <w:szCs w:val="20"/>
                <w:b w:val="1"/>
                <w:bCs w:val="1"/>
                <w:color w:val="auto"/>
              </w:rPr>
              <w:t>Income(loss)beforeincometaxes</w:t>
            </w:r>
          </w:p>
        </w:tc>
        <w:tc>
          <w:tcPr>
            <w:tcW w:w="120" w:type="dxa"/>
            <w:vAlign w:val="bottom"/>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(377)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b w:val="1"/>
                <w:bCs w:val="1"/>
                <w:color w:val="auto"/>
              </w:rPr>
              <w:t>(20)</w:t>
            </w:r>
          </w:p>
        </w:tc>
        <w:tc>
          <w:tcPr>
            <w:tcW w:w="26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18"/>
                <w:szCs w:val="18"/>
                <w:color w:val="auto"/>
              </w:rPr>
            </w:pPr>
          </w:p>
        </w:tc>
        <w:tc>
          <w:tcPr>
            <w:tcW w:w="760" w:type="dxa"/>
            <w:vAlign w:val="bottom"/>
            <w:gridSpan w:val="4"/>
          </w:tcPr>
          <w:p>
            <w:pPr>
              <w:jc w:val="right"/>
              <w:ind w:right="20"/>
              <w:spacing w:after="0" w:line="209" w:lineRule="exact"/>
              <w:rPr>
                <w:sz w:val="20"/>
                <w:szCs w:val="20"/>
                <w:color w:val="auto"/>
              </w:rPr>
            </w:pPr>
            <w:r>
              <w:rPr>
                <w:rFonts w:ascii="Times New Roman" w:cs="Times New Roman" w:eastAsia="Times New Roman" w:hAnsi="Times New Roman"/>
                <w:sz w:val="20"/>
                <w:szCs w:val="20"/>
                <w:b w:val="1"/>
                <w:bCs w:val="1"/>
                <w:color w:val="auto"/>
              </w:rPr>
              <w:t>(3,163)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(191)</w:t>
            </w:r>
          </w:p>
        </w:tc>
        <w:tc>
          <w:tcPr>
            <w:tcW w:w="28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w:t>
            </w:r>
          </w:p>
        </w:tc>
        <w:tc>
          <w:tcPr>
            <w:tcW w:w="2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r>
        <w:trPr>
          <w:trHeight w:val="241"/>
        </w:trPr>
        <w:tc>
          <w:tcPr>
            <w:tcW w:w="45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Benefit (provision) for income taxes . . . . . . . . . . . . . .</w:t>
            </w: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gridSpan w:val="5"/>
          </w:tcPr>
          <w:p>
            <w:pPr>
              <w:jc w:val="right"/>
              <w:ind w:right="30"/>
              <w:spacing w:after="0"/>
              <w:rPr>
                <w:sz w:val="20"/>
                <w:szCs w:val="20"/>
                <w:color w:val="auto"/>
              </w:rPr>
            </w:pPr>
            <w:r>
              <w:rPr>
                <w:rFonts w:ascii="Times New Roman" w:cs="Times New Roman" w:eastAsia="Times New Roman" w:hAnsi="Times New Roman"/>
                <w:sz w:val="20"/>
                <w:szCs w:val="20"/>
                <w:color w:val="auto"/>
              </w:rPr>
              <w:t>4 %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0"/>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Net income (loss) </w:t>
            </w:r>
            <w:r>
              <w:rPr>
                <w:rFonts w:ascii="Times New Roman" w:cs="Times New Roman" w:eastAsia="Times New Roman" w:hAnsi="Times New Roman"/>
                <w:sz w:val="20"/>
                <w:szCs w:val="20"/>
                <w:color w:val="auto"/>
              </w:rPr>
              <w:t>. . . . . . . . . . . . . . . . . . . . . . . . . . . . .</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(392)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(21)</w:t>
            </w:r>
          </w:p>
        </w:tc>
        <w:tc>
          <w:tcPr>
            <w:tcW w:w="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 (3,090)</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(187)</w:t>
            </w:r>
          </w:p>
        </w:tc>
        <w:tc>
          <w:tcPr>
            <w:tcW w:w="2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r>
        <w:trPr>
          <w:trHeight w:val="158"/>
        </w:trPr>
        <w:tc>
          <w:tcPr>
            <w:tcW w:w="2700" w:type="dxa"/>
            <w:vAlign w:val="bottom"/>
            <w:tcBorders>
              <w:bottom w:val="single" w:sz="8" w:color="auto"/>
            </w:tcBorders>
          </w:tcPr>
          <w:p>
            <w:pPr>
              <w:spacing w:after="0"/>
              <w:rPr>
                <w:sz w:val="13"/>
                <w:szCs w:val="13"/>
                <w:color w:val="auto"/>
              </w:rPr>
            </w:pPr>
          </w:p>
        </w:tc>
        <w:tc>
          <w:tcPr>
            <w:tcW w:w="3180" w:type="dxa"/>
            <w:vAlign w:val="bottom"/>
            <w:gridSpan w:val="9"/>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5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(1)  Includes amortization of acquired intangible assets, as follows: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6"/>
              </w:rPr>
              <w:t>December 27,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6"/>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0" w:type="dxa"/>
            <w:vAlign w:val="bottom"/>
          </w:tcPr>
          <w:p>
            <w:pPr>
              <w:spacing w:after="0"/>
              <w:rPr>
                <w:sz w:val="1"/>
                <w:szCs w:val="1"/>
                <w:color w:val="auto"/>
              </w:rPr>
            </w:pPr>
          </w:p>
        </w:tc>
      </w:tr>
      <w:tr>
        <w:trPr>
          <w:trHeight w:val="193"/>
        </w:trPr>
        <w:tc>
          <w:tcPr>
            <w:tcW w:w="4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4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auto"/>
                <w:w w:val="99"/>
              </w:rPr>
              <w:t>. . . . . . . . . . . . . . . . . . . . . . . . . . . . . . . . . . .Costofrevenue</w:t>
            </w:r>
          </w:p>
        </w:tc>
        <w:tc>
          <w:tcPr>
            <w:tcW w:w="56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94"/>
              </w:rPr>
              <w:t>. . . . . .</w:t>
            </w:r>
          </w:p>
        </w:tc>
        <w:tc>
          <w:tcPr>
            <w:tcW w:w="20" w:type="dxa"/>
            <w:vAlign w:val="bottom"/>
          </w:tcPr>
          <w:p>
            <w:pPr>
              <w:spacing w:after="0"/>
              <w:rPr>
                <w:sz w:val="18"/>
                <w:szCs w:val="18"/>
                <w:color w:val="auto"/>
              </w:rPr>
            </w:pPr>
          </w:p>
        </w:tc>
        <w:tc>
          <w:tcPr>
            <w:tcW w:w="10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94"/>
              </w:rPr>
              <w:t>. . . . . .</w:t>
            </w:r>
          </w:p>
        </w:tc>
        <w:tc>
          <w:tcPr>
            <w:tcW w:w="44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88"/>
              </w:rPr>
              <w:t>. . . . .</w:t>
            </w:r>
          </w:p>
        </w:tc>
        <w:tc>
          <w:tcPr>
            <w:tcW w:w="2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 . .</w:t>
            </w:r>
          </w:p>
        </w:tc>
        <w:tc>
          <w:tcPr>
            <w:tcW w:w="680" w:type="dxa"/>
            <w:vAlign w:val="bottom"/>
          </w:tcPr>
          <w:p>
            <w:pPr>
              <w:jc w:val="right"/>
              <w:ind w:right="163"/>
              <w:spacing w:after="0" w:line="187" w:lineRule="exact"/>
              <w:rPr>
                <w:sz w:val="20"/>
                <w:szCs w:val="20"/>
                <w:color w:val="auto"/>
              </w:rPr>
            </w:pPr>
            <w:r>
              <w:rPr>
                <w:rFonts w:ascii="Times New Roman" w:cs="Times New Roman" w:eastAsia="Times New Roman" w:hAnsi="Times New Roman"/>
                <w:sz w:val="20"/>
                <w:szCs w:val="20"/>
                <w:color w:val="auto"/>
              </w:rPr>
              <w:t>. . . .</w:t>
            </w:r>
          </w:p>
        </w:tc>
        <w:tc>
          <w:tcPr>
            <w:tcW w:w="2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7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377</w:t>
            </w:r>
          </w:p>
        </w:tc>
        <w:tc>
          <w:tcPr>
            <w:tcW w:w="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rPr>
              <w:t>376</w:t>
            </w: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4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406</w:t>
            </w:r>
          </w:p>
        </w:tc>
        <w:tc>
          <w:tcPr>
            <w:tcW w:w="0" w:type="dxa"/>
            <w:vAlign w:val="bottom"/>
          </w:tcPr>
          <w:p>
            <w:pPr>
              <w:spacing w:after="0"/>
              <w:rPr>
                <w:sz w:val="1"/>
                <w:szCs w:val="1"/>
                <w:color w:val="auto"/>
              </w:rPr>
            </w:pPr>
          </w:p>
        </w:tc>
      </w:tr>
      <w:tr>
        <w:trPr>
          <w:trHeight w:val="241"/>
        </w:trPr>
        <w:tc>
          <w:tcPr>
            <w:tcW w:w="46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7"/>
              </w:rPr>
              <w:t>Sales and marketing . . . . . . . . . . . . . . . . . . . . . . . . . . . . . .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8"/>
              </w:rPr>
              <w:t>.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 . . .</w:t>
            </w: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40"/>
        </w:trPr>
        <w:tc>
          <w:tcPr>
            <w:tcW w:w="4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 . . . .</w:t>
            </w:r>
            <w:r>
              <w:rPr>
                <w:rFonts w:ascii="Times New Roman" w:cs="Times New Roman" w:eastAsia="Times New Roman" w:hAnsi="Times New Roman"/>
                <w:sz w:val="20"/>
                <w:szCs w:val="20"/>
                <w:b w:val="1"/>
                <w:bCs w:val="1"/>
                <w:color w:val="auto"/>
              </w:rPr>
              <w:t>Totalamortizationofacquiredintangibleassets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8"/>
              </w:rPr>
              <w:t>.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680" w:type="dxa"/>
            <w:vAlign w:val="bottom"/>
          </w:tcPr>
          <w:p>
            <w:pPr>
              <w:jc w:val="right"/>
              <w:ind w:right="163"/>
              <w:spacing w:after="0" w:line="187" w:lineRule="exact"/>
              <w:rPr>
                <w:sz w:val="20"/>
                <w:szCs w:val="20"/>
                <w:color w:val="auto"/>
              </w:rPr>
            </w:pPr>
            <w:r>
              <w:rPr>
                <w:rFonts w:ascii="Times New Roman" w:cs="Times New Roman" w:eastAsia="Times New Roman" w:hAnsi="Times New Roman"/>
                <w:sz w:val="20"/>
                <w:szCs w:val="20"/>
                <w:color w:val="auto"/>
              </w:rPr>
              <w:t>. . . .</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443</w:t>
            </w:r>
          </w:p>
        </w:tc>
        <w:tc>
          <w:tcPr>
            <w:tcW w:w="40" w:type="dxa"/>
            <w:vAlign w:val="bottom"/>
            <w:tcBorders>
              <w:bottom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444</w:t>
            </w:r>
          </w:p>
        </w:tc>
        <w:tc>
          <w:tcPr>
            <w:tcW w:w="2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474</w:t>
            </w:r>
          </w:p>
        </w:tc>
        <w:tc>
          <w:tcPr>
            <w:tcW w:w="0" w:type="dxa"/>
            <w:vAlign w:val="bottom"/>
          </w:tcPr>
          <w:p>
            <w:pPr>
              <w:spacing w:after="0"/>
              <w:rPr>
                <w:sz w:val="1"/>
                <w:szCs w:val="1"/>
                <w:color w:val="auto"/>
              </w:rPr>
            </w:pPr>
          </w:p>
        </w:tc>
      </w:tr>
      <w:tr>
        <w:trPr>
          <w:trHeight w:val="159"/>
        </w:trPr>
        <w:tc>
          <w:tcPr>
            <w:tcW w:w="2700" w:type="dxa"/>
            <w:vAlign w:val="bottom"/>
            <w:tcBorders>
              <w:bottom w:val="single" w:sz="8" w:color="auto"/>
            </w:tcBorders>
          </w:tcPr>
          <w:p>
            <w:pPr>
              <w:spacing w:after="0"/>
              <w:rPr>
                <w:sz w:val="13"/>
                <w:szCs w:val="13"/>
                <w:color w:val="auto"/>
              </w:rPr>
            </w:pPr>
          </w:p>
        </w:tc>
        <w:tc>
          <w:tcPr>
            <w:tcW w:w="3180" w:type="dxa"/>
            <w:vAlign w:val="bottom"/>
            <w:gridSpan w:val="9"/>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5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(2)  Includes share-based compensation expense, as follows: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6"/>
              </w:rPr>
              <w:t>December 27,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6"/>
          </w:tcPr>
          <w:p>
            <w:pPr>
              <w:jc w:val="center"/>
              <w:ind w:right="20"/>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0" w:type="dxa"/>
            <w:vAlign w:val="bottom"/>
          </w:tcPr>
          <w:p>
            <w:pPr>
              <w:spacing w:after="0"/>
              <w:rPr>
                <w:sz w:val="1"/>
                <w:szCs w:val="1"/>
                <w:color w:val="auto"/>
              </w:rPr>
            </w:pPr>
          </w:p>
        </w:tc>
      </w:tr>
      <w:tr>
        <w:trPr>
          <w:trHeight w:val="194"/>
        </w:trPr>
        <w:tc>
          <w:tcPr>
            <w:tcW w:w="45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64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20"/>
                <w:szCs w:val="20"/>
                <w:color w:val="auto"/>
                <w:w w:val="99"/>
              </w:rPr>
              <w:t>. . . . . . . . . . . . . . . . . . . . . . . . . . . . . . . . . . .Costofrevenue</w:t>
            </w:r>
          </w:p>
        </w:tc>
        <w:tc>
          <w:tcPr>
            <w:tcW w:w="560" w:type="dxa"/>
            <w:vAlign w:val="bottom"/>
            <w:gridSpan w:val="2"/>
          </w:tcPr>
          <w:p>
            <w:pPr>
              <w:jc w:val="right"/>
              <w:ind w:right="20"/>
              <w:spacing w:after="0" w:line="208" w:lineRule="exact"/>
              <w:rPr>
                <w:sz w:val="20"/>
                <w:szCs w:val="20"/>
                <w:color w:val="auto"/>
              </w:rPr>
            </w:pPr>
            <w:r>
              <w:rPr>
                <w:rFonts w:ascii="Times New Roman" w:cs="Times New Roman" w:eastAsia="Times New Roman" w:hAnsi="Times New Roman"/>
                <w:sz w:val="20"/>
                <w:szCs w:val="20"/>
                <w:color w:val="auto"/>
                <w:w w:val="94"/>
              </w:rPr>
              <w:t>. . . . . .</w:t>
            </w:r>
          </w:p>
        </w:tc>
        <w:tc>
          <w:tcPr>
            <w:tcW w:w="20" w:type="dxa"/>
            <w:vAlign w:val="bottom"/>
          </w:tcPr>
          <w:p>
            <w:pPr>
              <w:spacing w:after="0"/>
              <w:rPr>
                <w:sz w:val="18"/>
                <w:szCs w:val="18"/>
                <w:color w:val="auto"/>
              </w:rPr>
            </w:pPr>
          </w:p>
        </w:tc>
        <w:tc>
          <w:tcPr>
            <w:tcW w:w="100" w:type="dxa"/>
            <w:vAlign w:val="bottom"/>
          </w:tcPr>
          <w:p>
            <w:pPr>
              <w:ind w:left="20"/>
              <w:spacing w:after="0" w:line="208"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0"/>
              <w:spacing w:after="0" w:line="208" w:lineRule="exact"/>
              <w:rPr>
                <w:sz w:val="20"/>
                <w:szCs w:val="20"/>
                <w:color w:val="auto"/>
              </w:rPr>
            </w:pPr>
            <w:r>
              <w:rPr>
                <w:rFonts w:ascii="Times New Roman" w:cs="Times New Roman" w:eastAsia="Times New Roman" w:hAnsi="Times New Roman"/>
                <w:sz w:val="20"/>
                <w:szCs w:val="20"/>
                <w:color w:val="auto"/>
                <w:w w:val="94"/>
              </w:rPr>
              <w:t>. . . . . .</w:t>
            </w:r>
          </w:p>
        </w:tc>
        <w:tc>
          <w:tcPr>
            <w:tcW w:w="440" w:type="dxa"/>
            <w:vAlign w:val="bottom"/>
            <w:gridSpan w:val="2"/>
          </w:tcPr>
          <w:p>
            <w:pPr>
              <w:jc w:val="right"/>
              <w:ind w:right="20"/>
              <w:spacing w:after="0" w:line="208" w:lineRule="exact"/>
              <w:rPr>
                <w:sz w:val="20"/>
                <w:szCs w:val="20"/>
                <w:color w:val="auto"/>
              </w:rPr>
            </w:pPr>
            <w:r>
              <w:rPr>
                <w:rFonts w:ascii="Times New Roman" w:cs="Times New Roman" w:eastAsia="Times New Roman" w:hAnsi="Times New Roman"/>
                <w:sz w:val="20"/>
                <w:szCs w:val="20"/>
                <w:color w:val="auto"/>
                <w:w w:val="88"/>
              </w:rPr>
              <w:t>. . . . .</w:t>
            </w:r>
          </w:p>
        </w:tc>
        <w:tc>
          <w:tcPr>
            <w:tcW w:w="28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20"/>
                <w:szCs w:val="20"/>
                <w:color w:val="auto"/>
              </w:rPr>
              <w:t>. . .</w:t>
            </w:r>
          </w:p>
        </w:tc>
        <w:tc>
          <w:tcPr>
            <w:tcW w:w="700" w:type="dxa"/>
            <w:vAlign w:val="bottom"/>
            <w:gridSpan w:val="2"/>
          </w:tcPr>
          <w:p>
            <w:pPr>
              <w:jc w:val="right"/>
              <w:ind w:right="280"/>
              <w:spacing w:after="0" w:line="187" w:lineRule="exact"/>
              <w:rPr>
                <w:sz w:val="20"/>
                <w:szCs w:val="20"/>
                <w:color w:val="auto"/>
              </w:rPr>
            </w:pPr>
            <w:r>
              <w:rPr>
                <w:rFonts w:ascii="Times New Roman" w:cs="Times New Roman" w:eastAsia="Times New Roman" w:hAnsi="Times New Roman"/>
                <w:sz w:val="20"/>
                <w:szCs w:val="20"/>
                <w:color w:val="auto"/>
              </w:rPr>
              <w:t>. . . .</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7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w:t>
            </w:r>
          </w:p>
        </w:tc>
        <w:tc>
          <w:tcPr>
            <w:tcW w:w="40" w:type="dxa"/>
            <w:vAlign w:val="bottom"/>
          </w:tcPr>
          <w:p>
            <w:pPr>
              <w:spacing w:after="0"/>
              <w:rPr>
                <w:sz w:val="18"/>
                <w:szCs w:val="18"/>
                <w:color w:val="auto"/>
              </w:rPr>
            </w:pPr>
          </w:p>
        </w:tc>
        <w:tc>
          <w:tcPr>
            <w:tcW w:w="220" w:type="dxa"/>
            <w:vAlign w:val="bottom"/>
            <w:gridSpan w:val="3"/>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line="208" w:lineRule="exact"/>
              <w:rPr>
                <w:sz w:val="20"/>
                <w:szCs w:val="20"/>
                <w:color w:val="auto"/>
              </w:rPr>
            </w:pPr>
            <w:r>
              <w:rPr>
                <w:rFonts w:ascii="Times New Roman" w:cs="Times New Roman" w:eastAsia="Times New Roman" w:hAnsi="Times New Roman"/>
                <w:sz w:val="20"/>
                <w:szCs w:val="20"/>
                <w:color w:val="auto"/>
              </w:rPr>
              <w:t>2</w:t>
            </w:r>
          </w:p>
        </w:tc>
        <w:tc>
          <w:tcPr>
            <w:tcW w:w="220" w:type="dxa"/>
            <w:vAlign w:val="bottom"/>
            <w:gridSpan w:val="3"/>
          </w:tcPr>
          <w:p>
            <w:pPr>
              <w:spacing w:after="0"/>
              <w:rPr>
                <w:sz w:val="18"/>
                <w:szCs w:val="18"/>
                <w:color w:val="auto"/>
              </w:rPr>
            </w:pPr>
          </w:p>
        </w:tc>
        <w:tc>
          <w:tcPr>
            <w:tcW w:w="340" w:type="dxa"/>
            <w:vAlign w:val="bottom"/>
          </w:tcPr>
          <w:p>
            <w:pPr>
              <w:jc w:val="right"/>
              <w:ind w:right="147"/>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30"/>
        </w:trPr>
        <w:tc>
          <w:tcPr>
            <w:tcW w:w="46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Research and development, net . . . . . . . . . . . . . . . . . . . . .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8"/>
              </w:rPr>
              <w:t>.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 . .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244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0" w:type="dxa"/>
            <w:vAlign w:val="bottom"/>
          </w:tcPr>
          <w:p>
            <w:pPr>
              <w:spacing w:after="0"/>
              <w:rPr>
                <w:sz w:val="1"/>
                <w:szCs w:val="1"/>
                <w:color w:val="auto"/>
              </w:rPr>
            </w:pPr>
          </w:p>
        </w:tc>
      </w:tr>
      <w:tr>
        <w:trPr>
          <w:trHeight w:val="229"/>
        </w:trPr>
        <w:tc>
          <w:tcPr>
            <w:tcW w:w="46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7"/>
              </w:rPr>
              <w:t>Sales and marketing . . . . . . . . . . . . . . . . . . . . . . . . . . . . . .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8"/>
              </w:rPr>
              <w:t>.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 . . .</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1"/>
        </w:trPr>
        <w:tc>
          <w:tcPr>
            <w:tcW w:w="46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General and administrative . . . . . . . . . . . . . . . . . . . . . . . .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8"/>
              </w:rPr>
              <w:t>.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 . . .</w:t>
            </w: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40"/>
        </w:trPr>
        <w:tc>
          <w:tcPr>
            <w:tcW w:w="4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 . . . . . . . . . . . . . . . . .</w:t>
            </w:r>
            <w:r>
              <w:rPr>
                <w:rFonts w:ascii="Times New Roman" w:cs="Times New Roman" w:eastAsia="Times New Roman" w:hAnsi="Times New Roman"/>
                <w:sz w:val="20"/>
                <w:szCs w:val="20"/>
                <w:b w:val="1"/>
                <w:bCs w:val="1"/>
                <w:color w:val="auto"/>
              </w:rPr>
              <w:t>Totalshare-basedcompensation</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4"/>
              </w:rPr>
              <w:t>. . . . . .</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8"/>
              </w:rPr>
              <w:t>. . . .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w:t>
            </w:r>
          </w:p>
        </w:tc>
        <w:tc>
          <w:tcPr>
            <w:tcW w:w="680" w:type="dxa"/>
            <w:vAlign w:val="bottom"/>
          </w:tcPr>
          <w:p>
            <w:pPr>
              <w:jc w:val="right"/>
              <w:ind w:right="163"/>
              <w:spacing w:after="0" w:line="187" w:lineRule="exact"/>
              <w:rPr>
                <w:sz w:val="20"/>
                <w:szCs w:val="20"/>
                <w:color w:val="auto"/>
              </w:rPr>
            </w:pPr>
            <w:r>
              <w:rPr>
                <w:rFonts w:ascii="Times New Roman" w:cs="Times New Roman" w:eastAsia="Times New Roman" w:hAnsi="Times New Roman"/>
                <w:sz w:val="20"/>
                <w:szCs w:val="20"/>
                <w:color w:val="auto"/>
              </w:rPr>
              <w:t>. . . .</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277</w:t>
            </w:r>
          </w:p>
        </w:tc>
        <w:tc>
          <w:tcPr>
            <w:tcW w:w="40" w:type="dxa"/>
            <w:vAlign w:val="bottom"/>
            <w:tcBorders>
              <w:bottom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279</w:t>
            </w:r>
          </w:p>
        </w:tc>
        <w:tc>
          <w:tcPr>
            <w:tcW w:w="2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800"/>
          </w:cols>
          <w:pgMar w:left="540" w:top="1347" w:right="54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27, 2025 and December 28, 2024</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9"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 2025, revenue was $1,894 million, up $240 million, or 15%, compared to 2024. This increase in revenue was primarily due to an increase of $308 million, or 22%, in EyeQ™ SoC revenue attributable mainly to a 23% increase in volume, resulting mainly from the normalization of excess inventory by our Tier 1 customers that was previously used to satisfy demand during the first half of 2024. This was slightly offset by a decrease in SuperVision™ related revenue. Average System Price, calculated as the sum of revenue related to EyeQ™ and SuperVision™ systems divided by the number of systems delivered, decreased by 6% mainly due to lower percentage of SuperVision™ related revenue as compared to 2024.</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2025, our cost of revenue increased by $77 million, or 8%, compared to 2024. This increase was primarily due to an increase of $81 million in manufacturing costs relating primarily to the increase in sales of our EyeQ™ SoC which was partially offset by the decrease in sales of SuperVision™ systems.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Gross Profit and margin</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2025, our gross profit increased by $163 million, or 22%, compared to 2024. This increase was primarily due to the increase in revenue from sales of EyeQ™ systems, which was slightly offset by the decrease in sales of SuperVision™ systems.</w:t>
      </w:r>
    </w:p>
    <w:p>
      <w:pPr>
        <w:spacing w:after="0" w:line="16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gross margin increased from 45% during 2024, to 48% during 2025. This increase was primarily due to the lower impact of amortization of intangible assets as a percentage of revenue as well as an increase in the percentage of revenue attributable to EyeQ™ SoCs.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net</w:t>
      </w:r>
    </w:p>
    <w:p>
      <w:pPr>
        <w:spacing w:after="0" w:line="23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Research and development expenses, net, in 2025, increased by $68 million, or 6%, compared to 2024. This increase was primarily due to an increase in payroll and related expenses, resulting from an increase in average research and development headcount of 147 employees and the costs related to the reduction in workforce implemented during the fourth quarter of 2025. This was partially offset by a decrease in direct expenses including professional services mostly related to the wind-down of the Lidar R&amp;D Unit that took place in 2024, in addition to lower share-based compensation.</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Sales and marketing expenses, in 2025, decreased by $5 million, or 4%, compared to 2024, mainly due to a decrease in payroll and related expenses due to the winding down of the Aftermarket Solutions Unit that took place in 2024, in addition to a decrease in amortization of intangible assets.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General and administrative expenses in 2025 increased by $10 million, or 14%, compared to 2024. This increase was mainly due to an increase in legal and corporate expenses in addition to an increase in share-based compensation expenses.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Goodwill impairment expenses were zero in 2025 and $2,695 million in 2024. During the third quarter of 2024, the Company performed an interim quantitative goodwill impairment analysis for the “Mobileye” reporting unit, resulting in a non-cash impairment loss. For further details, see Note 10 to the Consolidated Financial Statements included in this report.</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800"/>
          </w:cols>
          <w:pgMar w:left="540" w:top="1350" w:right="540" w:bottom="0" w:gutter="0" w:footer="0" w:header="0"/>
          <w:type w:val="continuous"/>
        </w:sectPr>
      </w:pPr>
    </w:p>
    <w:bookmarkStart w:id="91" w:name="page92"/>
    <w:bookmarkEnd w:id="91"/>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Financial Income (expense), net</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Financial income (expense) net in 2025, was $63 million compared to $62 million in 2024. This increase was mainly due to an increase in interest earned on short term bank deposits, partially offset by a decrease in interest earned on investments in money market funds and an increase in exchange rate differences expenses.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Benefit (Provision) for Income Tax</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 2025, the provision for income tax was $(15) million, compared to a benefit for income tax of $73 million in 2024. This change is mainly due to the deferred tax effects of $82 million attributed to goodwill impairment of the Mobileye reporting unit which was recognized in the prior year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28, 2024 and December 30, 2023</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In 2024, revenue was $1,654 million, down $ 425 million, or 20%, compared to 2023. This decrease in revenue was primarily due to a decrease of $438 million, or 24%, in EyeQ™ SoC revenue attributable mainly to a 23% decrease in volume, which was primarily related to the previously disclosed meaningful build-up of inventory at our Tier 1 customers, including in the fourth quarter of 2023. The vast majority of this excess inventory was consumed to satisfy demand in the first half of 2024. This was offset by a slight increase in SuperVision™ related revenue.</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 2024, our cost of revenue decreased by $119 million, or 12%, compared to 2023. This decrease was primarily due to a decrease of $87 million in manufacturing costs relating primarily due to the decrease in sales of our EyeQ™ SoC, in addition to a $30 million decrease in amortization expenses of intangible assets.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Gross Profit and Margin</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2024, our gross profit decreased by $306 million, or 29%, compared to 2023. The decrease was mainly due to the decrease in revenue from our EyeQ™ SoC sales, partially offset by the decrease in amortization expenses of intangible assets.</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gross margin decreased from 50% during 2023, to 45% during 2024. This decrease was mainly due to a higher impact of amortization of intangible assets as a percentage of revenues, as well as the impact of higher EyeQ™-related costs per unit due to mix effects.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Net</w:t>
      </w:r>
    </w:p>
    <w:p>
      <w:pPr>
        <w:spacing w:after="0" w:line="238"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Research and development expenses, net, in 2024, increased by $194 million, or 22%, compared to 2023. This increase was primarily due to an increase in payroll and related expenses, resulting from an increase in average research and development headcount of 348 employees, and an increase in share-based compensation, which was partially offset by military duty reserve refunds from the state of Israel. In addition, there was an increase related to investments attributable to new product development and also an increase in depreciation costs associated with the new campus and additional sites.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Sales and marketing expenses in 2024 remained flat compared to 2023, mainly due to an increase in marketing expenses which was offset by a decrease in payroll and related expenses including share-based compensation which is mainly associated to the winding down of the Aftermarket Solutions Unit in 2024.</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General and administrative expenses in 2024 decreased by $3 million, or 4%, compared to 2023. This decrease was mainly due to a decrease in legal and corporate expenses.</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800"/>
          </w:cols>
          <w:pgMar w:left="540" w:top="1350" w:right="540" w:bottom="0" w:gutter="0" w:footer="0" w:header="0"/>
          <w:type w:val="continuous"/>
        </w:sectPr>
      </w:pPr>
    </w:p>
    <w:bookmarkStart w:id="92" w:name="page93"/>
    <w:bookmarkEnd w:id="92"/>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Goodwill impairment expenses were $2,695 million in 2024 and zero in 2023. During the third quarter of 2024, the Company performed an interim quantitative goodwill impairment analysis for the “Mobileye” reporting unit, resulting in a non-cash impairment loss. For further details, refer to Note 10 to the Consolidated Financial Statements included in this report.</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Financial Income (Expense), net</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Financial income (expense), net in 2024, was $62 million compared to $49 million in 2023. This increase was mainly due to an increase in interest earned on short term bank deposits, a decrease in exchange rate differences expense and income from fair value revaluation of equity investments executed during 2024.</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Benefit (Provision) for Income Tax</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2024, benefit for income tax was $73 million, compared to a $(43) million provision for income tax in 2023. This change is mainly due to the deferred tax effects of goodwill impairment to the Mobileye reporting unit, as well as higher loss before income taxes in 2024.</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primary uses of funds have been for funding increases in headcount in our research and development departments, investments attributable to new product development, as well as for funding our capital expenditures. Our capital expenditures have related mainly to data storage and other computer related equipment, expenditure related to research and development projects and to the construction of new sites were $79 million and $81 million for 2025 and 2024, respectively.</w:t>
      </w:r>
    </w:p>
    <w:p>
      <w:pPr>
        <w:spacing w:after="0" w:line="191"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To fund our cash requirements in the ordinary course of business, we anticipate that we will continue to primarily rely on operating cash flows, supplemented by our total cash and cash equivalents. We expect our total capital expenditures for 2026 to be higher compared to our total capital expenditures in 2025. We continue to invest in equipment related to the development of our next generation products. Our future capital requirements will depend on many factors, including our growth rate and the timing and extent of operating expenses.</w:t>
      </w:r>
    </w:p>
    <w:p>
      <w:pPr>
        <w:spacing w:after="0" w:line="17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certain consolidated statements of cash flow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5"/>
        </w:trPr>
        <w:tc>
          <w:tcPr>
            <w:tcW w:w="7280" w:type="dxa"/>
            <w:vAlign w:val="bottom"/>
          </w:tcPr>
          <w:p>
            <w:pPr>
              <w:spacing w:after="0"/>
              <w:rPr>
                <w:sz w:val="14"/>
                <w:szCs w:val="14"/>
                <w:color w:val="auto"/>
              </w:rPr>
            </w:pPr>
          </w:p>
        </w:tc>
        <w:tc>
          <w:tcPr>
            <w:tcW w:w="10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20" w:type="dxa"/>
            <w:vAlign w:val="bottom"/>
          </w:tcPr>
          <w:p>
            <w:pPr>
              <w:spacing w:after="0"/>
              <w:rPr>
                <w:sz w:val="14"/>
                <w:szCs w:val="14"/>
                <w:color w:val="auto"/>
              </w:rPr>
            </w:pPr>
          </w:p>
        </w:tc>
        <w:tc>
          <w:tcPr>
            <w:tcW w:w="1240" w:type="dxa"/>
            <w:vAlign w:val="bottom"/>
            <w:gridSpan w:val="3"/>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10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 w:type="dxa"/>
            <w:vAlign w:val="bottom"/>
          </w:tcPr>
          <w:p>
            <w:pPr>
              <w:spacing w:after="0"/>
              <w:rPr>
                <w:sz w:val="14"/>
                <w:szCs w:val="14"/>
                <w:color w:val="auto"/>
              </w:rPr>
            </w:pPr>
          </w:p>
        </w:tc>
      </w:tr>
      <w:tr>
        <w:trPr>
          <w:trHeight w:val="194"/>
        </w:trPr>
        <w:tc>
          <w:tcPr>
            <w:tcW w:w="7280" w:type="dxa"/>
            <w:vAlign w:val="bottom"/>
          </w:tcPr>
          <w:p>
            <w:pPr>
              <w:jc w:val="right"/>
              <w:ind w:right="5643"/>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208"/>
        </w:trPr>
        <w:tc>
          <w:tcPr>
            <w:tcW w:w="7280" w:type="dxa"/>
            <w:vAlign w:val="bottom"/>
          </w:tcPr>
          <w:p>
            <w:pPr>
              <w:jc w:val="right"/>
              <w:ind w:right="163"/>
              <w:spacing w:after="0" w:line="208" w:lineRule="exact"/>
              <w:rPr>
                <w:sz w:val="20"/>
                <w:szCs w:val="20"/>
                <w:color w:val="auto"/>
              </w:rPr>
            </w:pPr>
            <w:r>
              <w:rPr>
                <w:rFonts w:ascii="Times New Roman" w:cs="Times New Roman" w:eastAsia="Times New Roman" w:hAnsi="Times New Roman"/>
                <w:sz w:val="20"/>
                <w:szCs w:val="20"/>
                <w:color w:val="auto"/>
              </w:rPr>
              <w:t>. . . . . . . . . . . . . . . . . . . . . . . . . . . . . . . . . . . . . . .Netcashprovidedbyoperatingactivities</w:t>
            </w:r>
          </w:p>
        </w:tc>
        <w:tc>
          <w:tcPr>
            <w:tcW w:w="240" w:type="dxa"/>
            <w:vAlign w:val="bottom"/>
          </w:tcPr>
          <w:p>
            <w:pPr>
              <w:jc w:val="right"/>
              <w:ind w:right="47"/>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602</w:t>
            </w:r>
          </w:p>
        </w:tc>
        <w:tc>
          <w:tcPr>
            <w:tcW w:w="220" w:type="dxa"/>
            <w:vAlign w:val="bottom"/>
          </w:tcPr>
          <w:p>
            <w:pPr>
              <w:spacing w:after="0"/>
              <w:rPr>
                <w:sz w:val="18"/>
                <w:szCs w:val="18"/>
                <w:color w:val="auto"/>
              </w:rPr>
            </w:pPr>
          </w:p>
        </w:tc>
        <w:tc>
          <w:tcPr>
            <w:tcW w:w="220" w:type="dxa"/>
            <w:vAlign w:val="bottom"/>
          </w:tcPr>
          <w:p>
            <w:pPr>
              <w:jc w:val="right"/>
              <w:ind w:right="30"/>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400</w:t>
            </w:r>
          </w:p>
        </w:tc>
        <w:tc>
          <w:tcPr>
            <w:tcW w:w="220" w:type="dxa"/>
            <w:vAlign w:val="bottom"/>
          </w:tcPr>
          <w:p>
            <w:pPr>
              <w:spacing w:after="0"/>
              <w:rPr>
                <w:sz w:val="18"/>
                <w:szCs w:val="18"/>
                <w:color w:val="auto"/>
              </w:rPr>
            </w:pPr>
          </w:p>
        </w:tc>
        <w:tc>
          <w:tcPr>
            <w:tcW w:w="220" w:type="dxa"/>
            <w:vAlign w:val="bottom"/>
          </w:tcPr>
          <w:p>
            <w:pPr>
              <w:jc w:val="right"/>
              <w:ind w:right="27"/>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394</w:t>
            </w:r>
          </w:p>
        </w:tc>
        <w:tc>
          <w:tcPr>
            <w:tcW w:w="20" w:type="dxa"/>
            <w:vAlign w:val="bottom"/>
          </w:tcPr>
          <w:p>
            <w:pPr>
              <w:spacing w:after="0"/>
              <w:rPr>
                <w:sz w:val="18"/>
                <w:szCs w:val="18"/>
                <w:color w:val="auto"/>
              </w:rPr>
            </w:pPr>
          </w:p>
        </w:tc>
      </w:tr>
      <w:tr>
        <w:trPr>
          <w:trHeight w:val="230"/>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w w:val="97"/>
              </w:rPr>
              <w:t>Net cash used in investing activities . . . . . . . . . . . . . . . . . . . . . . . . . . . . . . . . . . . . . . . . . .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(120)</w:t>
            </w: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(98)</w:t>
            </w:r>
          </w:p>
        </w:tc>
      </w:tr>
      <w:tr>
        <w:trPr>
          <w:trHeight w:val="229"/>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w w:val="97"/>
              </w:rPr>
              <w:t>Net cash used in financing activities . . . . . . . . . . . . . . . . . . . . . . . . . . . . . . . . . . . . . . . . . . .</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(66)</w:t>
            </w: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w:t>
            </w:r>
          </w:p>
        </w:tc>
      </w:tr>
      <w:tr>
        <w:trPr>
          <w:trHeight w:val="241"/>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w w:val="99"/>
              </w:rPr>
              <w:t>Effect of foreign exchange rate changes on cash and cash equivalents . . . . . . . . . . . . . .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w:t>
            </w: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r>
      <w:tr>
        <w:trPr>
          <w:trHeight w:val="276"/>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 . . . . . . . . . . . . . . . . . . . . . . . . .</w:t>
            </w:r>
            <w:r>
              <w:rPr>
                <w:rFonts w:ascii="Times New Roman" w:cs="Times New Roman" w:eastAsia="Times New Roman" w:hAnsi="Times New Roman"/>
                <w:sz w:val="20"/>
                <w:szCs w:val="20"/>
                <w:b w:val="1"/>
                <w:bCs w:val="1"/>
                <w:color w:val="auto"/>
              </w:rPr>
              <w:t>Increaseincash,cashequivalentsandrestrictedcash</w:t>
            </w:r>
          </w:p>
        </w:tc>
        <w:tc>
          <w:tcPr>
            <w:tcW w:w="24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422</w:t>
            </w:r>
          </w:p>
        </w:tc>
        <w:tc>
          <w:tcPr>
            <w:tcW w:w="220" w:type="dxa"/>
            <w:vAlign w:val="bottom"/>
          </w:tcPr>
          <w:p>
            <w:pPr>
              <w:spacing w:after="0"/>
              <w:rPr>
                <w:sz w:val="23"/>
                <w:szCs w:val="23"/>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212</w:t>
            </w:r>
          </w:p>
        </w:tc>
        <w:tc>
          <w:tcPr>
            <w:tcW w:w="220" w:type="dxa"/>
            <w:vAlign w:val="bottom"/>
          </w:tcPr>
          <w:p>
            <w:pPr>
              <w:spacing w:after="0"/>
              <w:rPr>
                <w:sz w:val="23"/>
                <w:szCs w:val="23"/>
                <w:color w:val="auto"/>
              </w:rPr>
            </w:pPr>
          </w:p>
        </w:tc>
        <w:tc>
          <w:tcPr>
            <w:tcW w:w="22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191</w:t>
            </w:r>
          </w:p>
        </w:tc>
        <w:tc>
          <w:tcPr>
            <w:tcW w:w="2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800"/>
          </w:cols>
          <w:pgMar w:left="540" w:top="1350" w:right="540" w:bottom="0" w:gutter="0" w:footer="0" w:header="0"/>
          <w:type w:val="continuous"/>
        </w:sectPr>
      </w:pPr>
    </w:p>
    <w:bookmarkStart w:id="93" w:name="page94"/>
    <w:bookmarkEnd w:id="93"/>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For 2025 compared to 2024, the $202 million increase in cash provided by operating activities was mainly due to an increase in revenue as well as a decrease in inventories compared to an increase in the prior year period, partially offset by a decrease in trade accounts receivable compared to the prior year period.</w:t>
      </w:r>
    </w:p>
    <w:p>
      <w:pPr>
        <w:spacing w:after="0" w:line="183"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For 2024 compared to 2023, the $ 6 million increase in cash provided by operating activities was mainly due to a lower increase in inventories compared to the prior year period during which the company rebuilt its strategic inventory of EyeQ™ chips and a decrease in accounts receivable due to reduction in revenue. This was mostly offset by an increase of $3,063 million in net loss, which was adjusted by $2,695 million of non-cash goodwill impairment loss.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Net cash used in investing activities in 2025 was $91 million, consisting of capital expenditures and debt investments.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Net cash used in investing activities in 2024 was $120 million, consisting mostly of capital expenditures and purchases of debt and equity investments.</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Net cash used in investing activities in 2023 was $98 million, consisting of capital expenditures in connection with the construction of our campus and electronic equipment.</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Net cash used in financing activities in 2025 was $106 million, consisting of the $100 million Share Repurchase from Intel and share-based compensation recharge payments made to Intel.</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Net cash used in financing activities in 2024 and 2023 was $66 million and $100 million, respectively, consisting of share-based compensation recharge payments made to Intel.</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Liability in respect of employee rights upon retirement</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91"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Severance pay liability increased from $62 million as of December 28, 2024, to $78 million and as of December 27, 2025, reflecting the impact of annual salary increases and fluctuations in foreign exchange rates.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Lease liabilities</w:t>
      </w:r>
    </w:p>
    <w:p>
      <w:pPr>
        <w:spacing w:after="0" w:line="23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800"/>
          </w:cols>
          <w:pgMar w:left="540" w:top="1350" w:right="540" w:bottom="0" w:gutter="0" w:footer="0" w:header="0"/>
          <w:type w:val="continuous"/>
        </w:sectPr>
      </w:pPr>
    </w:p>
    <w:bookmarkStart w:id="94" w:name="page95"/>
    <w:bookmarkEnd w:id="94"/>
    <w:p>
      <w:pPr>
        <w:jc w:val="both"/>
        <w:spacing w:after="0" w:line="280" w:lineRule="auto"/>
        <w:rPr>
          <w:sz w:val="20"/>
          <w:szCs w:val="20"/>
          <w:color w:val="auto"/>
        </w:rPr>
      </w:pPr>
      <w:r>
        <w:rPr>
          <w:rFonts w:ascii="Times New Roman" w:cs="Times New Roman" w:eastAsia="Times New Roman" w:hAnsi="Times New Roman"/>
          <w:sz w:val="20"/>
          <w:szCs w:val="20"/>
          <w:color w:val="auto"/>
        </w:rPr>
        <w:t>increased from $50 million as of December 28, 2024 to $62 million as of December 27, 2025, reflecting mainly new lease contracts and foreign currency exchange effects, partially offset by the progress in lease payments for existing arrangements.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Indebtedness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have several bank guarantees aggregating approximately $20 million as of December 27, 2025 (denominated in New Israeli Shekels) mainly in connection with lease agreements and import of vehicles.</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4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Our management uses Adjusted Gross Profit and Margin, Adjusted Operating Income (Loss) and Margin and Adjusted Net Income (Loss),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included elsewhere in this report.</w:t>
      </w:r>
    </w:p>
    <w:p>
      <w:pPr>
        <w:spacing w:after="0" w:line="190"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believe excluding items that neither relate to the ordinary course of business nor reflect our underlying business performance, such as the amortization of intangible assets, enables management and our investors to compare our underlying business performance from period -to-period.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94" w:lineRule="exact"/>
        <w:rPr>
          <w:sz w:val="20"/>
          <w:szCs w:val="20"/>
          <w:color w:val="auto"/>
        </w:rPr>
      </w:pPr>
    </w:p>
    <w:p>
      <w:pPr>
        <w:jc w:val="both"/>
        <w:ind w:firstLine="361"/>
        <w:spacing w:after="0" w:line="257" w:lineRule="auto"/>
        <w:rPr>
          <w:sz w:val="20"/>
          <w:szCs w:val="20"/>
          <w:color w:val="auto"/>
        </w:rPr>
      </w:pPr>
      <w:r>
        <w:rPr>
          <w:rFonts w:ascii="Times New Roman" w:cs="Times New Roman" w:eastAsia="Times New Roman" w:hAnsi="Times New Roman"/>
          <w:sz w:val="19"/>
          <w:szCs w:val="19"/>
          <w:color w:val="auto"/>
        </w:rPr>
        <w:t>Our non-GAAP financial measures reflect adjustments for amortization charges for our acquisition-related intangible assets, share-based compensation expense, impairment of goodwill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 We believe that the exclusion of goodwill impairment is appropriate because it does not reflect our core operating performance, and excluding such non-cash impairment loss facilitates a useful evaluation of our performance and comparisons to past operating results.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800"/>
          </w:cols>
          <w:pgMar w:left="540" w:top="1347" w:right="540" w:bottom="0" w:gutter="0" w:footer="0" w:header="0"/>
          <w:type w:val="continuous"/>
        </w:sectPr>
      </w:pPr>
    </w:p>
    <w:bookmarkStart w:id="95" w:name="page96"/>
    <w:bookmarkEnd w:id="95"/>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Adjusted Gross Profit and Margin</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Set forth below is the reconciliation of gross profit to Adjusted Gross Profit and the calculations of Gross Margin and Adjusted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7"/>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65"/>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7"/>
          </w:tcPr>
          <w:p>
            <w:pPr>
              <w:jc w:val="center"/>
              <w:ind w:right="460"/>
              <w:spacing w:after="0" w:line="16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40" w:type="dxa"/>
            <w:vAlign w:val="bottom"/>
          </w:tcPr>
          <w:p>
            <w:pPr>
              <w:spacing w:after="0"/>
              <w:rPr>
                <w:sz w:val="14"/>
                <w:szCs w:val="14"/>
                <w:color w:val="auto"/>
              </w:rPr>
            </w:pPr>
          </w:p>
        </w:tc>
        <w:tc>
          <w:tcPr>
            <w:tcW w:w="1680" w:type="dxa"/>
            <w:vAlign w:val="bottom"/>
            <w:gridSpan w:val="7"/>
          </w:tcPr>
          <w:p>
            <w:pPr>
              <w:jc w:val="center"/>
              <w:ind w:right="460"/>
              <w:spacing w:after="0" w:line="16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0" w:type="dxa"/>
            <w:vAlign w:val="bottom"/>
          </w:tcPr>
          <w:p>
            <w:pPr>
              <w:spacing w:after="0"/>
              <w:rPr>
                <w:sz w:val="14"/>
                <w:szCs w:val="14"/>
                <w:color w:val="auto"/>
              </w:rPr>
            </w:pPr>
          </w:p>
        </w:tc>
        <w:tc>
          <w:tcPr>
            <w:tcW w:w="1360" w:type="dxa"/>
            <w:vAlign w:val="bottom"/>
            <w:gridSpan w:val="4"/>
          </w:tcPr>
          <w:p>
            <w:pPr>
              <w:jc w:val="center"/>
              <w:ind w:right="48"/>
              <w:spacing w:after="0" w:line="16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3"/>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55"/>
        </w:trPr>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13"/>
                <w:szCs w:val="13"/>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09"/>
        </w:trPr>
        <w:tc>
          <w:tcPr>
            <w:tcW w:w="5500" w:type="dxa"/>
            <w:vAlign w:val="bottom"/>
            <w:gridSpan w:val="2"/>
          </w:tcPr>
          <w:p>
            <w:pPr>
              <w:jc w:val="right"/>
              <w:ind w:right="32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.GrossProfitandMargin</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ind w:left="360"/>
              <w:spacing w:after="0" w:line="209" w:lineRule="exact"/>
              <w:rPr>
                <w:sz w:val="20"/>
                <w:szCs w:val="20"/>
                <w:color w:val="auto"/>
              </w:rPr>
            </w:pPr>
            <w:r>
              <w:rPr>
                <w:rFonts w:ascii="Times New Roman" w:cs="Times New Roman" w:eastAsia="Times New Roman" w:hAnsi="Times New Roman"/>
                <w:sz w:val="20"/>
                <w:szCs w:val="20"/>
                <w:color w:val="auto"/>
              </w:rPr>
              <w:t>48</w:t>
            </w:r>
          </w:p>
        </w:tc>
        <w:tc>
          <w:tcPr>
            <w:tcW w:w="2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741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gridSpan w:val="2"/>
          </w:tcPr>
          <w:p>
            <w:pPr>
              <w:ind w:left="360"/>
              <w:spacing w:after="0" w:line="209" w:lineRule="exact"/>
              <w:rPr>
                <w:sz w:val="20"/>
                <w:szCs w:val="20"/>
                <w:color w:val="auto"/>
              </w:rPr>
            </w:pPr>
            <w:r>
              <w:rPr>
                <w:rFonts w:ascii="Times New Roman" w:cs="Times New Roman" w:eastAsia="Times New Roman" w:hAnsi="Times New Roman"/>
                <w:sz w:val="20"/>
                <w:szCs w:val="20"/>
                <w:color w:val="auto"/>
              </w:rPr>
              <w:t>45</w:t>
            </w:r>
          </w:p>
        </w:tc>
        <w:tc>
          <w:tcPr>
            <w:tcW w:w="2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1,047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ind w:left="360"/>
              <w:spacing w:after="0" w:line="209" w:lineRule="exact"/>
              <w:rPr>
                <w:sz w:val="20"/>
                <w:szCs w:val="20"/>
                <w:color w:val="auto"/>
              </w:rPr>
            </w:pPr>
            <w:r>
              <w:rPr>
                <w:rFonts w:ascii="Times New Roman" w:cs="Times New Roman" w:eastAsia="Times New Roman" w:hAnsi="Times New Roman"/>
                <w:sz w:val="20"/>
                <w:szCs w:val="20"/>
                <w:color w:val="auto"/>
              </w:rPr>
              <w:t>50</w:t>
            </w:r>
          </w:p>
        </w:tc>
        <w:tc>
          <w:tcPr>
            <w:tcW w:w="20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w:t>
            </w:r>
          </w:p>
        </w:tc>
      </w:tr>
      <w:tr>
        <w:trPr>
          <w:trHeight w:val="229"/>
        </w:trPr>
        <w:tc>
          <w:tcPr>
            <w:tcW w:w="55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Add: Amortization of acquired intangible assets . . . . . . . . . . . . . .</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10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20 %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1080" w:type="dxa"/>
            <w:vAlign w:val="bottom"/>
            <w:gridSpan w:val="5"/>
          </w:tcPr>
          <w:p>
            <w:pPr>
              <w:ind w:left="520"/>
              <w:spacing w:after="0"/>
              <w:rPr>
                <w:sz w:val="20"/>
                <w:szCs w:val="20"/>
                <w:color w:val="auto"/>
              </w:rPr>
            </w:pPr>
            <w:r>
              <w:rPr>
                <w:rFonts w:ascii="Times New Roman" w:cs="Times New Roman" w:eastAsia="Times New Roman" w:hAnsi="Times New Roman"/>
                <w:sz w:val="20"/>
                <w:szCs w:val="20"/>
                <w:color w:val="auto"/>
              </w:rPr>
              <w:t>23 %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100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20 %</w:t>
            </w:r>
          </w:p>
        </w:tc>
      </w:tr>
      <w:tr>
        <w:trPr>
          <w:trHeight w:val="241"/>
        </w:trPr>
        <w:tc>
          <w:tcPr>
            <w:tcW w:w="55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Add: Share-based compensation expense . . . . . . . . . . . . . . . . . . . .</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 %</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4"/>
          </w:tcPr>
          <w:p>
            <w:pPr>
              <w:ind w:left="360"/>
              <w:spacing w:after="0"/>
              <w:rPr>
                <w:sz w:val="20"/>
                <w:szCs w:val="20"/>
                <w:color w:val="auto"/>
              </w:rPr>
            </w:pPr>
            <w:r>
              <w:rPr>
                <w:rFonts w:ascii="Times New Roman" w:cs="Times New Roman" w:eastAsia="Times New Roman" w:hAnsi="Times New Roman"/>
                <w:sz w:val="20"/>
                <w:szCs w:val="20"/>
                <w:color w:val="auto"/>
              </w:rPr>
              <w:t>— %</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 %</w:t>
            </w:r>
          </w:p>
        </w:tc>
      </w:tr>
      <w:tr>
        <w:trPr>
          <w:trHeight w:val="240"/>
        </w:trPr>
        <w:tc>
          <w:tcPr>
            <w:tcW w:w="5480" w:type="dxa"/>
            <w:vAlign w:val="bottom"/>
          </w:tcPr>
          <w:p>
            <w:pPr>
              <w:jc w:val="right"/>
              <w:ind w:right="204"/>
              <w:spacing w:after="0"/>
              <w:rPr>
                <w:sz w:val="20"/>
                <w:szCs w:val="20"/>
                <w:color w:val="auto"/>
              </w:rPr>
            </w:pPr>
            <w:r>
              <w:rPr>
                <w:rFonts w:ascii="Times New Roman" w:cs="Times New Roman" w:eastAsia="Times New Roman" w:hAnsi="Times New Roman"/>
                <w:sz w:val="20"/>
                <w:szCs w:val="20"/>
                <w:b w:val="1"/>
                <w:bCs w:val="1"/>
                <w:color w:val="auto"/>
                <w:w w:val="98"/>
              </w:rPr>
              <w:t xml:space="preserve">Adjusted Gross Profit and Margin </w:t>
            </w:r>
            <w:r>
              <w:rPr>
                <w:rFonts w:ascii="Times New Roman" w:cs="Times New Roman" w:eastAsia="Times New Roman" w:hAnsi="Times New Roman"/>
                <w:sz w:val="20"/>
                <w:szCs w:val="20"/>
                <w:color w:val="auto"/>
                <w:w w:val="98"/>
              </w:rPr>
              <w:t>.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1,283</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68</w:t>
            </w:r>
          </w:p>
        </w:tc>
        <w:tc>
          <w:tcPr>
            <w:tcW w:w="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1,119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0"/>
                <w:szCs w:val="20"/>
                <w:b w:val="1"/>
                <w:bCs w:val="1"/>
                <w:color w:val="auto"/>
              </w:rPr>
              <w:t>68</w:t>
            </w:r>
          </w:p>
        </w:tc>
        <w:tc>
          <w:tcPr>
            <w:tcW w:w="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1,455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70</w:t>
            </w:r>
          </w:p>
        </w:tc>
        <w:tc>
          <w:tcPr>
            <w:tcW w:w="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89"/>
              </w:rPr>
              <w:t>%</w:t>
            </w:r>
          </w:p>
        </w:tc>
      </w:tr>
    </w:tbl>
    <w:p>
      <w:pPr>
        <w:spacing w:after="0" w:line="20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Our Gross Margin (gross profit as a percentage of revenue) and Adjusted Gross Margin (Adjusted Gross Profit as a percentage of revenue) reflect the high value-added nature of our solutions. As we develop and sell full systems that include hardware beyond EyeQ™ SoCs, we expect that our Gross Margin and Adjusted Gross Margin will decrease over time because of the greater hardware content included in our solutions. However, as a result of a higher expected selling price for such systems, we expect our gross profit per unit will increase on a dollar basis.</w:t>
      </w:r>
    </w:p>
    <w:p>
      <w:pPr>
        <w:spacing w:after="0" w:line="19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Adjusted Gross Margin was 68% both in 2024 and in 2025. This was due to a higher EyeQ™-related cost per unit given the different mix of EyeQ™ products sold which was fully offset by the higher percentage of revenue attributed to EyeQ™.</w:t>
      </w:r>
    </w:p>
    <w:p>
      <w:pPr>
        <w:spacing w:after="0" w:line="16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Adjusted Gross Margin decreased from 70% for 2023 to 68% for 2024. The decrease was primarily due to the downward impact of the increased cost per unit of our EyeQ™ SoCs due to mix effects. The decrease was also related to higher percentage of revenue attributable to SuperVision™.</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Adjusted Operating Income (Loss) and Margin</w:t>
      </w:r>
    </w:p>
    <w:p>
      <w:pPr>
        <w:spacing w:after="0" w:line="2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define Adjusted Operating Income (Loss) as operating income (loss) presented in accordance with GAAP, adjusted to exclude amortization of acquisition related intangibles and share-based compensation expenses and impairment of goodwill. Operating Margin is calculated as operating income (loss) divided by total revenue, and Adjusted Operating Margin is calculated as Adjusted Operating Income (Loss) divided by total revenue.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is the reconciliation of operating income (loss) to Adjusted Operating Income (Loss) and the calculations of</w:t>
      </w:r>
    </w:p>
    <w:p>
      <w:pPr>
        <w:spacing w:after="0"/>
        <w:rPr>
          <w:sz w:val="20"/>
          <w:szCs w:val="20"/>
          <w:color w:val="auto"/>
        </w:rPr>
      </w:pPr>
      <w:r>
        <w:rPr>
          <w:rFonts w:ascii="Times New Roman" w:cs="Times New Roman" w:eastAsia="Times New Roman" w:hAnsi="Times New Roman"/>
          <w:sz w:val="20"/>
          <w:szCs w:val="20"/>
          <w:color w:val="auto"/>
        </w:rPr>
        <w:t>Operating Margin and Adjusted Operating Margin: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65"/>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ind w:left="120"/>
              <w:spacing w:after="0" w:line="16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Pr>
          <w:p>
            <w:pPr>
              <w:spacing w:after="0"/>
              <w:rPr>
                <w:sz w:val="14"/>
                <w:szCs w:val="14"/>
                <w:color w:val="auto"/>
              </w:rPr>
            </w:pPr>
          </w:p>
        </w:tc>
        <w:tc>
          <w:tcPr>
            <w:tcW w:w="1680" w:type="dxa"/>
            <w:vAlign w:val="bottom"/>
            <w:gridSpan w:val="6"/>
          </w:tcPr>
          <w:p>
            <w:pPr>
              <w:jc w:val="center"/>
              <w:ind w:right="420"/>
              <w:spacing w:after="0" w:line="16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right"/>
              <w:ind w:right="186"/>
              <w:spacing w:after="0" w:line="16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0" w:type="dxa"/>
            <w:vAlign w:val="bottom"/>
          </w:tcPr>
          <w:p>
            <w:pPr>
              <w:spacing w:after="0"/>
              <w:rPr>
                <w:sz w:val="14"/>
                <w:szCs w:val="14"/>
                <w:color w:val="auto"/>
              </w:rPr>
            </w:pPr>
          </w:p>
        </w:tc>
      </w:tr>
      <w:tr>
        <w:trPr>
          <w:trHeight w:val="203"/>
        </w:trPr>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486"/>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center"/>
              <w:ind w:left="3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r>
      <w:tr>
        <w:trPr>
          <w:trHeight w:val="155"/>
        </w:trPr>
        <w:tc>
          <w:tcPr>
            <w:tcW w:w="5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jc w:val="right"/>
              <w:ind w:right="66"/>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3"/>
                <w:szCs w:val="13"/>
                <w:color w:val="auto"/>
              </w:rPr>
            </w:pPr>
          </w:p>
        </w:tc>
      </w:tr>
      <w:tr>
        <w:trPr>
          <w:trHeight w:val="193"/>
        </w:trPr>
        <w:tc>
          <w:tcPr>
            <w:tcW w:w="5460" w:type="dxa"/>
            <w:vAlign w:val="bottom"/>
          </w:tcPr>
          <w:p>
            <w:pPr>
              <w:jc w:val="right"/>
              <w:ind w:right="3823"/>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0" w:type="dxa"/>
            <w:vAlign w:val="bottom"/>
          </w:tcPr>
          <w:p>
            <w:pPr>
              <w:spacing w:after="0"/>
              <w:rPr>
                <w:sz w:val="16"/>
                <w:szCs w:val="16"/>
                <w:color w:val="auto"/>
              </w:rPr>
            </w:pP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9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5"/>
              </w:rPr>
              <w:t>Revenue</w:t>
            </w:r>
          </w:p>
        </w:tc>
        <w:tc>
          <w:tcPr>
            <w:tcW w:w="20" w:type="dxa"/>
            <w:vAlign w:val="bottom"/>
          </w:tcPr>
          <w:p>
            <w:pPr>
              <w:spacing w:after="0"/>
              <w:rPr>
                <w:sz w:val="16"/>
                <w:szCs w:val="16"/>
                <w:color w:val="auto"/>
              </w:rPr>
            </w:pP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Revenue</w:t>
            </w:r>
          </w:p>
        </w:tc>
      </w:tr>
      <w:tr>
        <w:trPr>
          <w:trHeight w:val="209"/>
        </w:trPr>
        <w:tc>
          <w:tcPr>
            <w:tcW w:w="5460" w:type="dxa"/>
            <w:vAlign w:val="bottom"/>
          </w:tcPr>
          <w:p>
            <w:pPr>
              <w:jc w:val="right"/>
              <w:ind w:right="183"/>
              <w:spacing w:after="0" w:line="209" w:lineRule="exact"/>
              <w:rPr>
                <w:sz w:val="20"/>
                <w:szCs w:val="20"/>
                <w:color w:val="auto"/>
              </w:rPr>
            </w:pPr>
            <w:r>
              <w:rPr>
                <w:rFonts w:ascii="Times New Roman" w:cs="Times New Roman" w:eastAsia="Times New Roman" w:hAnsi="Times New Roman"/>
                <w:sz w:val="20"/>
                <w:szCs w:val="20"/>
                <w:color w:val="auto"/>
              </w:rPr>
              <w:t>. . . . . . . . . . . . . . . . . . . . . . .OperatingIncome(Loss)andMargin</w:t>
            </w: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(440)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(23)</w:t>
            </w:r>
          </w:p>
        </w:tc>
        <w:tc>
          <w:tcPr>
            <w:tcW w:w="300" w:type="dxa"/>
            <w:vAlign w:val="bottom"/>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(3,225)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(195)</w:t>
            </w:r>
          </w:p>
        </w:tc>
        <w:tc>
          <w:tcPr>
            <w:tcW w:w="30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3"/>
              </w:rPr>
              <w:t>%</w:t>
            </w:r>
          </w:p>
        </w:tc>
      </w:tr>
      <w:tr>
        <w:trPr>
          <w:trHeight w:val="230"/>
        </w:trPr>
        <w:tc>
          <w:tcPr>
            <w:tcW w:w="546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w w:val="98"/>
              </w:rPr>
              <w:t>Add: Amortization of acquired intangible assets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27 %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r>
      <w:tr>
        <w:trPr>
          <w:trHeight w:val="229"/>
        </w:trPr>
        <w:tc>
          <w:tcPr>
            <w:tcW w:w="546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w w:val="97"/>
              </w:rPr>
              <w:t>Add: Share-based compensation expense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17 %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r>
      <w:tr>
        <w:trPr>
          <w:trHeight w:val="241"/>
        </w:trPr>
        <w:tc>
          <w:tcPr>
            <w:tcW w:w="546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w w:val="97"/>
              </w:rPr>
              <w:t>Add: Goodwill impairment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163 %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40"/>
        </w:trPr>
        <w:tc>
          <w:tcPr>
            <w:tcW w:w="546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 . . . . . . . . . . .</w:t>
            </w:r>
            <w:r>
              <w:rPr>
                <w:rFonts w:ascii="Times New Roman" w:cs="Times New Roman" w:eastAsia="Times New Roman" w:hAnsi="Times New Roman"/>
                <w:sz w:val="20"/>
                <w:szCs w:val="20"/>
                <w:b w:val="1"/>
                <w:bCs w:val="1"/>
                <w:color w:val="auto"/>
              </w:rPr>
              <w:t>AdjustedOperatingIncome(Loss)andMargin</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693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r>
    </w:tbl>
    <w:p>
      <w:pPr>
        <w:spacing w:after="0" w:line="200" w:lineRule="exact"/>
        <w:rPr>
          <w:sz w:val="20"/>
          <w:szCs w:val="20"/>
          <w:color w:val="auto"/>
        </w:rPr>
      </w:pP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800"/>
          </w:cols>
          <w:pgMar w:left="540" w:top="1350" w:right="540" w:bottom="0" w:gutter="0" w:footer="0" w:header="0"/>
          <w:type w:val="continuous"/>
        </w:sectPr>
      </w:pPr>
    </w:p>
    <w:bookmarkStart w:id="96" w:name="page97"/>
    <w:bookmarkEnd w:id="96"/>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operating loss decreased by $2,785 million in 2025 compared to 2024, and increased by $3,192 million in 2024 compared to 2023, mainly as a result of the goodwill impairment loss recognized during the third quarter of 2024.</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Adjusted Operating Income increased by $87 million in 2025 compared to 2024, primarily due to an increase in adjusted gross profit, partially offset by higher operating expenses. Our Adjusted Operating Income decreased by $500 million in 2024 compared to 2023, primarily due to a reduction in revenue, and an increase in operating expenses.</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Adjusted Operating Margin increased from 12% in 2024 to 15% in 2025, primarily due to a lower impact of operating expenses as a percentage of revenue. Our Adjusted Operating Margin decreased from 33% in 2023 to 12% in 2024, primarily due to a higher operating expenses on a lower revenue base, in addition to lower Adjusted Gross Margin.</w:t>
      </w:r>
    </w:p>
    <w:p>
      <w:pPr>
        <w:spacing w:after="0" w:line="186"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We expect that our Adjusted Operating Margin in the mid-term future will increase compared to 2025, mainly due to an expected decrease in operating expenses as a percentage of revenue, taking into account an expected decrease in Adjusted Gross Margin over time as we develop and sell full system solutions contributing higher gross profit dollars per unit but lower percentage Gross Margin given the greater hardware content included in these systems.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 (Loss)</w:t>
      </w:r>
    </w:p>
    <w:p>
      <w:pPr>
        <w:spacing w:after="0" w:line="23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define Adjusted Net Income (Loss) as net income (loss) presented in accordance with GAAP, adjusted to exclude amortization of acquisition related intangibles and share-based compensation expenses and impairment of goodwill,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and impairment of goodwill.</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is the reconciliation of net income (loss) to Adjusted Net Income (Loss):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65"/>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7"/>
          </w:tcPr>
          <w:p>
            <w:pPr>
              <w:ind w:left="100"/>
              <w:spacing w:after="0" w:line="16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20" w:type="dxa"/>
            <w:vAlign w:val="bottom"/>
          </w:tcPr>
          <w:p>
            <w:pPr>
              <w:spacing w:after="0"/>
              <w:rPr>
                <w:sz w:val="14"/>
                <w:szCs w:val="14"/>
                <w:color w:val="auto"/>
              </w:rPr>
            </w:pPr>
          </w:p>
        </w:tc>
        <w:tc>
          <w:tcPr>
            <w:tcW w:w="1680" w:type="dxa"/>
            <w:vAlign w:val="bottom"/>
            <w:gridSpan w:val="6"/>
          </w:tcPr>
          <w:p>
            <w:pPr>
              <w:jc w:val="center"/>
              <w:ind w:right="420"/>
              <w:spacing w:after="0" w:line="16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80" w:type="dxa"/>
            <w:vAlign w:val="bottom"/>
          </w:tcPr>
          <w:p>
            <w:pPr>
              <w:spacing w:after="0"/>
              <w:rPr>
                <w:sz w:val="14"/>
                <w:szCs w:val="14"/>
                <w:color w:val="auto"/>
              </w:rPr>
            </w:pPr>
          </w:p>
        </w:tc>
        <w:tc>
          <w:tcPr>
            <w:tcW w:w="1300" w:type="dxa"/>
            <w:vAlign w:val="bottom"/>
            <w:gridSpan w:val="4"/>
          </w:tcPr>
          <w:p>
            <w:pPr>
              <w:jc w:val="right"/>
              <w:ind w:right="185"/>
              <w:spacing w:after="0" w:line="16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0" w:type="dxa"/>
            <w:vAlign w:val="bottom"/>
          </w:tcPr>
          <w:p>
            <w:pPr>
              <w:spacing w:after="0"/>
              <w:rPr>
                <w:sz w:val="14"/>
                <w:szCs w:val="14"/>
                <w:color w:val="auto"/>
              </w:rPr>
            </w:pPr>
          </w:p>
        </w:tc>
      </w:tr>
      <w:tr>
        <w:trPr>
          <w:trHeight w:val="203"/>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r>
      <w:tr>
        <w:trPr>
          <w:trHeight w:val="155"/>
        </w:trPr>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ind w:right="65"/>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3"/>
                <w:szCs w:val="13"/>
                <w:color w:val="auto"/>
              </w:rPr>
            </w:pPr>
          </w:p>
        </w:tc>
      </w:tr>
      <w:tr>
        <w:trPr>
          <w:trHeight w:val="19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r>
      <w:tr>
        <w:trPr>
          <w:trHeight w:val="209"/>
        </w:trPr>
        <w:tc>
          <w:tcPr>
            <w:tcW w:w="5500" w:type="dxa"/>
            <w:vAlign w:val="bottom"/>
            <w:gridSpan w:val="2"/>
          </w:tcPr>
          <w:p>
            <w:pPr>
              <w:jc w:val="right"/>
              <w:ind w:right="32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.NetIncome(Loss)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(21)</w:t>
            </w:r>
          </w:p>
        </w:tc>
        <w:tc>
          <w:tcPr>
            <w:tcW w:w="260" w:type="dxa"/>
            <w:vAlign w:val="bottom"/>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71"/>
              </w:rPr>
              <w:t>%</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99"/>
              </w:rPr>
              <w:t>(3,090)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(187)</w:t>
            </w:r>
          </w:p>
        </w:tc>
        <w:tc>
          <w:tcPr>
            <w:tcW w:w="2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3"/>
              </w:rPr>
              <w:t>%</w:t>
            </w:r>
          </w:p>
        </w:tc>
      </w:tr>
      <w:tr>
        <w:trPr>
          <w:trHeight w:val="230"/>
        </w:trPr>
        <w:tc>
          <w:tcPr>
            <w:tcW w:w="55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Add: Amortization of acquired intangible assets . . . . . . . . . . . . . .</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23 %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27 %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r>
      <w:tr>
        <w:trPr>
          <w:trHeight w:val="229"/>
        </w:trPr>
        <w:tc>
          <w:tcPr>
            <w:tcW w:w="55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Add: Share-based compensation expense . . . . . . . . . . . . . . . . . . . .</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15 %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17 %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r>
      <w:tr>
        <w:trPr>
          <w:trHeight w:val="230"/>
        </w:trPr>
        <w:tc>
          <w:tcPr>
            <w:tcW w:w="55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Add: Goodwill impairment . . . . . . . . . . . . . . . . . . . . . . . . . . . . . . .</w:t>
            </w:r>
          </w:p>
        </w:tc>
        <w:tc>
          <w:tcPr>
            <w:tcW w:w="16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 %</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163 %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41"/>
        </w:trPr>
        <w:tc>
          <w:tcPr>
            <w:tcW w:w="55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Less: Income tax effects . . . . . . . . . . . . . . . . . . . . . . . . . . . . . . . . . .</w:t>
            </w:r>
          </w:p>
        </w:tc>
        <w:tc>
          <w:tcPr>
            <w:tcW w:w="16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(40)</w:t>
            </w: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40"/>
        </w:trPr>
        <w:tc>
          <w:tcPr>
            <w:tcW w:w="5480" w:type="dxa"/>
            <w:vAlign w:val="bottom"/>
          </w:tcPr>
          <w:p>
            <w:pPr>
              <w:jc w:val="right"/>
              <w:ind w:right="203"/>
              <w:spacing w:after="0"/>
              <w:rPr>
                <w:sz w:val="20"/>
                <w:szCs w:val="20"/>
                <w:color w:val="auto"/>
              </w:rPr>
            </w:pPr>
            <w:r>
              <w:rPr>
                <w:rFonts w:ascii="Times New Roman" w:cs="Times New Roman" w:eastAsia="Times New Roman" w:hAnsi="Times New Roman"/>
                <w:sz w:val="20"/>
                <w:szCs w:val="20"/>
                <w:b w:val="1"/>
                <w:bCs w:val="1"/>
                <w:color w:val="auto"/>
                <w:w w:val="97"/>
              </w:rPr>
              <w:t xml:space="preserve">Adjusted Net Income (Loss) </w:t>
            </w:r>
            <w:r>
              <w:rPr>
                <w:rFonts w:ascii="Times New Roman" w:cs="Times New Roman" w:eastAsia="Times New Roman" w:hAnsi="Times New Roman"/>
                <w:sz w:val="20"/>
                <w:szCs w:val="20"/>
                <w:color w:val="auto"/>
                <w:w w:val="97"/>
              </w:rPr>
              <w:t>. . . . . . . . . . . . . . . . . . . . . . . . . . . . .</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15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659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r>
    </w:tbl>
    <w:p>
      <w:pPr>
        <w:spacing w:after="0" w:line="20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net loss decreased by $2,698 million in 2025 compared to 2024, and increased by $3,063 million in 2024 compared to 2023, primarily due to the goodwill impairment loss recognized during the third quarter of 2024.</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Adjusted Net Income increased by $81 million in 2025 compared to 2024, primarily due to an increase in adjusted gross profit, partially offset by higher operating expenses. Our Adjusted Net Income decreased by $454 million in 2024 compared to 2023, primarily due to a reduction in revenue, and an increase in research and development expenses.</w:t>
      </w:r>
    </w:p>
    <w:p>
      <w:pPr>
        <w:spacing w:after="0" w:line="186"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We expect that our Adjusted Net Income (Loss) Margin (which is the Adjusted Net Income (Loss) divided by total revenue) in the mid-term future will increase compared to 2025, mainly due to an expected decrease in operating expenses as a percentage of revenue, taking into account an expected decrease in Adjusted Gross Margin over time as we develop and sell full systems solutions contributing higher gross profit dollars per unit but lower percentage Gross Margin given the greater hardware content included in these systems.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audited consolidated financial statements have been prepared in accordance with U.S. GAAP. The preparation of financial statements and related disclosures in conformity with U.S. GAAP and the Company’s discussion and analysis of its financial condition and operating results require the Company’s management to make judgments, assumptions and estimates that affect the amounts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800"/>
          </w:cols>
          <w:pgMar w:left="540" w:top="1347" w:right="540" w:bottom="0" w:gutter="0" w:footer="0" w:header="0"/>
          <w:type w:val="continuous"/>
        </w:sectPr>
      </w:pPr>
    </w:p>
    <w:bookmarkStart w:id="97" w:name="page98"/>
    <w:bookmarkEnd w:id="97"/>
    <w:p>
      <w:pPr>
        <w:jc w:val="both"/>
        <w:spacing w:after="0" w:line="280" w:lineRule="auto"/>
        <w:rPr>
          <w:sz w:val="20"/>
          <w:szCs w:val="20"/>
          <w:color w:val="auto"/>
        </w:rPr>
      </w:pPr>
      <w:r>
        <w:rPr>
          <w:rFonts w:ascii="Times New Roman" w:cs="Times New Roman" w:eastAsia="Times New Roman" w:hAnsi="Times New Roman"/>
          <w:sz w:val="20"/>
          <w:szCs w:val="20"/>
          <w:color w:val="auto"/>
        </w:rPr>
        <w:t>reported. We base our assumptions, estimates and judgments on historical experience, current trends and other factors that management believes to be relevant at the time the estimate was made.</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consolidated financial statements.</w:t>
      </w:r>
    </w:p>
    <w:p>
      <w:pPr>
        <w:spacing w:after="0" w:line="18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86" w:lineRule="exact"/>
        <w:rPr>
          <w:sz w:val="20"/>
          <w:szCs w:val="20"/>
          <w:color w:val="auto"/>
        </w:rPr>
      </w:pPr>
    </w:p>
    <w:p>
      <w:pPr>
        <w:jc w:val="both"/>
        <w:ind w:firstLine="361"/>
        <w:spacing w:after="0" w:line="249" w:lineRule="auto"/>
        <w:rPr>
          <w:sz w:val="20"/>
          <w:szCs w:val="20"/>
          <w:color w:val="auto"/>
        </w:rPr>
      </w:pPr>
      <w:r>
        <w:rPr>
          <w:rFonts w:ascii="Times New Roman" w:cs="Times New Roman" w:eastAsia="Times New Roman" w:hAnsi="Times New Roman"/>
          <w:sz w:val="20"/>
          <w:szCs w:val="20"/>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3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Our consolidated financial statements include acquisition-related intangible assets, consisting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perform an annual review of significant finite-lived identified intangible assets to make a judgment on whether facts and circumstances indicate that the carrying amount may not be recoverable and an impairment may be required.</w:t>
      </w:r>
    </w:p>
    <w:p>
      <w:pPr>
        <w:spacing w:after="0" w:line="16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During the third quarter of 2024, we performed an impairment assessment of intangible assets and concluded that the sum of the expected future undiscounted cash flows expected to be generated by the intangible assets is substantially above their carrying amount and therefore no impairment was identified. The Company did not record any impairment of intangible assets for any of the periods presented.</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38"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in accordance with ASC 350, we first assess qualitative factors to determine the existence of events or circumstances which indicate that it is more likely than not that the fair value of a reporting unit is less than its carrying amount. A quantitative impairment test is only required if we determine, based on the qualitative assessment, that it is more likely than not that a reporting unit’s fair value is less than its carrying amount.</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Qualitative factors include industry and market considerations, overall financial performance, and other relevant events and factors affecting the reporting unit.</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quantitative impairment test considers both the income approach and the market approach to estimate a reporting unit’s fair value. Significant estimates include business projections, growth rates, and discount rates based on a reporting unit’s weighted average cost of capital. The estimated fair value using a market approach is based on a number of assumptions, including current market capitalization as corroboration of fair value.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800"/>
          </w:cols>
          <w:pgMar w:left="540" w:top="1347" w:right="540" w:bottom="0" w:gutter="0" w:footer="0" w:header="0"/>
          <w:type w:val="continuous"/>
        </w:sectPr>
      </w:pPr>
    </w:p>
    <w:bookmarkStart w:id="98" w:name="page99"/>
    <w:bookmarkEnd w:id="98"/>
    <w:p>
      <w:pPr>
        <w:ind w:left="360"/>
        <w:spacing w:after="0"/>
        <w:rPr>
          <w:sz w:val="20"/>
          <w:szCs w:val="20"/>
          <w:color w:val="auto"/>
        </w:rPr>
      </w:pPr>
      <w:r>
        <w:rPr>
          <w:rFonts w:ascii="Times New Roman" w:cs="Times New Roman" w:eastAsia="Times New Roman" w:hAnsi="Times New Roman"/>
          <w:sz w:val="20"/>
          <w:szCs w:val="20"/>
          <w:i w:val="1"/>
          <w:iCs w:val="1"/>
          <w:color w:val="auto"/>
        </w:rPr>
        <w:t>2024 Goodwill Impairment Test</w:t>
      </w:r>
    </w:p>
    <w:p>
      <w:pPr>
        <w:spacing w:after="0" w:line="23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During the third quarter of 2024, the Company performed an interim quantitative goodwill impairment analysis for the “Mobileye” reporting unit due to a then recent decline in the share price of the Company’s Class A common stock and the corresponding decline in market capitalization, as well as macroeconomic and industry factors. The quantitative impairment test estimated the fair value of the reporting unit using an income approach. Significant inputs and assumptions incorporated in the valuation included business projections, terminal growth rate, and discount rate based on the reporting unit’s weighted average cost of capital.</w:t>
      </w:r>
    </w:p>
    <w:p>
      <w:pPr>
        <w:spacing w:after="0" w:line="17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also assessed the reasonableness of the estimated fair value of the reporting unit by comparison to its market capitalization, including consideration of expected acquirer synergies, control premium, and the current market.</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results of the impairment analysis in 2024 indicated that the fair value of the Mobileye reporting unit was below its carrying amount and therefore a non-cash impairment loss of $2,695 million was recognized in the Consolidated Statements of Operations and Comprehensive Income (Loss).</w:t>
      </w:r>
    </w:p>
    <w:p>
      <w:pPr>
        <w:spacing w:after="0" w:line="184"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During the fourth quarter of 2024, we completed our annual impairment assessment. Based on the assessment, the fair value of the “Mobileye” reporting unit exceeded its book value. We also performed a detailed quantitative analysis for the “Other” reporting unit which showed that no impairment was required. Fair value was estimated using the expected present value of future cash flows and was categorized as Level 3 within the fair value hierarchy due to the use of unobservable inputs.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2025 Goodwill Impairment Test</w:t>
      </w:r>
    </w:p>
    <w:p>
      <w:pPr>
        <w:spacing w:after="0" w:line="23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During the fourth quarter of 2025, we completed our annual impairment assessment. For the “Mobileye” reporting unit, the assessment was performed using a quantitative test. The quantitative impairment test estimated the fair value of the reporting unit using an income approach. When using the income approach, we tested the reasonableness of the inputs and outcomes of our discounted cash flow analysis against available market data. Significant inputs and assumptions incorporated in the valuation included business projections, terminal growth rate, and discount rate based on the reporting unit’s weighted average cost of capital.</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also assessed the reasonableness of the estimated fair value of the reporting unit by comparison to its market capitalization, including consideration of expected acquirer synergies, control premium, and the current market.</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Based on the assessment, no impairment was recorded.</w:t>
      </w:r>
    </w:p>
    <w:p>
      <w:pPr>
        <w:spacing w:after="0" w:line="23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results of the impairment analysis indicated that the fair value of the Mobileye reporting unit exceeded its carrying amount by less than 10%. Due to the inherent uncertainties involved in measuring fair value using an income approach, underlying assumptions may change in future periods. Unfavorable changes in certain of these key assumptions may affect future testing results, especially since the impairment loss recognized in 2024 reduced the headroom between the Mobileye reporting unit’s carrying mount and its estimated fair value.</w:t>
      </w:r>
    </w:p>
    <w:p>
      <w:pPr>
        <w:spacing w:after="0" w:line="19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 1% increase in the discount rate, while holding all other assumptions constant, would result in an impairment loss of approximately $834 million to the Mobileye reporting unit goodwill. A 0.5% decrease in the terminal growth rate while holding all other assumptions constant, would not result in an impairment loss to the Mobileye reporting unit goodwill.</w:t>
      </w:r>
    </w:p>
    <w:p>
      <w:pPr>
        <w:spacing w:after="0" w:line="1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Due to the equity of the Company being above the market capitalization of the Company as of December 27, 2025, a further sustained decline in our share price and market capitalization may require further testing of our Mobileye reporting unit, which may result in an impairment.</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For the “Other” reporting unit, our annual goodwill impairment assessment was performed using a qualitative test and concluded that the fair value of the “Other” reporting unit substantially exceeds its book value.</w:t>
      </w:r>
    </w:p>
    <w:p>
      <w:pPr>
        <w:sectPr>
          <w:pgSz w:w="11880" w:h="15480" w:orient="portrait"/>
          <w:cols w:equalWidth="0" w:num="1">
            <w:col w:w="10800"/>
          </w:cols>
          <w:pgMar w:left="540" w:top="135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800"/>
          </w:cols>
          <w:pgMar w:left="540" w:top="1352" w:right="540" w:bottom="0" w:gutter="0" w:footer="0" w:header="0"/>
          <w:type w:val="continuous"/>
        </w:sectPr>
      </w:pPr>
    </w:p>
    <w:bookmarkStart w:id="99" w:name="page100"/>
    <w:bookmarkEnd w:id="99"/>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provision for income tax consists of income taxes in the various jurisdictions where the Company is subject to taxation, primarily the United States and Israel.</w:t>
      </w:r>
    </w:p>
    <w:p>
      <w:pPr>
        <w:spacing w:after="0" w:line="163"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 xml:space="preserve">Certain components of the Company’s business operations were included in the consolidated U.S. domestic income tax return filed by Intel. The Company also files various foreign income tax returns on a separate basis, distinct from Intel. Following the Secondary Offering, which resulted in the Tax Deconsolidation (see also Note 1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the Company is no longer included in the Parent’s U.S. domestic consolidated federal and applicable state income tax returns and will be filing its own U.S. corporate income tax returns for periods beginning July 12, 2025 onwards. Prior to the Tax Deconsolidation event, the income tax provision included in the Company’s consolidated financial statements was calculated using the separate return method, as if the Company had filed its own U.S. corporate income tax returns.</w:t>
      </w:r>
    </w:p>
    <w:p>
      <w:pPr>
        <w:spacing w:after="0" w:line="201"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Company had previously entered into a Tax Sharing Agreement with Intel, which was amended and restated on August 14, 2024 (the Tax Sharing Agreement, as amended, the “TSA”), and establishes the amount of cash payable for the Company’s share of the tax liability owed on consolidated tax return filings with Intel. For periods prior to the Tax Deconsolidation, any differences between taxes currently payable to Intel under the Tax Sharing Agreement and the current tax provision computed on a separate return basis, were reflected as adjustments to additional paid-in capital in the consolidated statement of changes in equity and financing activities within the consolidated statement of cash flows. As a result of the Tax Deconsolidation, starting July 12, 2025 the computation of cash payable between the Company and Intel, under the TSA, is no longer applicable with respect to U.S. federal and applicable state income taxes. Accordingly, starting July 12, 2025, Mobileye calculates and reports its U.S. federal and applicable state income tax liabilities as a standalone taxpayer and will no longer allocate or share tax attributes, liabilities nor benefits with its Parent as previously required under the TSA. For periods prior to Tax Deconsolidation, Mobileye and its Parent will continue to account for any outstanding tax sharing obligations in accordance with the terms of the TSA.</w:t>
      </w:r>
    </w:p>
    <w:p>
      <w:pPr>
        <w:spacing w:after="0" w:line="198" w:lineRule="exact"/>
        <w:rPr>
          <w:sz w:val="20"/>
          <w:szCs w:val="20"/>
          <w:color w:val="auto"/>
        </w:rPr>
      </w:pPr>
    </w:p>
    <w:p>
      <w:pPr>
        <w:jc w:val="both"/>
        <w:ind w:firstLine="361"/>
        <w:spacing w:after="0" w:line="271" w:lineRule="auto"/>
        <w:rPr>
          <w:sz w:val="20"/>
          <w:szCs w:val="20"/>
          <w:color w:val="auto"/>
        </w:rPr>
      </w:pPr>
      <w:r>
        <w:rPr>
          <w:rFonts w:ascii="Times New Roman" w:cs="Times New Roman" w:eastAsia="Times New Roman" w:hAnsi="Times New Roman"/>
          <w:sz w:val="19"/>
          <w:szCs w:val="19"/>
          <w:color w:val="auto"/>
        </w:rPr>
        <w:t>Deferred tax assets and liabilities are recognized based on the future tax consequences attributable to temporary differences between the consolidated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174"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92"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Company recognizes tax benefits from uncertain tax positions only if it is more likely than not that the tax positions will be sustained on examination by the tax authorities, based on the technical merits of the position. The tax benefits recognized in the financial statements from such positions are measured based on the largest amount that is more than 50% likely to be realized upon ultimate settlement. The Company recognizes interest and penalties related to unrecognized tax benefits within the Benefit (provision) for income taxes on the Consolidated Statements of Operations and Comprehensive Income (Loss).</w:t>
      </w:r>
    </w:p>
    <w:p>
      <w:pPr>
        <w:spacing w:after="0" w:line="192" w:lineRule="exact"/>
        <w:rPr>
          <w:sz w:val="20"/>
          <w:szCs w:val="20"/>
          <w:color w:val="auto"/>
        </w:rPr>
      </w:pPr>
    </w:p>
    <w:p>
      <w:pPr>
        <w:ind w:left="360" w:right="280"/>
        <w:spacing w:after="0" w:line="490" w:lineRule="auto"/>
        <w:rPr>
          <w:sz w:val="20"/>
          <w:szCs w:val="20"/>
          <w:color w:val="auto"/>
        </w:rPr>
      </w:pPr>
      <w:r>
        <w:rPr>
          <w:rFonts w:ascii="Times New Roman" w:cs="Times New Roman" w:eastAsia="Times New Roman" w:hAnsi="Times New Roman"/>
          <w:sz w:val="20"/>
          <w:szCs w:val="20"/>
          <w:color w:val="auto"/>
        </w:rPr>
        <w:t xml:space="preserve">For additional information regarding income taxes, see Note 8 to the Consolidated Financial Statements included in this report. </w:t>
      </w:r>
      <w:r>
        <w:rPr>
          <w:rFonts w:ascii="Times New Roman" w:cs="Times New Roman" w:eastAsia="Times New Roman" w:hAnsi="Times New Roman"/>
          <w:sz w:val="20"/>
          <w:szCs w:val="20"/>
          <w:b w:val="1"/>
          <w:bCs w:val="1"/>
          <w:i w:val="1"/>
          <w:iCs w:val="1"/>
          <w:color w:val="auto"/>
        </w:rPr>
        <w:t>New Accounting Pronouncements</w:t>
      </w: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See “Note 2 - Significant Accounting Policies” to our consolidated financial statements included elsewhere in this report for information on new accounting pronouncements.</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800"/>
          </w:cols>
          <w:pgMar w:left="540" w:top="1350" w:right="54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39"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Our investments in money market funds, U.S. government bonds and short-term deposits are subject to market risk due to changes in interest rates, which may affect our interest income and fair market value of our investments. To minimize this risk, we invest in institutional investors money market funds, which consist of high-grade securities. Our short term deposits are redeemable upon demand and held in banks domiciled in the U.S. and Europe, as well as in Israel. As of December 27, 2025 and December 28, 2024, our investment in money market funds was $1,016 million and $951 million, respectively; our U.S. government bonds were $55 million and $33 million, respectively; and our short term deposits were $785 million and $419 million, respectively.</w:t>
      </w:r>
    </w:p>
    <w:p>
      <w:pPr>
        <w:spacing w:after="0" w:line="19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primary objectives of our investments in money market funds, U.S. government bonds and short term deposits is to fund our cash requirements in the ordinary course of business and preserve principal. We do not enter into investments for trading or speculative purposes.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238"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9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During the fourth quarter of 2024 we initiated a foreign currency cash flow hedging program, designed to hedge the Company’s foreign exchange rate risk, resulting mainly from ILS payroll expenses. The Company hedges portions of its forecasted payroll payments denominated in ILS using forward contracts that are designated as cash flow hedges, as defined by ASC 815.</w:t>
      </w:r>
    </w:p>
    <w:p>
      <w:pPr>
        <w:spacing w:after="0" w:line="183"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If the New Israeli Shekel had strengthened by 10% against the U.S. dollar, it would have decreased our cash flows by approximately $40 million in the year ended December 27, 2025. If the New Israeli Shekel had strengthened by 10% against the U.S. dollar, it would have decreased our cash flows by approximately $67 million in the year ended December 28, 2024. The effect of a 10% change in the U.S. dollar / New Israeli Shekel exchange rate would not have had a material impact on our cash flows in the year ended December 30, 2023 due to the hedging services agreement we had with Intel.</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800"/>
          </w:cols>
          <w:pgMar w:left="540" w:top="1345" w:right="54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auto"/>
        </w:rPr>
        <w:t>Item 8. Financial Statements</w:t>
      </w:r>
    </w:p>
    <w:p>
      <w:pPr>
        <w:spacing w:after="0" w:line="20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Page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name: Kesselman &amp; Kesselman C.P.A.s and PCAOB</w:t>
      </w:r>
    </w:p>
    <w:p>
      <w:pPr>
        <w:ind w:left="140"/>
        <w:spacing w:after="0"/>
        <w:tabs>
          <w:tab w:leader="none" w:pos="10420" w:val="left"/>
        </w:tabs>
        <w:rPr>
          <w:sz w:val="20"/>
          <w:szCs w:val="20"/>
          <w:color w:val="auto"/>
        </w:rPr>
      </w:pPr>
      <w:r>
        <w:rPr>
          <w:rFonts w:ascii="Times New Roman" w:cs="Times New Roman" w:eastAsia="Times New Roman" w:hAnsi="Times New Roman"/>
          <w:sz w:val="20"/>
          <w:szCs w:val="20"/>
          <w:color w:val="auto"/>
        </w:rPr>
        <w:t>ID: 1309) .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99</w:t>
      </w:r>
    </w:p>
    <w:p>
      <w:pPr>
        <w:spacing w:after="0"/>
        <w:tabs>
          <w:tab w:leader="none" w:pos="10360" w:val="left"/>
        </w:tabs>
        <w:rPr>
          <w:sz w:val="20"/>
          <w:szCs w:val="20"/>
          <w:color w:val="auto"/>
        </w:rPr>
      </w:pPr>
      <w:r>
        <w:rPr>
          <w:rFonts w:ascii="Times New Roman" w:cs="Times New Roman" w:eastAsia="Times New Roman" w:hAnsi="Times New Roman"/>
          <w:sz w:val="20"/>
          <w:szCs w:val="20"/>
          <w:color w:val="auto"/>
        </w:rPr>
        <w:t>Consolidated Balance Sheets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102</w:t>
      </w:r>
    </w:p>
    <w:p>
      <w:pPr>
        <w:spacing w:after="0"/>
        <w:tabs>
          <w:tab w:leader="none" w:pos="10360" w:val="left"/>
        </w:tabs>
        <w:rPr>
          <w:sz w:val="20"/>
          <w:szCs w:val="20"/>
          <w:color w:val="auto"/>
        </w:rPr>
      </w:pPr>
      <w:r>
        <w:rPr>
          <w:rFonts w:ascii="Times New Roman" w:cs="Times New Roman" w:eastAsia="Times New Roman" w:hAnsi="Times New Roman"/>
          <w:sz w:val="20"/>
          <w:szCs w:val="20"/>
          <w:color w:val="auto"/>
        </w:rPr>
        <w:t>Consolidated Statements of Operations and Comprehensive Income (Loss) . . . . . . . . . . . . . . . . . . . . . . . . . . . . . . . . . . . . . . . . . .</w:t>
      </w:r>
      <w:r>
        <w:rPr>
          <w:sz w:val="20"/>
          <w:szCs w:val="20"/>
          <w:color w:val="auto"/>
        </w:rPr>
        <w:tab/>
      </w:r>
      <w:r>
        <w:rPr>
          <w:rFonts w:ascii="Times New Roman" w:cs="Times New Roman" w:eastAsia="Times New Roman" w:hAnsi="Times New Roman"/>
          <w:sz w:val="20"/>
          <w:szCs w:val="20"/>
          <w:color w:val="auto"/>
        </w:rPr>
        <w:t>103</w:t>
      </w:r>
    </w:p>
    <w:p>
      <w:pPr>
        <w:spacing w:after="0"/>
        <w:tabs>
          <w:tab w:leader="none" w:pos="10360" w:val="left"/>
        </w:tabs>
        <w:rPr>
          <w:sz w:val="20"/>
          <w:szCs w:val="20"/>
          <w:color w:val="auto"/>
        </w:rPr>
      </w:pPr>
      <w:r>
        <w:rPr>
          <w:rFonts w:ascii="Times New Roman" w:cs="Times New Roman" w:eastAsia="Times New Roman" w:hAnsi="Times New Roman"/>
          <w:sz w:val="20"/>
          <w:szCs w:val="20"/>
          <w:color w:val="auto"/>
        </w:rPr>
        <w:t>Consolidated Statements of Changes in Equity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104</w:t>
      </w:r>
    </w:p>
    <w:p>
      <w:pPr>
        <w:spacing w:after="0"/>
        <w:tabs>
          <w:tab w:leader="none" w:pos="10360" w:val="left"/>
        </w:tabs>
        <w:rPr>
          <w:sz w:val="20"/>
          <w:szCs w:val="20"/>
          <w:color w:val="auto"/>
        </w:rPr>
      </w:pPr>
      <w:r>
        <w:rPr>
          <w:rFonts w:ascii="Times New Roman" w:cs="Times New Roman" w:eastAsia="Times New Roman" w:hAnsi="Times New Roman"/>
          <w:sz w:val="20"/>
          <w:szCs w:val="20"/>
          <w:color w:val="auto"/>
        </w:rPr>
        <w:t>Consolidated Statements of Cash Flows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105</w:t>
      </w:r>
    </w:p>
    <w:p>
      <w:pPr>
        <w:spacing w:after="0"/>
        <w:tabs>
          <w:tab w:leader="none" w:pos="10360" w:val="left"/>
        </w:tabs>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106</w:t>
      </w:r>
    </w:p>
    <w:p>
      <w:pPr>
        <w:sectPr>
          <w:pgSz w:w="11880" w:h="15480" w:orient="portrait"/>
          <w:cols w:equalWidth="0" w:num="1">
            <w:col w:w="10740"/>
          </w:cols>
          <w:pgMar w:left="540" w:top="1345"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740"/>
          </w:cols>
          <w:pgMar w:left="540" w:top="1345" w:right="600" w:bottom="0" w:gutter="0" w:footer="0" w:header="0"/>
          <w:type w:val="continuous"/>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342900</wp:posOffset>
            </wp:positionH>
            <wp:positionV relativeFrom="page">
              <wp:posOffset>869950</wp:posOffset>
            </wp:positionV>
            <wp:extent cx="1189990" cy="1189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89990" cy="118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Shareholders of Mobileye Global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Mobileye Global Inc. and its subsidiaries (the “Company”) as of December 27, 2025 and December 28, 2024, and the related consolidated statements of operations and comprehensive income (loss), of changes in equity and of cash flows for each of the three years in the period ended December 27, 2025, including the related notes (collectively referred to as the “consolidated financial statements”). We also have audited the Company’s internal control over financial reporting as of December 27, 2025,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27, 2025 and December 28, 2024, and the results of its operations and its cash flows for each of the three years in the period ended December 27, 2025 in conformity with accounting principles generally accepted in the United States of America. Also in our opinion, the Company maintained, in all material respects, effective internal control over financial reporting as of December 27, 2025,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3" w:lineRule="exact"/>
        <w:rPr>
          <w:sz w:val="20"/>
          <w:szCs w:val="20"/>
          <w:color w:val="auto"/>
        </w:rPr>
      </w:pPr>
    </w:p>
    <w:p>
      <w:pPr>
        <w:jc w:val="both"/>
        <w:ind w:firstLine="1"/>
        <w:spacing w:after="0" w:line="260" w:lineRule="auto"/>
        <w:rPr>
          <w:sz w:val="20"/>
          <w:szCs w:val="20"/>
          <w:color w:val="auto"/>
        </w:rPr>
      </w:pPr>
      <w:r>
        <w:rPr>
          <w:rFonts w:ascii="Times New Roman" w:cs="Times New Roman" w:eastAsia="Times New Roman" w:hAnsi="Times New Roman"/>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780"/>
          </w:cols>
          <w:pgMar w:left="560" w:top="1440" w:right="540" w:bottom="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38" w:lineRule="exact"/>
        <w:rPr>
          <w:sz w:val="20"/>
          <w:szCs w:val="20"/>
          <w:color w:val="auto"/>
        </w:rPr>
      </w:pPr>
    </w:p>
    <w:p>
      <w:pPr>
        <w:jc w:val="both"/>
        <w:ind w:left="20"/>
        <w:spacing w:after="0" w:line="245"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8"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 Impairment Assessment – Mobileye reporting unit</w:t>
      </w:r>
    </w:p>
    <w:p>
      <w:pPr>
        <w:spacing w:after="0" w:line="2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described in Note 10 to the consolidated financial statements, the Company’s goodwill balance was $8,200 million as of December 27, 2025, and the goodwill associated with the Mobileye reporting unit was $8,089 million. Management conducts an impairment test as of the end of each year, or more frequently if events or circumstances indicate that the carrying value of goodwill may be impaired. Potential impairment is identified by comparing the fair value of a reporting unit to its carrying value, including goodwill. In 2025, the Company performed a detailed quantitative analysis for the Mobileye reporting unit. Based on the goodwill impairment assessment during the year ended December 27, 2025, no goodwill impairment charge related to the Mobileye reporting unit was recorded. Fair value is estimated by management using a discounted cash flow model. Management’s cash flow projections for the Mobileye reporting unit included significant judgments and assumptions relating to financial projections, terminal growth rate and the discount rate.</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goodwill impairment assessment of the Mobileye reporting unit is a critical audit matter are (i) the significant judgment by management when developing the fair value estimate of the Mobileye reporting unit, and (ii) a high degree of auditor judgment, subjectivity, and effort in performing procedures and evaluating management’s significant assumptions related to financial projections, terminal growth rate and the discount rate. In addition, the audit effort involved the use of professionals with specialized skills and knowledge.</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10800"/>
          </w:cols>
          <w:pgMar w:left="540" w:top="1350" w:right="540" w:bottom="0" w:gutter="0" w:footer="0" w:header="0"/>
          <w:type w:val="continuous"/>
        </w:sectPr>
      </w:pPr>
    </w:p>
    <w:bookmarkStart w:id="104" w:name="page105"/>
    <w:bookmarkEnd w:id="104"/>
    <w:p>
      <w:pPr>
        <w:jc w:val="both"/>
        <w:ind w:left="20" w:firstLine="1"/>
        <w:spacing w:after="0" w:line="243"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reporting unit. These procedures also included, among others, (i) testing management’s process for developing the fair value estimate; (ii) evaluating the appropriateness of the discounted cash flow model used by management; (iii) testing the completeness and accuracy of underlying data used in the discounted cash flow model; (iv) evaluating the reasonableness of the significant assumptions used by management related to financial projections, terminal growth rate and the discount rate. Evaluating management’s assumptions related to future cash flow projections involved evaluating whether the assumptions used by management were reasonable considering (i) the current and past performance of the Mobileye reporting unit, (ii) the consistency with external market and industry data, (iii) whether these assumptions were consistent with evidence obtained in other areas of the audit, and (iv) assessing the adequacy of disclosures in the consolidated financial statements. Professionals with specialized skill and knowledge were used to assist in evaluating the appropriateness of the discounted cash flow model and the reasonableness of the discount rate and terminal growth rate assumptions.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Kesselman &amp; Kesselman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Certified Public Accountants (Isr.)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member firm of PricewaterhouseCoopers International Limited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 Aviv, Israel</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12,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2022.</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10800"/>
          </w:cols>
          <w:pgMar w:left="540" w:top="1347" w:right="540" w:bottom="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6"/>
              </w:rPr>
              <w:t>December 28,</w:t>
            </w:r>
          </w:p>
        </w:tc>
      </w:tr>
      <w:tr>
        <w:trPr>
          <w:trHeight w:val="193"/>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 except share and per share data</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6"/>
        </w:trPr>
        <w:tc>
          <w:tcPr>
            <w:tcW w:w="8220" w:type="dxa"/>
            <w:vAlign w:val="bottom"/>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w:t>
            </w:r>
          </w:p>
        </w:tc>
        <w:tc>
          <w:tcPr>
            <w:tcW w:w="2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w:t>
            </w: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Trade accounts receivable, net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w w:val="99"/>
              </w:rPr>
              <w:t>Inventories . . . . . . . . . . . .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r>
      <w:tr>
        <w:trPr>
          <w:trHeight w:val="241"/>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 . . . . . . . . . . . . . . . . . . . . . . . . . . . . . . . . . . . . . . . . . . . . . . . . . . . . . . . . . . . . . . . . .</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06"/>
        </w:trPr>
        <w:tc>
          <w:tcPr>
            <w:tcW w:w="8220" w:type="dxa"/>
            <w:vAlign w:val="bottom"/>
          </w:tcPr>
          <w:p>
            <w:pPr>
              <w:jc w:val="right"/>
              <w:ind w:right="240"/>
              <w:spacing w:after="0" w:line="206"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 . . .</w:t>
            </w:r>
            <w:r>
              <w:rPr>
                <w:rFonts w:ascii="Times New Roman" w:cs="Times New Roman" w:eastAsia="Times New Roman" w:hAnsi="Times New Roman"/>
                <w:sz w:val="20"/>
                <w:szCs w:val="20"/>
                <w:b w:val="1"/>
                <w:bCs w:val="1"/>
                <w:color w:val="auto"/>
                <w:w w:val="99"/>
              </w:rPr>
              <w:t>Totalcurrentassets</w:t>
            </w:r>
          </w:p>
        </w:tc>
        <w:tc>
          <w:tcPr>
            <w:tcW w:w="20" w:type="dxa"/>
            <w:vAlign w:val="bottom"/>
          </w:tcPr>
          <w:p>
            <w:pPr>
              <w:spacing w:after="0"/>
              <w:rPr>
                <w:sz w:val="17"/>
                <w:szCs w:val="17"/>
                <w:color w:val="auto"/>
              </w:rPr>
            </w:pPr>
          </w:p>
        </w:tc>
        <w:tc>
          <w:tcPr>
            <w:tcW w:w="1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2,478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2,174</w:t>
            </w: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Non-current 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net . . . .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1,609</w:t>
            </w: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8,200</w:t>
            </w:r>
          </w:p>
        </w:tc>
      </w:tr>
      <w:tr>
        <w:trPr>
          <w:trHeight w:val="241"/>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assets . . . . . . . . . . . . . . . . . . . . . . . . . . . . . . . . . . . . . . . . . . . . . . . . . . . . . . . . . . . . . . .</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20"/>
        </w:trPr>
        <w:tc>
          <w:tcPr>
            <w:tcW w:w="8220" w:type="dxa"/>
            <w:vAlign w:val="bottom"/>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w:t>
            </w:r>
            <w:r>
              <w:rPr>
                <w:rFonts w:ascii="Times New Roman" w:cs="Times New Roman" w:eastAsia="Times New Roman" w:hAnsi="Times New Roman"/>
                <w:sz w:val="20"/>
                <w:szCs w:val="20"/>
                <w:b w:val="1"/>
                <w:bCs w:val="1"/>
                <w:color w:val="auto"/>
                <w:w w:val="99"/>
              </w:rPr>
              <w:t>Totalnon-currentassets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10,014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10,405</w:t>
            </w:r>
          </w:p>
        </w:tc>
      </w:tr>
      <w:tr>
        <w:trPr>
          <w:trHeight w:val="239"/>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8"/>
              </w:rPr>
              <w:t>. . . . . . . . . . . . . . . . . . . . . . . . . . . . . . . . . . . . . . . . . . . . . . . . . . . . . . . . . . . . . . . . . .</w:t>
            </w:r>
            <w:r>
              <w:rPr>
                <w:rFonts w:ascii="Times New Roman" w:cs="Times New Roman" w:eastAsia="Times New Roman" w:hAnsi="Times New Roman"/>
                <w:sz w:val="20"/>
                <w:szCs w:val="20"/>
                <w:b w:val="1"/>
                <w:bCs w:val="1"/>
                <w:color w:val="auto"/>
                <w:w w:val="98"/>
              </w:rPr>
              <w:t>TOTALASSETS</w:t>
            </w: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12,492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12,579</w:t>
            </w:r>
          </w:p>
        </w:tc>
      </w:tr>
      <w:tr>
        <w:trPr>
          <w:trHeight w:val="207"/>
        </w:trPr>
        <w:tc>
          <w:tcPr>
            <w:tcW w:w="822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Liabilities and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expenses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2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Employee related accrued expenses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Related party payable  . . . . . .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41"/>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liabilities . . . . . . . . . . . . . . . . . . . . . . . . . . . . . . . . . . . . . . . . . . . . . . . . . . . . . . . . . . . . . .</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06"/>
        </w:trPr>
        <w:tc>
          <w:tcPr>
            <w:tcW w:w="8220" w:type="dxa"/>
            <w:vAlign w:val="bottom"/>
          </w:tcPr>
          <w:p>
            <w:pPr>
              <w:jc w:val="right"/>
              <w:ind w:right="240"/>
              <w:spacing w:after="0" w:line="206"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w:t>
            </w:r>
            <w:r>
              <w:rPr>
                <w:rFonts w:ascii="Times New Roman" w:cs="Times New Roman" w:eastAsia="Times New Roman" w:hAnsi="Times New Roman"/>
                <w:sz w:val="20"/>
                <w:szCs w:val="20"/>
                <w:b w:val="1"/>
                <w:bCs w:val="1"/>
                <w:color w:val="auto"/>
                <w:w w:val="99"/>
              </w:rPr>
              <w:t>Totalcurrentliabilities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406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333</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Non-current liabilities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Long-term employee benefits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 . .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41"/>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liabilities . . . . . . . . . . . . . . . . . . . . . . . . . . . . . . . . . . . . . . . . . . . . . . . . . . . . . . . . . . . .</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20"/>
        </w:trPr>
        <w:tc>
          <w:tcPr>
            <w:tcW w:w="8220" w:type="dxa"/>
            <w:vAlign w:val="bottom"/>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w:t>
            </w:r>
            <w:r>
              <w:rPr>
                <w:rFonts w:ascii="Times New Roman" w:cs="Times New Roman" w:eastAsia="Times New Roman" w:hAnsi="Times New Roman"/>
                <w:sz w:val="20"/>
                <w:szCs w:val="20"/>
                <w:b w:val="1"/>
                <w:bCs w:val="1"/>
                <w:color w:val="auto"/>
                <w:w w:val="99"/>
              </w:rPr>
              <w:t>Totalnon-currentliabilities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205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159</w:t>
            </w:r>
          </w:p>
        </w:tc>
      </w:tr>
      <w:tr>
        <w:trPr>
          <w:trHeight w:val="220"/>
        </w:trPr>
        <w:tc>
          <w:tcPr>
            <w:tcW w:w="822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Contingencies (see Note 14)</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39"/>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8"/>
              </w:rPr>
              <w:t>. . . . . . . . . . . . . . . . . . . . . . . . . . . . . . . . . . . . . . . . . . . . . . . . . . . . . . . . . . . . .</w:t>
            </w:r>
            <w:r>
              <w:rPr>
                <w:rFonts w:ascii="Times New Roman" w:cs="Times New Roman" w:eastAsia="Times New Roman" w:hAnsi="Times New Roman"/>
                <w:sz w:val="20"/>
                <w:szCs w:val="20"/>
                <w:b w:val="1"/>
                <w:bCs w:val="1"/>
                <w:color w:val="auto"/>
                <w:w w:val="98"/>
              </w:rPr>
              <w:t>TOTALLIABILITIES</w:t>
            </w: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611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492</w:t>
            </w:r>
          </w:p>
        </w:tc>
      </w:tr>
      <w:tr>
        <w:trPr>
          <w:trHeight w:val="209"/>
        </w:trPr>
        <w:tc>
          <w:tcPr>
            <w:tcW w:w="822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Class A common stock: $0.01 par value; 4,000,000,000 shares authorized; shares issued and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outstanding: 216,980,847 as of December 27, 2025 and 100,226,477 as of December 28, 2024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Class B common stock: $0.01 par value; 1,500,000,000 shares authorized; shares issued and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outstanding: 597,768,015 as of December 27, 2025 and 711,500,000 as of December 28, 2024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15,308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15,137</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income (loss), net of tax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41"/>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Retained earnings (accumulated deficit)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(3,452)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(3,060)</w:t>
            </w:r>
          </w:p>
        </w:tc>
      </w:tr>
      <w:tr>
        <w:trPr>
          <w:trHeight w:val="220"/>
        </w:trPr>
        <w:tc>
          <w:tcPr>
            <w:tcW w:w="8220" w:type="dxa"/>
            <w:vAlign w:val="bottom"/>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 . . .</w:t>
            </w:r>
            <w:r>
              <w:rPr>
                <w:rFonts w:ascii="Times New Roman" w:cs="Times New Roman" w:eastAsia="Times New Roman" w:hAnsi="Times New Roman"/>
                <w:sz w:val="20"/>
                <w:szCs w:val="20"/>
                <w:b w:val="1"/>
                <w:bCs w:val="1"/>
                <w:color w:val="auto"/>
                <w:w w:val="98"/>
              </w:rPr>
              <w:t>TOTALEQUITY</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11,881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12,087</w:t>
            </w:r>
          </w:p>
        </w:tc>
      </w:tr>
      <w:tr>
        <w:trPr>
          <w:trHeight w:val="240"/>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9"/>
              </w:rPr>
              <w:t>. . . . . . . . . . . . . . . . . . . . . . . . . . . . . . . . . . . . . . . . . . . . . . . .</w:t>
            </w:r>
            <w:r>
              <w:rPr>
                <w:rFonts w:ascii="Times New Roman" w:cs="Times New Roman" w:eastAsia="Times New Roman" w:hAnsi="Times New Roman"/>
                <w:sz w:val="20"/>
                <w:szCs w:val="20"/>
                <w:b w:val="1"/>
                <w:bCs w:val="1"/>
                <w:color w:val="auto"/>
                <w:w w:val="99"/>
              </w:rPr>
              <w:t>TOTALLIABILITIESANDEQUITY</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12,492</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12,579</w:t>
            </w: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800"/>
          </w:cols>
          <w:pgMar w:left="540" w:top="13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10800"/>
          </w:cols>
          <w:pgMar w:left="540" w:top="1344" w:right="540" w:bottom="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 (LOSS)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5"/>
          </w:tcPr>
          <w:p>
            <w:pPr>
              <w:jc w:val="center"/>
              <w:ind w:right="220"/>
              <w:spacing w:after="0" w:line="154"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0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 except share and per share data</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00" w:type="dxa"/>
            <w:vAlign w:val="bottom"/>
            <w:gridSpan w:val="2"/>
          </w:tcPr>
          <w:p>
            <w:pPr>
              <w:jc w:val="right"/>
              <w:ind w:right="280"/>
              <w:spacing w:after="0" w:line="212"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1,894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1,654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24"/>
              <w:spacing w:after="0" w:line="212"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Cost of revenue . . .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00" w:type="dxa"/>
            <w:vAlign w:val="bottom"/>
            <w:gridSpan w:val="2"/>
          </w:tcPr>
          <w:p>
            <w:pPr>
              <w:jc w:val="right"/>
              <w:ind w:right="280"/>
              <w:spacing w:after="0" w:line="21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w:t>
            </w:r>
            <w:r>
              <w:rPr>
                <w:rFonts w:ascii="Times New Roman" w:cs="Times New Roman" w:eastAsia="Times New Roman" w:hAnsi="Times New Roman"/>
                <w:sz w:val="20"/>
                <w:szCs w:val="20"/>
                <w:b w:val="1"/>
                <w:bCs w:val="1"/>
                <w:color w:val="auto"/>
                <w:w w:val="98"/>
              </w:rPr>
              <w:t>Grossprofit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904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741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1,047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0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 .Researchanddevelopment,net</w:t>
            </w: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1,151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1,083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 . . . . . . . . . . .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 . . . . . . . . . .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Goodwill impairment . . . . . . . . . . . . . . . . . . . . . . . . . . . . . . . . . . . . . . . . . . . . . . . . . . . . . .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7300" w:type="dxa"/>
            <w:vAlign w:val="bottom"/>
            <w:gridSpan w:val="2"/>
          </w:tcPr>
          <w:p>
            <w:pPr>
              <w:jc w:val="right"/>
              <w:ind w:right="280"/>
              <w:spacing w:after="0" w:line="215"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w:t>
            </w:r>
            <w:r>
              <w:rPr>
                <w:rFonts w:ascii="Times New Roman" w:cs="Times New Roman" w:eastAsia="Times New Roman" w:hAnsi="Times New Roman"/>
                <w:sz w:val="20"/>
                <w:szCs w:val="20"/>
                <w:b w:val="1"/>
                <w:bCs w:val="1"/>
                <w:color w:val="auto"/>
                <w:w w:val="98"/>
              </w:rPr>
              <w:t>Totaloperatingexpenses</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3,966</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00" w:type="dxa"/>
            <w:vAlign w:val="bottom"/>
            <w:gridSpan w:val="2"/>
          </w:tcPr>
          <w:p>
            <w:pPr>
              <w:jc w:val="right"/>
              <w:ind w:right="280"/>
              <w:spacing w:after="0" w:line="21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w:t>
            </w:r>
            <w:r>
              <w:rPr>
                <w:rFonts w:ascii="Times New Roman" w:cs="Times New Roman" w:eastAsia="Times New Roman" w:hAnsi="Times New Roman"/>
                <w:sz w:val="20"/>
                <w:szCs w:val="20"/>
                <w:b w:val="1"/>
                <w:bCs w:val="1"/>
                <w:color w:val="auto"/>
                <w:w w:val="98"/>
              </w:rPr>
              <w:t>Operatingincome(loss)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(440)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b w:val="1"/>
                <w:bCs w:val="1"/>
                <w:color w:val="auto"/>
              </w:rPr>
              <w:t>(3,225)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00" w:type="dxa"/>
            <w:vAlign w:val="bottom"/>
            <w:gridSpan w:val="2"/>
          </w:tcPr>
          <w:p>
            <w:pPr>
              <w:jc w:val="right"/>
              <w:ind w:right="280"/>
              <w:spacing w:after="0" w:line="215" w:lineRule="exact"/>
              <w:rPr>
                <w:sz w:val="20"/>
                <w:szCs w:val="20"/>
                <w:color w:val="auto"/>
              </w:rPr>
            </w:pPr>
            <w:r>
              <w:rPr>
                <w:rFonts w:ascii="Times New Roman" w:cs="Times New Roman" w:eastAsia="Times New Roman" w:hAnsi="Times New Roman"/>
                <w:sz w:val="20"/>
                <w:szCs w:val="20"/>
                <w:color w:val="auto"/>
              </w:rPr>
              <w:t>. . . . . . . . . . . . . . . . . . . . . . . . . . . . . . . . . . . . . . . . . . . . . .Financialincome(expense),net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0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w:t>
            </w:r>
            <w:r>
              <w:rPr>
                <w:rFonts w:ascii="Times New Roman" w:cs="Times New Roman" w:eastAsia="Times New Roman" w:hAnsi="Times New Roman"/>
                <w:sz w:val="20"/>
                <w:szCs w:val="20"/>
                <w:b w:val="1"/>
                <w:bCs w:val="1"/>
                <w:color w:val="auto"/>
              </w:rPr>
              <w:t>Income(loss)beforeincometaxes</w:t>
            </w: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(377)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b w:val="1"/>
                <w:bCs w:val="1"/>
                <w:color w:val="auto"/>
              </w:rPr>
              <w:t>(3,163)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Benefit (provision) for income taxes . . . . . . . . . . . . . . . . . . . . . . . . . . . . . . . . . . . . . . . . . . .</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54"/>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 . . . . . . . . . . . . . . . . . . . . . . . . . . . . . . . . . . . . . . . . . . . . . . . . . . . . . . . .</w:t>
            </w:r>
            <w:r>
              <w:rPr>
                <w:rFonts w:ascii="Times New Roman" w:cs="Times New Roman" w:eastAsia="Times New Roman" w:hAnsi="Times New Roman"/>
                <w:sz w:val="20"/>
                <w:szCs w:val="20"/>
                <w:b w:val="1"/>
                <w:bCs w:val="1"/>
                <w:color w:val="auto"/>
                <w:w w:val="99"/>
              </w:rPr>
              <w:t>Netincome(loss)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(392)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(3,090)</w:t>
            </w:r>
          </w:p>
        </w:tc>
        <w:tc>
          <w:tcPr>
            <w:tcW w:w="20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30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Earnings (loss) per share attributed to Class A and Class B stockholders: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00" w:type="dxa"/>
            <w:vAlign w:val="bottom"/>
            <w:gridSpan w:val="2"/>
          </w:tcPr>
          <w:p>
            <w:pPr>
              <w:jc w:val="right"/>
              <w:ind w:right="280"/>
              <w:spacing w:after="0" w:line="228" w:lineRule="exact"/>
              <w:rPr>
                <w:sz w:val="20"/>
                <w:szCs w:val="20"/>
                <w:color w:val="auto"/>
              </w:rPr>
            </w:pPr>
            <w:r>
              <w:rPr>
                <w:rFonts w:ascii="Times New Roman" w:cs="Times New Roman" w:eastAsia="Times New Roman" w:hAnsi="Times New Roman"/>
                <w:sz w:val="20"/>
                <w:szCs w:val="20"/>
                <w:color w:val="auto"/>
                <w:w w:val="96"/>
              </w:rPr>
              <w:t>Basic and diluted . . . . . . . . . . . . . . . . . . . . . . . . . . . . . . . . . . . . . . . . . . . . . . . . . . . . . . . . . . .</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(0.48)</w:t>
            </w:r>
          </w:p>
        </w:tc>
        <w:tc>
          <w:tcPr>
            <w:tcW w:w="32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200"/>
              <w:spacing w:after="0" w:line="228" w:lineRule="exact"/>
              <w:rPr>
                <w:sz w:val="20"/>
                <w:szCs w:val="20"/>
                <w:color w:val="auto"/>
              </w:rPr>
            </w:pPr>
            <w:r>
              <w:rPr>
                <w:rFonts w:ascii="Times New Roman" w:cs="Times New Roman" w:eastAsia="Times New Roman" w:hAnsi="Times New Roman"/>
                <w:sz w:val="20"/>
                <w:szCs w:val="20"/>
                <w:color w:val="auto"/>
              </w:rPr>
              <w:t>(3.82)</w:t>
            </w:r>
          </w:p>
        </w:tc>
        <w:tc>
          <w:tcPr>
            <w:tcW w:w="20" w:type="dxa"/>
            <w:vAlign w:val="bottom"/>
          </w:tcPr>
          <w:p>
            <w:pPr>
              <w:spacing w:after="0"/>
              <w:rPr>
                <w:sz w:val="19"/>
                <w:szCs w:val="19"/>
                <w:color w:val="auto"/>
              </w:rPr>
            </w:pPr>
          </w:p>
        </w:tc>
        <w:tc>
          <w:tcPr>
            <w:tcW w:w="220" w:type="dxa"/>
            <w:vAlign w:val="bottom"/>
          </w:tcPr>
          <w:p>
            <w:pPr>
              <w:jc w:val="right"/>
              <w:ind w:right="24"/>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(0.03)</w:t>
            </w:r>
          </w:p>
        </w:tc>
        <w:tc>
          <w:tcPr>
            <w:tcW w:w="0" w:type="dxa"/>
            <w:vAlign w:val="bottom"/>
          </w:tcPr>
          <w:p>
            <w:pPr>
              <w:spacing w:after="0"/>
              <w:rPr>
                <w:sz w:val="1"/>
                <w:szCs w:val="1"/>
                <w:color w:val="auto"/>
              </w:rPr>
            </w:pPr>
          </w:p>
        </w:tc>
      </w:tr>
      <w:tr>
        <w:trPr>
          <w:trHeight w:val="229"/>
        </w:trPr>
        <w:tc>
          <w:tcPr>
            <w:tcW w:w="7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Weighted-average number of shares used in computation of earnings (loss) per</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share attributed to Class A and Class B stockholders (in millions):</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813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Basic and diluted . .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300" w:type="dxa"/>
            <w:vAlign w:val="bottom"/>
            <w:gridSpan w:val="2"/>
          </w:tcPr>
          <w:p>
            <w:pPr>
              <w:jc w:val="right"/>
              <w:ind w:right="280"/>
              <w:spacing w:after="0" w:line="206"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w:t>
            </w:r>
            <w:r>
              <w:rPr>
                <w:rFonts w:ascii="Times New Roman" w:cs="Times New Roman" w:eastAsia="Times New Roman" w:hAnsi="Times New Roman"/>
                <w:sz w:val="20"/>
                <w:szCs w:val="20"/>
                <w:b w:val="1"/>
                <w:bCs w:val="1"/>
                <w:color w:val="auto"/>
                <w:w w:val="98"/>
              </w:rPr>
              <w:t>Netincome(loss)</w:t>
            </w:r>
          </w:p>
        </w:tc>
        <w:tc>
          <w:tcPr>
            <w:tcW w:w="22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(392)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b w:val="1"/>
                <w:bCs w:val="1"/>
                <w:color w:val="auto"/>
              </w:rPr>
              <w:t>(3,090)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w w:val="98"/>
              </w:rPr>
              <w:t xml:space="preserve">Other comprehensive income (loss), net of tax </w:t>
            </w:r>
            <w:r>
              <w:rPr>
                <w:rFonts w:ascii="Times New Roman" w:cs="Times New Roman" w:eastAsia="Times New Roman" w:hAnsi="Times New Roman"/>
                <w:sz w:val="20"/>
                <w:szCs w:val="20"/>
                <w:color w:val="auto"/>
                <w:w w:val="98"/>
              </w:rPr>
              <w:t>. . . . . . . . . . . . . . . . . . . . . . . . . . . . . . . .</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28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w w:val="98"/>
              </w:rPr>
              <w:t xml:space="preserve">TOTAL COMPREHENSIVE INCOME (LOSS)  </w:t>
            </w:r>
            <w:r>
              <w:rPr>
                <w:rFonts w:ascii="Times New Roman" w:cs="Times New Roman" w:eastAsia="Times New Roman" w:hAnsi="Times New Roman"/>
                <w:sz w:val="20"/>
                <w:szCs w:val="20"/>
                <w:color w:val="auto"/>
                <w:w w:val="98"/>
              </w:rPr>
              <w:t>. . . . . . . . . . . . . . . . . . . . . . . . . . . . .</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(3,088)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800"/>
          </w:cols>
          <w:pgMar w:left="540" w:top="13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10800"/>
          </w:cols>
          <w:pgMar w:left="540" w:top="1344" w:right="540" w:bottom="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41"/>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jc w:val="right"/>
              <w:ind w:right="50"/>
              <w:spacing w:after="0" w:line="14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6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Shareholders’</w:t>
            </w:r>
          </w:p>
        </w:tc>
      </w:tr>
      <w:tr>
        <w:trPr>
          <w:trHeight w:val="170"/>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 dollars except number of shares, in millions</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paid-in capital</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44"/>
        </w:trPr>
        <w:tc>
          <w:tcPr>
            <w:tcW w:w="40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 . . . . . . . . . . . . . . . . . . . . .</w:t>
            </w:r>
            <w:r>
              <w:rPr>
                <w:rFonts w:ascii="Times New Roman" w:cs="Times New Roman" w:eastAsia="Times New Roman" w:hAnsi="Times New Roman"/>
                <w:sz w:val="14"/>
                <w:szCs w:val="14"/>
                <w:b w:val="1"/>
                <w:bCs w:val="1"/>
                <w:color w:val="auto"/>
              </w:rPr>
              <w:t>BalanceasofDecember31,2022</w:t>
            </w:r>
          </w:p>
        </w:tc>
        <w:tc>
          <w:tcPr>
            <w:tcW w:w="88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802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14,737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57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14,794</w:t>
            </w:r>
          </w:p>
        </w:tc>
        <w:tc>
          <w:tcPr>
            <w:tcW w:w="20" w:type="dxa"/>
            <w:vAlign w:val="bottom"/>
          </w:tcPr>
          <w:p>
            <w:pPr>
              <w:spacing w:after="0"/>
              <w:rPr>
                <w:sz w:val="12"/>
                <w:szCs w:val="12"/>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Net income (loss) . . . .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3"/>
                <w:szCs w:val="13"/>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Other comprehensive income (loss), net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3"/>
                <w:szCs w:val="13"/>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Tax sharing agreement with Parent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3"/>
                <w:szCs w:val="13"/>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Share-based compensation expense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0" w:type="dxa"/>
            <w:vAlign w:val="bottom"/>
          </w:tcPr>
          <w:p>
            <w:pPr>
              <w:spacing w:after="0"/>
              <w:rPr>
                <w:sz w:val="13"/>
                <w:szCs w:val="13"/>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Recharge to Parent for Share-based compensation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3"/>
                <w:szCs w:val="13"/>
                <w:color w:val="auto"/>
              </w:rPr>
            </w:pPr>
          </w:p>
        </w:tc>
      </w:tr>
      <w:tr>
        <w:trPr>
          <w:trHeight w:val="161"/>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Issuance of common stock under employee share-based</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compensation plans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Secondary offering. . .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r>
      <w:tr>
        <w:trPr>
          <w:trHeight w:val="167"/>
        </w:trPr>
        <w:tc>
          <w:tcPr>
            <w:tcW w:w="4020" w:type="dxa"/>
            <w:vAlign w:val="bottom"/>
            <w:gridSpan w:val="2"/>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 . . . . . . . . . . . . . . . . . . . . . .</w:t>
            </w:r>
            <w:r>
              <w:rPr>
                <w:rFonts w:ascii="Times New Roman" w:cs="Times New Roman" w:eastAsia="Times New Roman" w:hAnsi="Times New Roman"/>
                <w:sz w:val="14"/>
                <w:szCs w:val="14"/>
                <w:b w:val="1"/>
                <w:bCs w:val="1"/>
                <w:color w:val="auto"/>
              </w:rPr>
              <w:t>BalanceasofDecember30,2023</w:t>
            </w:r>
          </w:p>
        </w:tc>
        <w:tc>
          <w:tcPr>
            <w:tcW w:w="8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806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14,886</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14,924</w:t>
            </w:r>
          </w:p>
        </w:tc>
        <w:tc>
          <w:tcPr>
            <w:tcW w:w="20" w:type="dxa"/>
            <w:vAlign w:val="bottom"/>
          </w:tcPr>
          <w:p>
            <w:pPr>
              <w:spacing w:after="0"/>
              <w:rPr>
                <w:sz w:val="14"/>
                <w:szCs w:val="14"/>
                <w:color w:val="auto"/>
              </w:rPr>
            </w:pPr>
          </w:p>
        </w:tc>
      </w:tr>
      <w:tr>
        <w:trPr>
          <w:trHeight w:val="147"/>
        </w:trPr>
        <w:tc>
          <w:tcPr>
            <w:tcW w:w="4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 . . . . . . . . . . . . . . . . . . . . . . . . . . . . . . . . .Netincome(loss)</w:t>
            </w: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(3,090)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(3,090)</w:t>
            </w:r>
          </w:p>
        </w:tc>
        <w:tc>
          <w:tcPr>
            <w:tcW w:w="20" w:type="dxa"/>
            <w:vAlign w:val="bottom"/>
          </w:tcPr>
          <w:p>
            <w:pPr>
              <w:spacing w:after="0"/>
              <w:rPr>
                <w:sz w:val="12"/>
                <w:szCs w:val="12"/>
                <w:color w:val="auto"/>
              </w:rPr>
            </w:pPr>
          </w:p>
        </w:tc>
      </w:tr>
      <w:tr>
        <w:trPr>
          <w:trHeight w:val="162"/>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Other comprehensive income (loss), net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Tax sharing agreement with Parent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3"/>
                <w:szCs w:val="13"/>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Share-based compensation expense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0" w:type="dxa"/>
            <w:vAlign w:val="bottom"/>
          </w:tcPr>
          <w:p>
            <w:pPr>
              <w:spacing w:after="0"/>
              <w:rPr>
                <w:sz w:val="13"/>
                <w:szCs w:val="13"/>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Recharge to Parent for Share-based compensation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3"/>
                <w:szCs w:val="13"/>
                <w:color w:val="auto"/>
              </w:rPr>
            </w:pPr>
          </w:p>
        </w:tc>
      </w:tr>
      <w:tr>
        <w:trPr>
          <w:trHeight w:val="161"/>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Issuance of common stock under employee share-based</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compensation plans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7"/>
        </w:trPr>
        <w:tc>
          <w:tcPr>
            <w:tcW w:w="4020" w:type="dxa"/>
            <w:vAlign w:val="bottom"/>
            <w:gridSpan w:val="2"/>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 . . . . . . . . . . . . . . . . . . . . . .</w:t>
            </w:r>
            <w:r>
              <w:rPr>
                <w:rFonts w:ascii="Times New Roman" w:cs="Times New Roman" w:eastAsia="Times New Roman" w:hAnsi="Times New Roman"/>
                <w:sz w:val="14"/>
                <w:szCs w:val="14"/>
                <w:b w:val="1"/>
                <w:bCs w:val="1"/>
                <w:color w:val="auto"/>
              </w:rPr>
              <w:t>BalanceasofDecember28,2024</w:t>
            </w:r>
          </w:p>
        </w:tc>
        <w:tc>
          <w:tcPr>
            <w:tcW w:w="8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812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15,137</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(3,060)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12,087</w:t>
            </w:r>
          </w:p>
        </w:tc>
        <w:tc>
          <w:tcPr>
            <w:tcW w:w="20" w:type="dxa"/>
            <w:vAlign w:val="bottom"/>
          </w:tcPr>
          <w:p>
            <w:pPr>
              <w:spacing w:after="0"/>
              <w:rPr>
                <w:sz w:val="14"/>
                <w:szCs w:val="14"/>
                <w:color w:val="auto"/>
              </w:rPr>
            </w:pPr>
          </w:p>
        </w:tc>
      </w:tr>
      <w:tr>
        <w:trPr>
          <w:trHeight w:val="147"/>
        </w:trPr>
        <w:tc>
          <w:tcPr>
            <w:tcW w:w="40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 . . . . . . . . . . . . . . . . . . . . . . . . . . . . . . . . .Netincome(loss)</w:t>
            </w: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(392)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(392)</w:t>
            </w:r>
          </w:p>
        </w:tc>
        <w:tc>
          <w:tcPr>
            <w:tcW w:w="20" w:type="dxa"/>
            <w:vAlign w:val="bottom"/>
          </w:tcPr>
          <w:p>
            <w:pPr>
              <w:spacing w:after="0"/>
              <w:rPr>
                <w:sz w:val="12"/>
                <w:szCs w:val="12"/>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Other comprehensive income (loss), net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3"/>
                <w:szCs w:val="13"/>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Tax sharing agreement with Parent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3"/>
                <w:szCs w:val="13"/>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Share-based compensation expense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0" w:type="dxa"/>
            <w:vAlign w:val="bottom"/>
          </w:tcPr>
          <w:p>
            <w:pPr>
              <w:spacing w:after="0"/>
              <w:rPr>
                <w:sz w:val="13"/>
                <w:szCs w:val="13"/>
                <w:color w:val="auto"/>
              </w:rPr>
            </w:pPr>
          </w:p>
        </w:tc>
      </w:tr>
      <w:tr>
        <w:trPr>
          <w:trHeight w:val="162"/>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Recharge to Parent for Share-based compensation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r>
      <w:tr>
        <w:trPr>
          <w:trHeight w:val="161"/>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Issuance of common stock under employee share-based</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compensation plans . . . . . . . . . . . .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Repurchase of common stock from Parent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4"/>
                <w:szCs w:val="14"/>
                <w:color w:val="auto"/>
              </w:rPr>
            </w:pPr>
          </w:p>
        </w:tc>
      </w:tr>
      <w:tr>
        <w:trPr>
          <w:trHeight w:val="169"/>
        </w:trPr>
        <w:tc>
          <w:tcPr>
            <w:tcW w:w="400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xml:space="preserve">Balance as of December 27, 2025 </w:t>
            </w:r>
            <w:r>
              <w:rPr>
                <w:rFonts w:ascii="Times New Roman" w:cs="Times New Roman" w:eastAsia="Times New Roman" w:hAnsi="Times New Roman"/>
                <w:sz w:val="14"/>
                <w:szCs w:val="14"/>
                <w:color w:val="auto"/>
              </w:rPr>
              <w:t>. . . . . . . . . . . . . . . . . . . . . . .</w:t>
            </w:r>
          </w:p>
        </w:tc>
        <w:tc>
          <w:tcPr>
            <w:tcW w:w="20" w:type="dxa"/>
            <w:vAlign w:val="bottom"/>
            <w:tcBorders>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815</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15,308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(3,452)</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11,881</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106045</wp:posOffset>
                </wp:positionV>
                <wp:extent cx="171386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35pt" to="134.9pt,8.35pt" o:allowincell="f" strokecolor="#000000" strokeweight="1.02pt"/>
            </w:pict>
          </mc:Fallback>
        </mc:AlternateConten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Rounding of Class A and Class B share amounts due to Secondary offering.</w:t>
      </w:r>
    </w:p>
    <w:p>
      <w:pPr>
        <w:spacing w:after="0" w:line="20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800"/>
          </w:cols>
          <w:pgMar w:left="540" w:top="13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10800"/>
          </w:cols>
          <w:pgMar w:left="540" w:top="1344" w:right="540" w:bottom="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34"/>
        </w:trPr>
        <w:tc>
          <w:tcPr>
            <w:tcW w:w="7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70"/>
              <w:spacing w:after="0" w:line="13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 w:type="dxa"/>
            <w:vAlign w:val="bottom"/>
          </w:tcPr>
          <w:p>
            <w:pPr>
              <w:spacing w:after="0"/>
              <w:rPr>
                <w:sz w:val="11"/>
                <w:szCs w:val="11"/>
                <w:color w:val="auto"/>
              </w:rPr>
            </w:pPr>
          </w:p>
        </w:tc>
      </w:tr>
      <w:tr>
        <w:trPr>
          <w:trHeight w:val="170"/>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r>
      <w:tr>
        <w:trPr>
          <w:trHeight w:val="144"/>
        </w:trPr>
        <w:tc>
          <w:tcPr>
            <w:tcW w:w="714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71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income (loss) . . . . . . . . . . . . . . . . . . . . . . . . . . . . . . . . . . . . . . . . . . . . . . . . . . . . . . . . . . . . . . . . . . . . . . . . .</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3"/>
                <w:szCs w:val="13"/>
                <w:color w:val="auto"/>
              </w:rPr>
            </w:pPr>
          </w:p>
        </w:tc>
        <w:tc>
          <w:tcPr>
            <w:tcW w:w="20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(3,090)</w:t>
            </w:r>
          </w:p>
        </w:tc>
        <w:tc>
          <w:tcPr>
            <w:tcW w:w="80" w:type="dxa"/>
            <w:vAlign w:val="bottom"/>
          </w:tcPr>
          <w:p>
            <w:pPr>
              <w:spacing w:after="0"/>
              <w:rPr>
                <w:sz w:val="13"/>
                <w:szCs w:val="13"/>
                <w:color w:val="auto"/>
              </w:rPr>
            </w:pPr>
          </w:p>
        </w:tc>
        <w:tc>
          <w:tcPr>
            <w:tcW w:w="2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3"/>
                <w:szCs w:val="13"/>
                <w:color w:val="auto"/>
              </w:rPr>
            </w:pPr>
          </w:p>
        </w:tc>
      </w:tr>
      <w:tr>
        <w:trPr>
          <w:trHeight w:val="16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to reconcile net income (loss) to net cash provided by operating activities: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of property and equipment . . . . . . .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3"/>
                <w:szCs w:val="13"/>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 . . . . . . . . . . . . . . .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0" w:type="dxa"/>
            <w:vAlign w:val="bottom"/>
          </w:tcPr>
          <w:p>
            <w:pPr>
              <w:spacing w:after="0"/>
              <w:rPr>
                <w:sz w:val="13"/>
                <w:szCs w:val="13"/>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intangible assets . . . . . . . . . . . .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20" w:type="dxa"/>
            <w:vAlign w:val="bottom"/>
          </w:tcPr>
          <w:p>
            <w:pPr>
              <w:spacing w:after="0"/>
              <w:rPr>
                <w:sz w:val="13"/>
                <w:szCs w:val="13"/>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Goodwill impairment . . . . . . . . . . . . . . . . . . . . . . . . . . . . . . . . . . . . . . . . . . . . . . . . . . . . . . . . . . . . . . . . . . . . .</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Exchange rate differences on cash and cash equivalents . . . . . . . . . . . . . . . . . . . . . . . . . . . . . . . . . . . . . . . . . . . . .</w:t>
            </w:r>
          </w:p>
        </w:tc>
        <w:tc>
          <w:tcPr>
            <w:tcW w:w="1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4"/>
                <w:szCs w:val="14"/>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income taxes . . . . . . . . . . . . . . . . . . .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3"/>
                <w:szCs w:val="13"/>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with related party, net . . . . . . . . . . . . . . . . . . . . . . . . . . . . . . . . . . . . . . . . . . . . . . . . . . . . . . . . . . . . . . .</w:t>
            </w: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3"/>
                <w:szCs w:val="13"/>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(Gains) losses on equity and debt investments, net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714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Other . . . . . . . . . . . . . . . . . . . . . . . . . . . . . . .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3"/>
                <w:szCs w:val="13"/>
                <w:color w:val="auto"/>
              </w:rPr>
            </w:pPr>
          </w:p>
        </w:tc>
      </w:tr>
      <w:tr>
        <w:trPr>
          <w:trHeight w:val="16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 (increase) in trade accounts receivable . . . . . . . . . . . . . . . . . . . . . . . . . . . . . . . . . . . . . . . . . . . . . . . . . . .</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w:t>
            </w: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 (increase) in other current assets . . . . . .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3"/>
                <w:szCs w:val="13"/>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 (increase) in inventories . . . . . . . . . . .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0" w:type="dxa"/>
            <w:vAlign w:val="bottom"/>
          </w:tcPr>
          <w:p>
            <w:pPr>
              <w:spacing w:after="0"/>
              <w:rPr>
                <w:sz w:val="13"/>
                <w:szCs w:val="13"/>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 (increase) in other long - term assets . . .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3"/>
                <w:szCs w:val="13"/>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(decrease) in accounts payable, accrued expenses and related party payable.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3"/>
                <w:szCs w:val="13"/>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(decrease) in employee-related accrued expenses and long-term benefits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3"/>
                <w:szCs w:val="13"/>
                <w:color w:val="auto"/>
              </w:rPr>
            </w:pPr>
          </w:p>
        </w:tc>
      </w:tr>
      <w:tr>
        <w:trPr>
          <w:trHeight w:val="162"/>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(decrease) in other current liabilities . . . . . . . . . . . . . . . . . . . . . . . . . . . . . . . . . . . . . . . . . . . . . . . . . . . . .</w:t>
            </w:r>
          </w:p>
        </w:tc>
        <w:tc>
          <w:tcPr>
            <w:tcW w:w="1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(decrease) in other long-term liabilities . . . . . . . . . . . . . . . . . . . . . . . . . . . . . . . . . . . . . . . . . . . . . . . . . . .</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4"/>
                <w:szCs w:val="14"/>
                <w:color w:val="auto"/>
              </w:rPr>
            </w:pPr>
          </w:p>
        </w:tc>
      </w:tr>
      <w:tr>
        <w:trPr>
          <w:trHeight w:val="150"/>
        </w:trPr>
        <w:tc>
          <w:tcPr>
            <w:tcW w:w="7140" w:type="dxa"/>
            <w:vAlign w:val="bottom"/>
          </w:tcPr>
          <w:p>
            <w:pPr>
              <w:jc w:val="right"/>
              <w:ind w:right="190"/>
              <w:spacing w:after="0" w:line="151" w:lineRule="exact"/>
              <w:rPr>
                <w:sz w:val="20"/>
                <w:szCs w:val="20"/>
                <w:color w:val="auto"/>
              </w:rPr>
            </w:pPr>
            <w:r>
              <w:rPr>
                <w:rFonts w:ascii="Times New Roman" w:cs="Times New Roman" w:eastAsia="Times New Roman" w:hAnsi="Times New Roman"/>
                <w:sz w:val="14"/>
                <w:szCs w:val="14"/>
                <w:color w:val="auto"/>
              </w:rPr>
              <w:t>. . . . . . . . . . . . . . . . . . . . . . . . . . . . . . . . . . . . . . . . . . . . . . . . . . . . . . .</w:t>
            </w:r>
            <w:r>
              <w:rPr>
                <w:rFonts w:ascii="Times New Roman" w:cs="Times New Roman" w:eastAsia="Times New Roman" w:hAnsi="Times New Roman"/>
                <w:sz w:val="14"/>
                <w:szCs w:val="14"/>
                <w:b w:val="1"/>
                <w:bCs w:val="1"/>
                <w:color w:val="auto"/>
              </w:rPr>
              <w:t>Netcashprovidedbyoperatingactivities</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602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400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394</w:t>
            </w:r>
          </w:p>
        </w:tc>
        <w:tc>
          <w:tcPr>
            <w:tcW w:w="20" w:type="dxa"/>
            <w:vAlign w:val="bottom"/>
          </w:tcPr>
          <w:p>
            <w:pPr>
              <w:spacing w:after="0"/>
              <w:rPr>
                <w:sz w:val="13"/>
                <w:szCs w:val="13"/>
                <w:color w:val="auto"/>
              </w:rPr>
            </w:pPr>
          </w:p>
        </w:tc>
      </w:tr>
      <w:tr>
        <w:trPr>
          <w:trHeight w:val="144"/>
        </w:trPr>
        <w:tc>
          <w:tcPr>
            <w:tcW w:w="714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property and equipment . . . . . . . . . .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 w:type="dxa"/>
            <w:vAlign w:val="bottom"/>
          </w:tcPr>
          <w:p>
            <w:pPr>
              <w:spacing w:after="0"/>
              <w:rPr>
                <w:sz w:val="13"/>
                <w:szCs w:val="13"/>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debt and equity investments . . . . . .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Maturities and sales of debt and equity investments . . . . . . . . . . . . . . . . . . . . . . . . . . . . . . . . . . . . . . . . . . . . . . . .</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52"/>
        </w:trPr>
        <w:tc>
          <w:tcPr>
            <w:tcW w:w="7140" w:type="dxa"/>
            <w:vAlign w:val="bottom"/>
          </w:tcPr>
          <w:p>
            <w:pPr>
              <w:jc w:val="right"/>
              <w:ind w:right="190"/>
              <w:spacing w:after="0" w:line="151" w:lineRule="exact"/>
              <w:rPr>
                <w:sz w:val="20"/>
                <w:szCs w:val="20"/>
                <w:color w:val="auto"/>
              </w:rPr>
            </w:pPr>
            <w:r>
              <w:rPr>
                <w:rFonts w:ascii="Times New Roman" w:cs="Times New Roman" w:eastAsia="Times New Roman" w:hAnsi="Times New Roman"/>
                <w:sz w:val="14"/>
                <w:szCs w:val="14"/>
                <w:color w:val="auto"/>
              </w:rPr>
              <w:t>. . . . . . . . . . . . . . . . . . . . . . . . . . . . . . . . . . . . . . . . . . . . . . . . . . . . . . . . . . .</w:t>
            </w:r>
            <w:r>
              <w:rPr>
                <w:rFonts w:ascii="Times New Roman" w:cs="Times New Roman" w:eastAsia="Times New Roman" w:hAnsi="Times New Roman"/>
                <w:sz w:val="14"/>
                <w:szCs w:val="14"/>
                <w:b w:val="1"/>
                <w:bCs w:val="1"/>
                <w:color w:val="auto"/>
              </w:rPr>
              <w:t>Netcashusedininvestingactivities</w:t>
            </w: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(120)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(98)</w:t>
            </w:r>
          </w:p>
        </w:tc>
        <w:tc>
          <w:tcPr>
            <w:tcW w:w="20" w:type="dxa"/>
            <w:vAlign w:val="bottom"/>
          </w:tcPr>
          <w:p>
            <w:pPr>
              <w:spacing w:after="0"/>
              <w:rPr>
                <w:sz w:val="13"/>
                <w:szCs w:val="13"/>
                <w:color w:val="auto"/>
              </w:rPr>
            </w:pPr>
          </w:p>
        </w:tc>
      </w:tr>
      <w:tr>
        <w:trPr>
          <w:trHeight w:val="143"/>
        </w:trPr>
        <w:tc>
          <w:tcPr>
            <w:tcW w:w="714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recharge . . . . . . . . . . . . . . . . . . . . . . . . . . . . . . . . . . . . . . . . . . . . . . . . . . . . . . . . . . .</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3"/>
                <w:szCs w:val="13"/>
                <w:color w:val="auto"/>
              </w:rPr>
            </w:pPr>
          </w:p>
        </w:tc>
      </w:tr>
      <w:tr>
        <w:trPr>
          <w:trHeight w:val="169"/>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common stock from Parent . . . . . . . . . . . . . . . . . . . . . . . . . . . . . . . . . . . . . . . . . . . . . . . . . . . . . . .</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7140" w:type="dxa"/>
            <w:vAlign w:val="bottom"/>
          </w:tcPr>
          <w:p>
            <w:pPr>
              <w:jc w:val="right"/>
              <w:ind w:right="190"/>
              <w:spacing w:after="0" w:line="153" w:lineRule="exact"/>
              <w:rPr>
                <w:sz w:val="20"/>
                <w:szCs w:val="20"/>
                <w:color w:val="auto"/>
              </w:rPr>
            </w:pPr>
            <w:r>
              <w:rPr>
                <w:rFonts w:ascii="Times New Roman" w:cs="Times New Roman" w:eastAsia="Times New Roman" w:hAnsi="Times New Roman"/>
                <w:sz w:val="14"/>
                <w:szCs w:val="14"/>
                <w:color w:val="auto"/>
              </w:rPr>
              <w:t>. . . . . . . . . . . . . . . . . . . . . . . . . . . . . . . . . . . . . . . . . . . . . . . . . . . . . . . . . . .</w:t>
            </w:r>
            <w:r>
              <w:rPr>
                <w:rFonts w:ascii="Times New Roman" w:cs="Times New Roman" w:eastAsia="Times New Roman" w:hAnsi="Times New Roman"/>
                <w:sz w:val="14"/>
                <w:szCs w:val="14"/>
                <w:b w:val="1"/>
                <w:bCs w:val="1"/>
                <w:color w:val="auto"/>
              </w:rPr>
              <w:t>Netcashusedinfinancingactivities</w:t>
            </w: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(66)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(100)</w:t>
            </w:r>
          </w:p>
        </w:tc>
        <w:tc>
          <w:tcPr>
            <w:tcW w:w="20" w:type="dxa"/>
            <w:vAlign w:val="bottom"/>
          </w:tcPr>
          <w:p>
            <w:pPr>
              <w:spacing w:after="0"/>
              <w:rPr>
                <w:sz w:val="13"/>
                <w:szCs w:val="13"/>
                <w:color w:val="auto"/>
              </w:rPr>
            </w:pPr>
          </w:p>
        </w:tc>
      </w:tr>
      <w:tr>
        <w:trPr>
          <w:trHeight w:val="141"/>
        </w:trPr>
        <w:tc>
          <w:tcPr>
            <w:tcW w:w="7140" w:type="dxa"/>
            <w:vAlign w:val="bottom"/>
          </w:tcPr>
          <w:p>
            <w:pPr>
              <w:jc w:val="right"/>
              <w:ind w:right="190"/>
              <w:spacing w:after="0" w:line="141" w:lineRule="exact"/>
              <w:rPr>
                <w:sz w:val="20"/>
                <w:szCs w:val="20"/>
                <w:color w:val="auto"/>
              </w:rPr>
            </w:pPr>
            <w:r>
              <w:rPr>
                <w:rFonts w:ascii="Times New Roman" w:cs="Times New Roman" w:eastAsia="Times New Roman" w:hAnsi="Times New Roman"/>
                <w:sz w:val="14"/>
                <w:szCs w:val="14"/>
                <w:color w:val="auto"/>
              </w:rPr>
              <w:t>. . . . . . . . . . . . . . . . . . . . . . . . . . . . . . . . . . . .Effectofforeignexchangeratechangesoncashandcashequivalents</w:t>
            </w:r>
          </w:p>
        </w:tc>
        <w:tc>
          <w:tcPr>
            <w:tcW w:w="10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r>
      <w:tr>
        <w:trPr>
          <w:trHeight w:val="162"/>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in cash, cash equivalents and restricted cash . . . . . . . . . . . . . . . . . . . . . . . . . . . . . . . . . . . . . . . . . . . . . . .</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14"/>
                <w:szCs w:val="14"/>
                <w:color w:val="auto"/>
              </w:rPr>
            </w:pPr>
          </w:p>
        </w:tc>
      </w:tr>
      <w:tr>
        <w:trPr>
          <w:trHeight w:val="168"/>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of cash, cash equivalents and restricted cash, at beginning of year . . . . . . . . . . . . . . . . . . . . . . . . . . . . . . . .</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20" w:type="dxa"/>
            <w:vAlign w:val="bottom"/>
          </w:tcPr>
          <w:p>
            <w:pPr>
              <w:spacing w:after="0"/>
              <w:rPr>
                <w:sz w:val="14"/>
                <w:szCs w:val="14"/>
                <w:color w:val="auto"/>
              </w:rPr>
            </w:pPr>
          </w:p>
        </w:tc>
      </w:tr>
      <w:tr>
        <w:trPr>
          <w:trHeight w:val="152"/>
        </w:trPr>
        <w:tc>
          <w:tcPr>
            <w:tcW w:w="7140" w:type="dxa"/>
            <w:vAlign w:val="bottom"/>
          </w:tcPr>
          <w:p>
            <w:pPr>
              <w:jc w:val="right"/>
              <w:ind w:right="190"/>
              <w:spacing w:after="0" w:line="152" w:lineRule="exact"/>
              <w:rPr>
                <w:sz w:val="20"/>
                <w:szCs w:val="20"/>
                <w:color w:val="auto"/>
              </w:rPr>
            </w:pPr>
            <w:r>
              <w:rPr>
                <w:rFonts w:ascii="Times New Roman" w:cs="Times New Roman" w:eastAsia="Times New Roman" w:hAnsi="Times New Roman"/>
                <w:sz w:val="14"/>
                <w:szCs w:val="14"/>
                <w:color w:val="auto"/>
              </w:rPr>
              <w:t>. . . . . . . . . . . . . . . . . . . . . . . . . . . . . . . . . . .</w:t>
            </w:r>
            <w:r>
              <w:rPr>
                <w:rFonts w:ascii="Times New Roman" w:cs="Times New Roman" w:eastAsia="Times New Roman" w:hAnsi="Times New Roman"/>
                <w:sz w:val="14"/>
                <w:szCs w:val="14"/>
                <w:b w:val="1"/>
                <w:bCs w:val="1"/>
                <w:color w:val="auto"/>
              </w:rPr>
              <w:t>Balanceofcash,cashequivalentsandrestrictedcash,atendofyear</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1,860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1,438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1,226</w:t>
            </w:r>
          </w:p>
        </w:tc>
        <w:tc>
          <w:tcPr>
            <w:tcW w:w="20" w:type="dxa"/>
            <w:vAlign w:val="bottom"/>
          </w:tcPr>
          <w:p>
            <w:pPr>
              <w:spacing w:after="0"/>
              <w:rPr>
                <w:sz w:val="13"/>
                <w:szCs w:val="13"/>
                <w:color w:val="auto"/>
              </w:rPr>
            </w:pPr>
          </w:p>
        </w:tc>
      </w:tr>
      <w:tr>
        <w:trPr>
          <w:trHeight w:val="143"/>
        </w:trPr>
        <w:tc>
          <w:tcPr>
            <w:tcW w:w="714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rPr>
              <w:t>Supplementary non-cash investing and financing activities: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purchase of property and equipment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3"/>
                <w:szCs w:val="13"/>
                <w:color w:val="auto"/>
              </w:rPr>
            </w:pPr>
          </w:p>
        </w:tc>
      </w:tr>
      <w:tr>
        <w:trPr>
          <w:trHeight w:val="161"/>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sharing agreement with Parent .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3"/>
                <w:szCs w:val="13"/>
                <w:color w:val="auto"/>
              </w:rPr>
            </w:pPr>
          </w:p>
        </w:tc>
      </w:tr>
      <w:tr>
        <w:trPr>
          <w:trHeight w:val="159"/>
        </w:trPr>
        <w:tc>
          <w:tcPr>
            <w:tcW w:w="714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Conversion of Class B common stock to Class A common stock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20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r>
      <w:tr>
        <w:trPr>
          <w:trHeight w:val="163"/>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7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received from related party.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6"/>
                <w:szCs w:val="16"/>
                <w:color w:val="auto"/>
              </w:rPr>
            </w:pPr>
          </w:p>
        </w:tc>
      </w:tr>
    </w:tbl>
    <w:p>
      <w:pPr>
        <w:spacing w:after="0" w:line="19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800"/>
          </w:cols>
          <w:pgMar w:left="540" w:top="13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10800"/>
          </w:cols>
          <w:pgMar w:left="540" w:top="1344" w:right="540" w:bottom="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GENERAL</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Mobileye operates as a subsidiary of Intel Corporation (“Intel” or the “Parent”), which acquired a majority stake in Mobileye in August 2017 (the “Mobileye Acquisition”). The remaining issued and outstanding shares of Mobileye were acquired by Intel in 2018.</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Intel directly or indirectly holds all of the Class B common stock of Mobileye as well as 50,000,000 shares of Class A common stock, which as of December 27, 2025, together represent approximately 79.5% of our outstanding common stock and 97.3% of the voting power of our common stock. Mobileye’s Class A common stock has been traded on the Nasdaq Global Select Market since October 26, 2022 under the ticker symbol “MBLY”.</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Secondary Offering, Share Repurchase and Conversion</w:t>
      </w:r>
    </w:p>
    <w:p>
      <w:pPr>
        <w:spacing w:after="0" w:line="238"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On July 9, 2025, the Company announced the pricing of a public secondary offering of 50,000,000 shares of Class A common stock (which shares were received upon the conversion of 50,000,000 shares of Class B common stock into Class A common stock) by Intel at a public offering price of $16.50 per share (the “Secondary Offering”), with Intel granting the underwriters a 30-day option to purchase up to an additional 7,500,000 shares of Class A common stock (the “Option”). The Secondary Offering closed on July 11, 2025.</w:t>
      </w:r>
    </w:p>
    <w:p>
      <w:pPr>
        <w:spacing w:after="0" w:line="17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connection with and conditional upon the closing of the Secondary Offering, on July 11, 2025 the Company purchased from Intel 6,231,985 shares of Class A common stock (which shares were received upon the conversion of 6,231,985 shares of Class B common stock into Class A common stock) at a price of $16.04625 per share, which is equal to the per share purchase price paid by the underwriters in the Secondary Offering pursuant to a share repurchase agreement with Intel (the “Share Repurchase”). The aggregate consideration paid by the Company for the Share Repurchase was $100 million and is subject to a nondeductible excise tax of 1% pursuant to the Inflation Reduction Act of 2022. Upon closing of the Share Repurchase, the Company cancelled and retired the 6,231,985 shares of Class A common stock acquired pursuant to the Share Repurchase. The excess of the repurchase price over par value was charged to additional paid in capital.</w:t>
      </w:r>
    </w:p>
    <w:p>
      <w:pPr>
        <w:spacing w:after="0" w:line="20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Following the closing of the Share Repurchase, the underwriters exercised the Option (which shares were received upon the conversion of 7,500,000 shares of Class B common stock into Class A common stock), which closed on July 11, 2025. The Company did not sell any shares of Class A common stock in the Secondary Offering or in respect of the exercise of the Option and did not receive any proceeds from the sale of shares offered by Intel.</w:t>
      </w:r>
    </w:p>
    <w:p>
      <w:pPr>
        <w:spacing w:after="0" w:line="19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In addition to and conditional upon the closing of the Secondary Offering, Intel voluntarily converted pursuant to the Company’s Amended and Restated Certificate of Incorporation an additional 50,000,000 shares of Class B common stock to Class A common stock (the “Conversion”). The shares issued to Intel pursuant to the Conversion were issued pursuant to an exemption from registration pursuant to Section 3(a)(9) of the U.S. Securities Act of 1933. The Company received no proceeds from issuance of shares in the Conversion.</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paid the costs, which were approximately $1 million, associated with the registration of shares in connection with the Secondary Offering and Option, other than underwriting discounts, fees and commissions.</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Upon completion of the Secondary Offering, Share Repurchase, Option and Conversion and as of December 27, 2025, Intel continues to directly or indirectly hold all of the Class B common stock of Mobileye as well as 50,000,000 shares of Class A common stock, which together represent approximately 79.5% of our outstanding common stock and 97.3% of the voting power of our common stock.</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10800"/>
          </w:cols>
          <w:pgMar w:left="540" w:top="984" w:right="540" w:bottom="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As a result of the Secondary Offering, Share Repurchase, Option and Conversion, the Company has concluded that from a U.S. income tax perspective, Intel no longer holds a sufficient percentage of the Company’s issued and outstanding common stock, which resulted in the deconsolidation of the Company from Intel’s U.S. domestic income tax return on July 11, 2025 (the “Tax Deconsolidation”). Following the Tax Deconsolidation, the Company is no longer included in Intel’s U.S. domestic consolidated income tax return and will be filing its own U.S. corporate income tax returns for periods beginning July 12, 2025.</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Operations in Israel</w:t>
      </w:r>
    </w:p>
    <w:p>
      <w:pPr>
        <w:spacing w:after="0" w:line="239" w:lineRule="exact"/>
        <w:rPr>
          <w:sz w:val="20"/>
          <w:szCs w:val="20"/>
          <w:color w:val="auto"/>
        </w:rPr>
      </w:pPr>
    </w:p>
    <w:p>
      <w:pPr>
        <w:jc w:val="both"/>
        <w:ind w:firstLine="361"/>
        <w:spacing w:after="0" w:line="256" w:lineRule="auto"/>
        <w:rPr>
          <w:sz w:val="20"/>
          <w:szCs w:val="20"/>
          <w:color w:val="auto"/>
        </w:rPr>
      </w:pPr>
      <w:r>
        <w:rPr>
          <w:rFonts w:ascii="Times New Roman" w:cs="Times New Roman" w:eastAsia="Times New Roman" w:hAnsi="Times New Roman"/>
          <w:sz w:val="19"/>
          <w:szCs w:val="19"/>
          <w:color w:val="auto"/>
        </w:rPr>
        <w:t>On October 7, 2023, Hamas launched a series of attacks on civilian and military targets in Southern Israel and Central Israel, to which the Israel Defense Forces responded. In addition, both Hezbollah and the Houthi movement attacked military and civilian targets in Israel, to which Israel responded, including through increased air and ground operations in Lebanon. In addition, the Houthi movement attacked international shipping lanes in the Red Sea, to which both Israel and the United States responded. Further, on April 13, 2024 and October 1, 2024, Iran launched a series of drone and missile strikes against Israel, to which Israel responded. Most recently, on June 13, 2025 Israel launched a preemptive attack on Iran to which Iran responded with ballistic missile and drone attacks. On June 23, 2025, Israel and Iran agreed to a ceasefire, although there is no assurance that the ceasefire will continue. On October 9, 2025, Israel, Hamas, the United States and other countries in the region agreed to a framework for a ceasefire in Gaza between Israel and Hamas.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To date, our operations have not been materially affected, although as of February 3, 2026 approximately 3.3% of our employees have been called to reserve duty in the Israel Defense Forces. However, any hostilities involving Israel, regional geopolitical instability or the interruption or curtailment of trade or diplomatic relations between Israel and its trading partners as a result thereof could adversely affect our business, results of operations, and financial condition.</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Other events during the current reporting period</w:t>
      </w:r>
    </w:p>
    <w:p>
      <w:pPr>
        <w:spacing w:after="0" w:line="19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On December 8, 2025, the Company implemented a workforce reduction affecting approximately 200 employees, primarily in Israel. The related costs were in the amount of approximately $7 million, which was recorded as an expense in the year ended December 27,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2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operates on a 52- week or 53-week fiscal year that ends on the last Saturday in December. Fiscal years 2025, 2024 and 2023 were 52-week fiscal years.</w:t>
      </w:r>
    </w:p>
    <w:p>
      <w:pPr>
        <w:spacing w:after="0" w:line="14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consolidated financial statements have been prepared in accordance with United States generally accepted accounting principles (“U.S. GAAP”). All intercompany balances and transactions have been eliminated in consolidation.</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23"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management to make estimates, judgments and assumptions that affect the amounts and events reported and disclosed in the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5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On an on-going basis, management evaluates its estimates, judgments, and assumptions. The most significant estimates and assumptions relate to useful lives of intangible assets, impairment assessment of intangible assets and goodwill and income taxes. A change in estimates, including a change in the overall market value of the Company, could require reassessments of the items noted above.</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10800"/>
          </w:cols>
          <w:pgMar w:left="540" w:top="984" w:right="540" w:bottom="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Functional currency</w:t>
      </w:r>
    </w:p>
    <w:p>
      <w:pPr>
        <w:spacing w:after="0" w:line="22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majority of the Company and its subsidiaries revenue are denominated in the United States (“U.S.”) dollar, as are most purchases of materials and components.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17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 -monetary assets and liabilities are remeasured into the functional currency using the historical exchange rate. The effects of foreign currency remeasurements are recorded in the consolidated statements of operations and comprehensive income (loss) as financial income (expense), net.</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Debt Investments</w:t>
      </w:r>
    </w:p>
    <w:p>
      <w:pPr>
        <w:spacing w:after="0" w:line="21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Marketable debt securities consist of highly liquid U.S. government bonds with maturities of up to six months when purchased. These debt investments are classified as Available For Sale investments and measured at fair value with unrealized gains and losses, net of tax, recorded in accumulated other comprehensive income (loss). We consider all highly liquid debt investments that are readily convertible into cash and have an original maturity of three months or less at the time of purchase to be cash equivalents. Debt investments with original maturities of greater than three months and less than one year, are classified within other current assets.</w:t>
      </w:r>
    </w:p>
    <w:p>
      <w:pPr>
        <w:spacing w:after="0" w:line="17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Available for sale debt investments are subject to a periodic impairment review. For investments in an unrealized loss position, we determine whether a credit loss exists. We recognize an allowance for credit losses, up to the amount of the unrealized loss when appropriate, and write down the amortized cost basis of the investment if it is more likely than not we will be required or we intend to sell the investment before recovery of its amortized cost basis.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Equity Investments</w:t>
      </w:r>
    </w:p>
    <w:p>
      <w:pPr>
        <w:spacing w:after="0" w:line="21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Equity investments consist of investments in marketable and non -marketable equity securities. Investments in marketable equity securities are measured and recorded at fair value with changes in fair value, whether realized or unrealized, recorded in the statement of operations and comprehensive income (loss). Equity investments are classified within other current assets. Investments in non-marketable equity securities without a readily determinable fair value, are measured using the measurement alternative under ASC Topic 321, Investments - Equity Securities. This measurement alternative allows us to measure the equity investment at its cost minus impairment, if any, plus or minus changes resulting from observable price changes in orderly transactions for the identical or a similar investment of the same issuer.</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Cash equivalents consist of short term deposits and money market funds. The short term deposits are short-term unrestricted highly liquid investments that are readily convertible to cash and with original maturities of three months or less at acquisition. The money market funds consist of institutional investors money market funds and are readily redeemable to cash.</w:t>
      </w:r>
    </w:p>
    <w:p>
      <w:pPr>
        <w:spacing w:after="0" w:line="1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Restricted bank deposits are cash amounts related to bank guarantees mainly in connection with lease agreements and import of vehicles. Such deposits are stated at cost including accrued interest, which approximates market values. These amounts are included in other current and long-term assets on the consolidated balance sheets.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10800"/>
          </w:cols>
          <w:pgMar w:left="540" w:top="984" w:right="540" w:bottom="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is a reconciliation of the cash, cash equivalents and restricted cash for each period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160" w:type="dxa"/>
            <w:vAlign w:val="bottom"/>
            <w:tcBorders>
              <w:bottom w:val="single" w:sz="8" w:color="auto"/>
            </w:tcBorders>
          </w:tcPr>
          <w:p>
            <w:pPr>
              <w:spacing w:after="0"/>
              <w:rPr>
                <w:sz w:val="17"/>
                <w:szCs w:val="17"/>
                <w:color w:val="auto"/>
              </w:rPr>
            </w:pPr>
          </w:p>
        </w:tc>
      </w:tr>
      <w:tr>
        <w:trPr>
          <w:trHeight w:val="165"/>
        </w:trPr>
        <w:tc>
          <w:tcPr>
            <w:tcW w:w="7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6"/>
              <w:spacing w:after="0" w:line="16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86"/>
              <w:spacing w:after="0" w:line="165" w:lineRule="exact"/>
              <w:rPr>
                <w:sz w:val="20"/>
                <w:szCs w:val="20"/>
                <w:color w:val="auto"/>
              </w:rPr>
            </w:pPr>
            <w:r>
              <w:rPr>
                <w:rFonts w:ascii="Times New Roman" w:cs="Times New Roman" w:eastAsia="Times New Roman" w:hAnsi="Times New Roman"/>
                <w:sz w:val="16"/>
                <w:szCs w:val="16"/>
                <w:b w:val="1"/>
                <w:bCs w:val="1"/>
                <w:color w:val="auto"/>
              </w:rPr>
              <w:t>December 28,</w:t>
            </w:r>
          </w:p>
        </w:tc>
      </w:tr>
      <w:tr>
        <w:trPr>
          <w:trHeight w:val="194"/>
        </w:trPr>
        <w:tc>
          <w:tcPr>
            <w:tcW w:w="7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7960" w:type="dxa"/>
            <w:vAlign w:val="bottom"/>
          </w:tcPr>
          <w:p>
            <w:pPr>
              <w:jc w:val="right"/>
              <w:ind w:right="283"/>
              <w:spacing w:after="0" w:line="208"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 . . . . . . . . . . . . . . . . . . . . .Cash</w:t>
            </w:r>
          </w:p>
        </w:tc>
        <w:tc>
          <w:tcPr>
            <w:tcW w:w="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56</w:t>
            </w:r>
          </w:p>
        </w:tc>
      </w:tr>
      <w:tr>
        <w:trPr>
          <w:trHeight w:val="230"/>
        </w:trPr>
        <w:tc>
          <w:tcPr>
            <w:tcW w:w="796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auto"/>
                <w:w w:val="96"/>
              </w:rPr>
              <w:t>Short term deposits . . . . . . . . . . . . . . . . . . . . . . . . . . . . . . . . . . . . . . . . . . . . . . . . . . . . . . . . . . . . . . .</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w:t>
            </w:r>
          </w:p>
        </w:tc>
      </w:tr>
      <w:tr>
        <w:trPr>
          <w:trHeight w:val="230"/>
        </w:trPr>
        <w:tc>
          <w:tcPr>
            <w:tcW w:w="796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auto"/>
                <w:w w:val="96"/>
              </w:rPr>
              <w:t>Money market funds . . . . . . . . . . . . . . . . . . . . . . . . . . . . . . . . . . . . . . . . . . . . . . . . . . . . . . . . . . . . . .</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w:t>
            </w:r>
          </w:p>
        </w:tc>
      </w:tr>
      <w:tr>
        <w:trPr>
          <w:trHeight w:val="241"/>
        </w:trPr>
        <w:tc>
          <w:tcPr>
            <w:tcW w:w="7960" w:type="dxa"/>
            <w:vAlign w:val="bottom"/>
          </w:tcPr>
          <w:p>
            <w:pPr>
              <w:jc w:val="right"/>
              <w:ind w:right="283"/>
              <w:spacing w:after="0"/>
              <w:rPr>
                <w:sz w:val="20"/>
                <w:szCs w:val="20"/>
                <w:color w:val="auto"/>
              </w:rPr>
            </w:pPr>
            <w:r>
              <w:rPr>
                <w:rFonts w:ascii="Times New Roman" w:cs="Times New Roman" w:eastAsia="Times New Roman" w:hAnsi="Times New Roman"/>
                <w:sz w:val="20"/>
                <w:szCs w:val="20"/>
                <w:color w:val="auto"/>
                <w:w w:val="98"/>
              </w:rPr>
              <w:t>Restricted cash (within other current and other long-term assets) . . . . . . . . . . . . . . . . . . . . . . . . .</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05"/>
        </w:trPr>
        <w:tc>
          <w:tcPr>
            <w:tcW w:w="7960" w:type="dxa"/>
            <w:vAlign w:val="bottom"/>
          </w:tcPr>
          <w:p>
            <w:pPr>
              <w:spacing w:after="0" w:line="205" w:lineRule="exact"/>
              <w:rPr>
                <w:sz w:val="20"/>
                <w:szCs w:val="20"/>
                <w:color w:val="auto"/>
              </w:rPr>
            </w:pPr>
            <w:r>
              <w:rPr>
                <w:rFonts w:ascii="Times New Roman" w:cs="Times New Roman" w:eastAsia="Times New Roman" w:hAnsi="Times New Roman"/>
                <w:sz w:val="20"/>
                <w:szCs w:val="20"/>
                <w:b w:val="1"/>
                <w:bCs w:val="1"/>
                <w:color w:val="auto"/>
              </w:rPr>
              <w:t>Cash, cash equivalents and restricted cash presented in the consolidated statements of</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76"/>
        </w:trPr>
        <w:tc>
          <w:tcPr>
            <w:tcW w:w="7960" w:type="dxa"/>
            <w:vAlign w:val="bottom"/>
          </w:tcPr>
          <w:p>
            <w:pPr>
              <w:jc w:val="right"/>
              <w:ind w:right="283"/>
              <w:spacing w:after="0"/>
              <w:rPr>
                <w:sz w:val="20"/>
                <w:szCs w:val="20"/>
                <w:color w:val="auto"/>
              </w:rPr>
            </w:pPr>
            <w:r>
              <w:rPr>
                <w:rFonts w:ascii="Times New Roman" w:cs="Times New Roman" w:eastAsia="Times New Roman" w:hAnsi="Times New Roman"/>
                <w:sz w:val="20"/>
                <w:szCs w:val="20"/>
                <w:b w:val="1"/>
                <w:bCs w:val="1"/>
                <w:color w:val="auto"/>
                <w:w w:val="98"/>
              </w:rPr>
              <w:t xml:space="preserve">cash flows </w:t>
            </w:r>
            <w:r>
              <w:rPr>
                <w:rFonts w:ascii="Times New Roman" w:cs="Times New Roman" w:eastAsia="Times New Roman" w:hAnsi="Times New Roman"/>
                <w:sz w:val="20"/>
                <w:szCs w:val="20"/>
                <w:color w:val="auto"/>
                <w:w w:val="98"/>
              </w:rPr>
              <w:t>. . . . . . . . . . . . . . . . . . . . . . . . . . . . . . . . . . . . . . . . . . .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1,860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1,438</w:t>
            </w:r>
          </w:p>
        </w:tc>
      </w:tr>
    </w:tbl>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Fair value measurement</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Quoted prices (unadjusted) in active markets that are accessible at the measurement date for identical assets or liabilities.</w:t>
      </w:r>
    </w:p>
    <w:p>
      <w:pPr>
        <w:spacing w:after="0"/>
        <w:rPr>
          <w:sz w:val="20"/>
          <w:szCs w:val="20"/>
          <w:color w:val="auto"/>
        </w:rPr>
      </w:pPr>
      <w:r>
        <w:rPr>
          <w:rFonts w:ascii="Times New Roman" w:cs="Times New Roman" w:eastAsia="Times New Roman" w:hAnsi="Times New Roman"/>
          <w:sz w:val="20"/>
          <w:szCs w:val="20"/>
          <w:color w:val="auto"/>
        </w:rPr>
        <w:t>The fair value hierarchy gives the highest priority to Level 1 inputs.</w:t>
      </w:r>
    </w:p>
    <w:p>
      <w:pPr>
        <w:spacing w:after="0" w:line="24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Level 2: Observable prices that are based on inputs not quoted on active markets but are corroborated by market data or active market data for similar, but not identical assets or liabilities.</w:t>
      </w:r>
    </w:p>
    <w:p>
      <w:pPr>
        <w:spacing w:after="0" w:line="16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Level 3: Unobservable inputs are used when little or no market data is available. The Company 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and minimize the use of unobservable inputs to the extent possible and if applicable considers credit risk in its assessment of fair value.</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carrying amounts of short term deposits classified as cash equivalents, trade accounts receivable and accounts payable approximates their fair value due to the short maturity of these items.</w:t>
      </w:r>
    </w:p>
    <w:p>
      <w:pPr>
        <w:spacing w:after="0" w:line="16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Company’s investment in money market funds is measured at fair value within Level 1 of the fair value hierarchy because they consist of financial assets for which quoted prices are available in an active market. Interest income related to money market funds for the years ended December 27, 2025, December 28, 2024 and December 30, 2023 amounted to $41 million, $47 million and $46 million, respectively.</w:t>
      </w:r>
    </w:p>
    <w:p>
      <w:pPr>
        <w:spacing w:after="0" w:line="19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Company’s investment in U.S. government bonds is measured at fair value within Level 1 of the fair value hierarchy because they consist of U.S. government bonds for which quoted prices are available in an active market.</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Company’s marketable equity investments are measured at fair value within Level 1 of the fair value hierarchy because they consist of investments in marketable equity securities for which quoted prices are available in an active market.</w:t>
      </w:r>
    </w:p>
    <w:p>
      <w:pPr>
        <w:spacing w:after="0" w:line="16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Company’s derivative instruments designated as hedging instruments, are measured at fair value within Level 2 of the fair value hierarchy.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10800"/>
          </w:cols>
          <w:pgMar w:left="540" w:top="984" w:right="540" w:bottom="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which considers the Company’s customer base and an assessment of selling price in relation to product cost. Once written-down, a new lower cost basis for that inventory is established.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p>
      <w:pPr>
        <w:spacing w:after="0" w:line="24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Property and equipment are depreciated on a straight-line basis over their estimated useful lives.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estimated useful lives per asset type are as follows:</w:t>
      </w:r>
    </w:p>
    <w:p>
      <w:pPr>
        <w:spacing w:after="0" w:line="251"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6"/>
          <w:szCs w:val="16"/>
          <w:b w:val="1"/>
          <w:bCs w:val="1"/>
          <w:color w:val="auto"/>
        </w:rPr>
        <w:t>Years</w:t>
      </w:r>
    </w:p>
    <w:p>
      <w:pPr>
        <w:spacing w:after="0" w:line="10" w:lineRule="exact"/>
        <w:rPr>
          <w:sz w:val="20"/>
          <w:szCs w:val="20"/>
          <w:color w:val="auto"/>
        </w:rPr>
      </w:pPr>
    </w:p>
    <w:p>
      <w:pPr>
        <w:spacing w:after="0"/>
        <w:tabs>
          <w:tab w:leader="none" w:pos="9320" w:val="left"/>
        </w:tabs>
        <w:rPr>
          <w:sz w:val="20"/>
          <w:szCs w:val="20"/>
          <w:color w:val="auto"/>
        </w:rPr>
      </w:pPr>
      <w:r>
        <w:rPr>
          <w:rFonts w:ascii="Times New Roman" w:cs="Times New Roman" w:eastAsia="Times New Roman" w:hAnsi="Times New Roman"/>
          <w:sz w:val="20"/>
          <w:szCs w:val="20"/>
          <w:color w:val="auto"/>
        </w:rPr>
        <w:t>Computers, electronic equipment and software . . . . . . . . . . . . . . . . . . . . . . . . . . . . . . . . . . . . . . . . . . . . . . . . . . . . .</w:t>
      </w:r>
      <w:r>
        <w:rPr>
          <w:sz w:val="20"/>
          <w:szCs w:val="20"/>
          <w:color w:val="auto"/>
        </w:rPr>
        <w:tab/>
      </w:r>
      <w:r>
        <w:rPr>
          <w:rFonts w:ascii="Times New Roman" w:cs="Times New Roman" w:eastAsia="Times New Roman" w:hAnsi="Times New Roman"/>
          <w:sz w:val="20"/>
          <w:szCs w:val="20"/>
          <w:color w:val="auto"/>
        </w:rPr>
        <w:t>3 - 7 (Mainly 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5823585</wp:posOffset>
                </wp:positionH>
                <wp:positionV relativeFrom="paragraph">
                  <wp:posOffset>-135890</wp:posOffset>
                </wp:positionV>
                <wp:extent cx="103441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441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55pt,-10.6999pt" to="540pt,-10.6999pt" o:allowincell="f" strokecolor="#000000" strokeweight="0.48pt"/>
            </w:pict>
          </mc:Fallback>
        </mc:AlternateContent>
      </w:r>
    </w:p>
    <w:p>
      <w:pPr>
        <w:spacing w:after="0"/>
        <w:tabs>
          <w:tab w:leader="none" w:pos="9920" w:val="left"/>
        </w:tabs>
        <w:rPr>
          <w:sz w:val="20"/>
          <w:szCs w:val="20"/>
          <w:color w:val="auto"/>
        </w:rPr>
      </w:pPr>
      <w:r>
        <w:rPr>
          <w:rFonts w:ascii="Times New Roman" w:cs="Times New Roman" w:eastAsia="Times New Roman" w:hAnsi="Times New Roman"/>
          <w:sz w:val="20"/>
          <w:szCs w:val="20"/>
          <w:color w:val="auto"/>
        </w:rPr>
        <w:t>Vehicles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w:t>
      </w:r>
    </w:p>
    <w:p>
      <w:pPr>
        <w:spacing w:after="0" w:line="2" w:lineRule="exact"/>
        <w:rPr>
          <w:sz w:val="20"/>
          <w:szCs w:val="20"/>
          <w:color w:val="auto"/>
        </w:rPr>
      </w:pPr>
    </w:p>
    <w:p>
      <w:pPr>
        <w:spacing w:after="0"/>
        <w:tabs>
          <w:tab w:leader="none" w:pos="9860" w:val="left"/>
        </w:tabs>
        <w:rPr>
          <w:sz w:val="20"/>
          <w:szCs w:val="20"/>
          <w:color w:val="auto"/>
        </w:rPr>
      </w:pPr>
      <w:r>
        <w:rPr>
          <w:rFonts w:ascii="Times New Roman" w:cs="Times New Roman" w:eastAsia="Times New Roman" w:hAnsi="Times New Roman"/>
          <w:sz w:val="20"/>
          <w:szCs w:val="20"/>
          <w:color w:val="auto"/>
        </w:rPr>
        <w:t>Office furniture and equipment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14</w:t>
      </w:r>
    </w:p>
    <w:p>
      <w:pPr>
        <w:spacing w:after="0"/>
        <w:tabs>
          <w:tab w:leader="none" w:pos="9180" w:val="left"/>
        </w:tabs>
        <w:rPr>
          <w:sz w:val="20"/>
          <w:szCs w:val="20"/>
          <w:color w:val="auto"/>
        </w:rPr>
      </w:pPr>
      <w:r>
        <w:rPr>
          <w:rFonts w:ascii="Times New Roman" w:cs="Times New Roman" w:eastAsia="Times New Roman" w:hAnsi="Times New Roman"/>
          <w:sz w:val="20"/>
          <w:szCs w:val="20"/>
          <w:color w:val="auto"/>
        </w:rPr>
        <w:t>Buildings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15 - 25 (Mainly 25)</w:t>
      </w:r>
    </w:p>
    <w:p>
      <w:pPr>
        <w:spacing w:after="0" w:line="231"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Leasehold improvements are amortized on a straight-line basis over the shorter of the remaining lease term or estimated useful life of the improvements.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Assets in construction are not depreciated until they are available for their intended use.</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4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In accordance with ASC 350, the Company initially assesses qualitative factors to determine whether the existence of events or circumstances indicate that it is more likely than not that the fair value of a reporting unit is less than its carrying amount. Qualitative factors include industry and market considerations, overall financial performance, and other relevant events and factors affecting the reporting unit. If the Company determines, based on this assessment, that it is more likely than not that the fair value of the reporting unit is less than its carrying amount, it performs a quantitative goodwill impairment test by comparing the reporting unit’s fair value with its carrying amount. An impairment loss is recognized for the amount by which the reporting unit’s carrying amount exceeds its fair value.</w:t>
      </w:r>
    </w:p>
    <w:p>
      <w:pPr>
        <w:spacing w:after="0" w:line="19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Company’s quantitative impairment test may consider both the income approach and the market approach to estimate a reporting unit’s fair value. Significant estimates for the income approach include financial projections, terminal growth rate, and discount rate based on a reporting unit’s weighted average cost of capital. The estimated fair value using a market approach is based on a number of assumptions, including current market capitalization as corroboration of fair value.</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Forecasts and estimates are based on assumptions that are consistent with the plans and estimates used to manage the business.</w:t>
      </w:r>
    </w:p>
    <w:p>
      <w:pPr>
        <w:spacing w:after="0"/>
        <w:rPr>
          <w:sz w:val="20"/>
          <w:szCs w:val="20"/>
          <w:color w:val="auto"/>
        </w:rPr>
      </w:pPr>
      <w:r>
        <w:rPr>
          <w:rFonts w:ascii="Times New Roman" w:cs="Times New Roman" w:eastAsia="Times New Roman" w:hAnsi="Times New Roman"/>
          <w:sz w:val="20"/>
          <w:szCs w:val="20"/>
          <w:color w:val="auto"/>
        </w:rPr>
        <w:t>Changes in these estimates could change the conclusion regarding an impairment of goodwill.</w:t>
      </w:r>
    </w:p>
    <w:p>
      <w:pPr>
        <w:spacing w:after="0" w:line="239" w:lineRule="exact"/>
        <w:rPr>
          <w:sz w:val="20"/>
          <w:szCs w:val="20"/>
          <w:color w:val="auto"/>
        </w:rPr>
      </w:pPr>
    </w:p>
    <w:p>
      <w:pPr>
        <w:jc w:val="both"/>
        <w:ind w:firstLine="360"/>
        <w:spacing w:after="0" w:line="308" w:lineRule="auto"/>
        <w:rPr>
          <w:sz w:val="20"/>
          <w:szCs w:val="20"/>
          <w:color w:val="auto"/>
        </w:rPr>
      </w:pPr>
      <w:r>
        <w:rPr>
          <w:rFonts w:ascii="Times New Roman" w:cs="Times New Roman" w:eastAsia="Times New Roman" w:hAnsi="Times New Roman"/>
          <w:sz w:val="19"/>
          <w:szCs w:val="19"/>
          <w:color w:val="auto"/>
        </w:rPr>
        <w:t xml:space="preserve">In the year ended December 27, 2025, no goodwill impairment loss was recognized. In the year ended December 28, 2024, a non-cash goodwill impairment loss of $2,695 million, was recognized for the Mobileye reporting unit, for further detail see Note 10 </w:t>
      </w:r>
      <w:r>
        <w:rPr>
          <w:rFonts w:ascii="Times New Roman" w:cs="Times New Roman" w:eastAsia="Times New Roman" w:hAnsi="Times New Roman"/>
          <w:sz w:val="19"/>
          <w:szCs w:val="19"/>
          <w:i w:val="1"/>
          <w:iCs w:val="1"/>
          <w:color w:val="auto"/>
        </w:rPr>
        <w:t>Goodwill</w:t>
      </w:r>
      <w:r>
        <w:rPr>
          <w:rFonts w:ascii="Times New Roman" w:cs="Times New Roman" w:eastAsia="Times New Roman" w:hAnsi="Times New Roman"/>
          <w:sz w:val="19"/>
          <w:szCs w:val="19"/>
          <w:color w:val="auto"/>
        </w:rPr>
        <w:t>.</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Intangible assets, net</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amortizes acquisition-related intangible assets that are subject to amortization over their estimated useful life.</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10800"/>
          </w:cols>
          <w:pgMar w:left="540" w:top="984" w:right="540" w:bottom="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performs an annual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 The Company did not record any impairment of intangible assets for any of the periods presented.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242"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Long-lived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The Company did not record any impairment of long-lived assets for any of the periods presented.</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Research and development, net</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consist primarily of personnel, facilities, equipment, and supplies for research and development activities.</w:t>
      </w:r>
    </w:p>
    <w:p>
      <w:pPr>
        <w:spacing w:after="0" w:line="16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For software embedded in products, 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 For development of Cloud-Enhanced ADAS™ systems, the Company applies ASC 350 - 40, Internal - use software, under which costs will be capitalized only when both the preliminary project stage is completed and it is probable that the software being developed is completed and used to perform the function intended.</w:t>
      </w:r>
    </w:p>
    <w:p>
      <w:pPr>
        <w:spacing w:after="0" w:line="20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enters into best-efforts non - 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9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 xml:space="preserve">Participation in expenses for research and development projects are recognized on the basis of the costs incurred and are netted against research and development expenses in the consolidated statements of operations and comprehensive income (loss). Research and development reimbursements of </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$94 million, $91 million, and $89 million were offset against research and development costs in the years ended December 27, 2025, December 28, 2024, and December 30, 2023, respectively.</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Derivatives and hedging</w:t>
      </w:r>
    </w:p>
    <w:p>
      <w:pPr>
        <w:spacing w:after="0" w:line="242"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During the fourth quarter of 2024 the Company initiated a foreign currency cash flow hedging program, designed to hedge the Company’s foreign exchange rate risk, resulting from ILS payroll expenses. The Company hedges portions of its forecasted payroll payments denominated in ILS for a period of up to 12 months, using forward contracts that are designated as cash flow hedges, as defined by ASC 815. These derivative instruments are measured at fair value within Level 2 of the fair value hierarchy. Derivative instruments are recorded as other current assets or other current liabilities, according to the timing of settlement. For these derivative instruments, designated as a cash flow hedge, gains and losses are reported as a component of other comprehensive income (loss) and reclassified into earnings in the same line item associated with the hedged transaction and in the same period or periods during which the hedged transaction affects the statement of operations and comprehensive income (loss). As of December 27, 2025, the Company expects to reclassify all of its unrealized gains and losses from accumulated other comprehensive income (loss) to earnings during the next twelve months. The cash flows associated with these derivatives are classified in the consolidated statements of cash flows consistently with the classification of the underlying hedged transaction, within cash flows from operating activities.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10800"/>
          </w:cols>
          <w:pgMar w:left="540" w:top="984" w:right="540" w:bottom="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notional amount and fair value of outstanding derivatives at the end of each period were: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20" w:type="dxa"/>
            <w:vAlign w:val="bottom"/>
            <w:tcBorders>
              <w:bottom w:val="single" w:sz="8" w:color="auto"/>
            </w:tcBorders>
          </w:tcPr>
          <w:p>
            <w:pPr>
              <w:spacing w:after="0"/>
              <w:rPr>
                <w:sz w:val="17"/>
                <w:szCs w:val="17"/>
                <w:color w:val="auto"/>
              </w:rPr>
            </w:pPr>
          </w:p>
        </w:tc>
      </w:tr>
      <w:tr>
        <w:trPr>
          <w:trHeight w:val="155"/>
        </w:trPr>
        <w:tc>
          <w:tcPr>
            <w:tcW w:w="846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r>
      <w:tr>
        <w:trPr>
          <w:trHeight w:val="193"/>
        </w:trPr>
        <w:tc>
          <w:tcPr>
            <w:tcW w:w="8460" w:type="dxa"/>
            <w:vAlign w:val="bottom"/>
          </w:tcPr>
          <w:p>
            <w:pPr>
              <w:jc w:val="right"/>
              <w:ind w:right="6827"/>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8460" w:type="dxa"/>
            <w:vAlign w:val="bottom"/>
          </w:tcPr>
          <w:p>
            <w:pPr>
              <w:jc w:val="right"/>
              <w:ind w:right="207"/>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 . . . . .Notionalamountofderivativescontracts</w:t>
            </w:r>
          </w:p>
        </w:tc>
        <w:tc>
          <w:tcPr>
            <w:tcW w:w="220" w:type="dxa"/>
            <w:vAlign w:val="bottom"/>
          </w:tcPr>
          <w:p>
            <w:pPr>
              <w:jc w:val="right"/>
              <w:ind w:right="2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5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214</w:t>
            </w:r>
          </w:p>
        </w:tc>
      </w:tr>
      <w:tr>
        <w:trPr>
          <w:trHeight w:val="268"/>
        </w:trPr>
        <w:tc>
          <w:tcPr>
            <w:tcW w:w="846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w w:val="97"/>
              </w:rPr>
              <w:t>Fair value of derivative assets . . . . . . . . . . . . . . . . . . . . . . . . . . . . . . . . . . . . . . . . . . . . . . . . . . . . . . . . . . . .</w:t>
            </w:r>
          </w:p>
        </w:tc>
        <w:tc>
          <w:tcPr>
            <w:tcW w:w="22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540" w:type="dxa"/>
            <w:vAlign w:val="bottom"/>
            <w:gridSpan w:val="3"/>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bl>
    <w:p>
      <w:pPr>
        <w:spacing w:after="0" w:line="191"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change in accumulated other comprehensive income (loss) relating to gains (losses) on derivatives used for hedging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7"/>
        </w:trPr>
        <w:tc>
          <w:tcPr>
            <w:tcW w:w="7260" w:type="dxa"/>
            <w:vAlign w:val="bottom"/>
          </w:tcPr>
          <w:p>
            <w:pPr>
              <w:spacing w:after="0"/>
              <w:rPr>
                <w:sz w:val="14"/>
                <w:szCs w:val="14"/>
                <w:color w:val="auto"/>
              </w:rPr>
            </w:pPr>
          </w:p>
        </w:tc>
        <w:tc>
          <w:tcPr>
            <w:tcW w:w="1260" w:type="dxa"/>
            <w:vAlign w:val="bottom"/>
            <w:gridSpan w:val="3"/>
          </w:tcPr>
          <w:p>
            <w:pPr>
              <w:jc w:val="right"/>
              <w:ind w:right="280"/>
              <w:spacing w:after="0" w:line="167"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02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40" w:type="dxa"/>
            <w:vAlign w:val="bottom"/>
          </w:tcPr>
          <w:p>
            <w:pPr>
              <w:spacing w:after="0"/>
              <w:rPr>
                <w:sz w:val="14"/>
                <w:szCs w:val="14"/>
                <w:color w:val="auto"/>
              </w:rPr>
            </w:pPr>
          </w:p>
        </w:tc>
        <w:tc>
          <w:tcPr>
            <w:tcW w:w="1040" w:type="dxa"/>
            <w:vAlign w:val="bottom"/>
            <w:gridSpan w:val="3"/>
          </w:tcPr>
          <w:p>
            <w:pPr>
              <w:jc w:val="right"/>
              <w:ind w:right="60"/>
              <w:spacing w:after="0" w:line="167"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 w:type="dxa"/>
            <w:vAlign w:val="bottom"/>
          </w:tcPr>
          <w:p>
            <w:pPr>
              <w:spacing w:after="0"/>
              <w:rPr>
                <w:sz w:val="14"/>
                <w:szCs w:val="14"/>
                <w:color w:val="auto"/>
              </w:rPr>
            </w:pPr>
          </w:p>
        </w:tc>
      </w:tr>
      <w:tr>
        <w:trPr>
          <w:trHeight w:val="193"/>
        </w:trPr>
        <w:tc>
          <w:tcPr>
            <w:tcW w:w="7260" w:type="dxa"/>
            <w:vAlign w:val="bottom"/>
          </w:tcPr>
          <w:p>
            <w:pPr>
              <w:jc w:val="right"/>
              <w:ind w:right="5624"/>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7260" w:type="dxa"/>
            <w:vAlign w:val="bottom"/>
          </w:tcPr>
          <w:p>
            <w:pPr>
              <w:jc w:val="right"/>
              <w:ind w:right="244"/>
              <w:spacing w:after="0" w:line="208" w:lineRule="exact"/>
              <w:rPr>
                <w:sz w:val="20"/>
                <w:szCs w:val="20"/>
                <w:color w:val="auto"/>
              </w:rPr>
            </w:pPr>
            <w:r>
              <w:rPr>
                <w:rFonts w:ascii="Times New Roman" w:cs="Times New Roman" w:eastAsia="Times New Roman" w:hAnsi="Times New Roman"/>
                <w:sz w:val="20"/>
                <w:szCs w:val="20"/>
                <w:color w:val="auto"/>
              </w:rPr>
              <w:t>. . . . . . . . . . . . . . . . . . . . . . .Othercomprehensiveincome(loss)beforereclassifications</w:t>
            </w:r>
          </w:p>
        </w:tc>
        <w:tc>
          <w:tcPr>
            <w:tcW w:w="220" w:type="dxa"/>
            <w:vAlign w:val="bottom"/>
          </w:tcPr>
          <w:p>
            <w:pPr>
              <w:jc w:val="right"/>
              <w:ind w:right="27"/>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39</w:t>
            </w:r>
          </w:p>
        </w:tc>
        <w:tc>
          <w:tcPr>
            <w:tcW w:w="240" w:type="dxa"/>
            <w:vAlign w:val="bottom"/>
          </w:tcPr>
          <w:p>
            <w:pPr>
              <w:spacing w:after="0"/>
              <w:rPr>
                <w:sz w:val="18"/>
                <w:szCs w:val="18"/>
                <w:color w:val="auto"/>
              </w:rPr>
            </w:pPr>
          </w:p>
        </w:tc>
        <w:tc>
          <w:tcPr>
            <w:tcW w:w="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w:t>
            </w:r>
          </w:p>
        </w:tc>
        <w:tc>
          <w:tcPr>
            <w:tcW w:w="240" w:type="dxa"/>
            <w:vAlign w:val="bottom"/>
          </w:tcPr>
          <w:p>
            <w:pPr>
              <w:spacing w:after="0"/>
              <w:rPr>
                <w:sz w:val="18"/>
                <w:szCs w:val="18"/>
                <w:color w:val="auto"/>
              </w:rPr>
            </w:pPr>
          </w:p>
        </w:tc>
        <w:tc>
          <w:tcPr>
            <w:tcW w:w="220" w:type="dxa"/>
            <w:vAlign w:val="bottom"/>
          </w:tcPr>
          <w:p>
            <w:pPr>
              <w:jc w:val="right"/>
              <w:ind w:right="27"/>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gridSpan w:val="2"/>
          </w:tcPr>
          <w:p>
            <w:pPr>
              <w:spacing w:after="0"/>
              <w:rPr>
                <w:sz w:val="18"/>
                <w:szCs w:val="18"/>
                <w:color w:val="auto"/>
              </w:rPr>
            </w:pPr>
          </w:p>
        </w:tc>
      </w:tr>
      <w:tr>
        <w:trPr>
          <w:trHeight w:val="230"/>
        </w:trPr>
        <w:tc>
          <w:tcPr>
            <w:tcW w:w="7260" w:type="dxa"/>
            <w:vAlign w:val="bottom"/>
          </w:tcPr>
          <w:p>
            <w:pPr>
              <w:jc w:val="right"/>
              <w:ind w:right="244"/>
              <w:spacing w:after="0"/>
              <w:rPr>
                <w:sz w:val="20"/>
                <w:szCs w:val="20"/>
                <w:color w:val="auto"/>
              </w:rPr>
            </w:pPr>
            <w:r>
              <w:rPr>
                <w:rFonts w:ascii="Times New Roman" w:cs="Times New Roman" w:eastAsia="Times New Roman" w:hAnsi="Times New Roman"/>
                <w:sz w:val="20"/>
                <w:szCs w:val="20"/>
                <w:color w:val="auto"/>
                <w:w w:val="98"/>
              </w:rPr>
              <w:t>Amounts reclassified out of accumulated other comprehensive (income) loss * . . . . . . .</w:t>
            </w: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7260" w:type="dxa"/>
            <w:vAlign w:val="bottom"/>
          </w:tcPr>
          <w:p>
            <w:pPr>
              <w:jc w:val="right"/>
              <w:ind w:right="244"/>
              <w:spacing w:after="0"/>
              <w:rPr>
                <w:sz w:val="20"/>
                <w:szCs w:val="20"/>
                <w:color w:val="auto"/>
              </w:rPr>
            </w:pPr>
            <w:r>
              <w:rPr>
                <w:rFonts w:ascii="Times New Roman" w:cs="Times New Roman" w:eastAsia="Times New Roman" w:hAnsi="Times New Roman"/>
                <w:sz w:val="20"/>
                <w:szCs w:val="20"/>
                <w:color w:val="auto"/>
                <w:w w:val="95"/>
              </w:rPr>
              <w:t>Tax effects . . . . . . . . . . . . . . . . . . . . . . . . . . . . . . . . . . . . . . . . . . . . . . . . . . . . . . . . . . . . . . .</w:t>
            </w: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r>
      <w:tr>
        <w:trPr>
          <w:trHeight w:val="276"/>
        </w:trPr>
        <w:tc>
          <w:tcPr>
            <w:tcW w:w="7260" w:type="dxa"/>
            <w:vAlign w:val="bottom"/>
          </w:tcPr>
          <w:p>
            <w:pPr>
              <w:jc w:val="right"/>
              <w:ind w:right="244"/>
              <w:spacing w:after="0"/>
              <w:rPr>
                <w:sz w:val="20"/>
                <w:szCs w:val="20"/>
                <w:color w:val="auto"/>
              </w:rPr>
            </w:pPr>
            <w:r>
              <w:rPr>
                <w:rFonts w:ascii="Times New Roman" w:cs="Times New Roman" w:eastAsia="Times New Roman" w:hAnsi="Times New Roman"/>
                <w:sz w:val="20"/>
                <w:szCs w:val="20"/>
                <w:color w:val="auto"/>
              </w:rPr>
              <w:t>. . . . . . . . . . . . . . . . . . . . . . . . . . . . . . .</w:t>
            </w:r>
            <w:r>
              <w:rPr>
                <w:rFonts w:ascii="Times New Roman" w:cs="Times New Roman" w:eastAsia="Times New Roman" w:hAnsi="Times New Roman"/>
                <w:sz w:val="20"/>
                <w:szCs w:val="20"/>
                <w:b w:val="1"/>
                <w:bCs w:val="1"/>
                <w:color w:val="auto"/>
              </w:rPr>
              <w:t>Othercomprehensiveincome(loss),netoftax</w:t>
            </w:r>
          </w:p>
        </w:tc>
        <w:tc>
          <w:tcPr>
            <w:tcW w:w="22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c>
          <w:tcPr>
            <w:tcW w:w="240" w:type="dxa"/>
            <w:vAlign w:val="bottom"/>
          </w:tcPr>
          <w:p>
            <w:pPr>
              <w:spacing w:after="0"/>
              <w:rPr>
                <w:sz w:val="23"/>
                <w:szCs w:val="2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240" w:type="dxa"/>
            <w:vAlign w:val="bottom"/>
          </w:tcPr>
          <w:p>
            <w:pPr>
              <w:spacing w:after="0"/>
              <w:rPr>
                <w:sz w:val="23"/>
                <w:szCs w:val="23"/>
                <w:color w:val="auto"/>
              </w:rPr>
            </w:pPr>
          </w:p>
        </w:tc>
        <w:tc>
          <w:tcPr>
            <w:tcW w:w="22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78105</wp:posOffset>
                </wp:positionV>
                <wp:extent cx="171386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6.15pt" to="134.9pt,6.15pt" o:allowincell="f" strokecolor="#000000" strokeweight="1.0199pt"/>
            </w:pict>
          </mc:Fallback>
        </mc:AlternateContent>
      </w:r>
    </w:p>
    <w:p>
      <w:pPr>
        <w:spacing w:after="0" w:line="143" w:lineRule="exact"/>
        <w:rPr>
          <w:sz w:val="20"/>
          <w:szCs w:val="20"/>
          <w:color w:val="auto"/>
        </w:rPr>
      </w:pPr>
    </w:p>
    <w:p>
      <w:pPr>
        <w:spacing w:after="0" w:line="280" w:lineRule="auto"/>
        <w:tabs>
          <w:tab w:leader="none" w:pos="2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of gains (losses) reclassified from other comprehensive income (loss) into profit or loss are recorded in cost of revenue and operating expenses.</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recognizes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‘ex-works’ shipping terms which specify that title and risks will pass to the customer upon delivery at the Company’s warehouse. Revenue for product sales to resellers and distributors is recognized at the time of delivery of products to the resellers and distributors.</w:t>
      </w:r>
    </w:p>
    <w:p>
      <w:pPr>
        <w:spacing w:after="0" w:line="19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20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Sales of the Company’s products regularly include warranties which provides the customer with assurance that the products delivered will perform in accordance with agreed-upon specifications. These standard warranties are assurance - type warranties and do not offer any services in addition to the assurance that the product will continue working as specified. Therefore, the warranties are not considered separate performance obligations.</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is generally the principal in a transaction and, therefore, primarily records revenue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10800"/>
          </w:cols>
          <w:pgMar w:left="540" w:top="984" w:right="540" w:bottom="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Advertising expenses</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Advertising expenses are charged to sales and marketing on the consolidated statements of operations and comprehensive income (loss) as incurred. Advertising expenses for the years ended December 27, 2025, December 28, 2024, and December 30, 2023 amounted to $3 million, $3 million and $4 million, respectively.</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Share-based compensation</w:t>
      </w:r>
    </w:p>
    <w:p>
      <w:pPr>
        <w:spacing w:after="0" w:line="242"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In June 2025, the stockholders of the Company approved the Amended and Restated Mobileye Global Inc. 2022 Equity Incentive Plan (the “2022 Plan”), which allows the compensation committee of the Company to make equity-based incentive awards to our employees, consultants and outside directors. Equity awards granted to employees are accounted for using the estimated grant date fair value. The Company values RSUs based on the market value of the underlying share of Mobileye common stock (as applicable) at the date of grant. The Company recognizes share-based compensation expense for the value of its awards, which have graded vesting based on service conditions, using the straight-line method over the requisite service period of each of the awards, net of estimated forfeitures.</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provision for income tax consists of income taxes in the various jurisdictions where the Company is subject to taxation, primarily the United States and Israel.</w:t>
      </w:r>
    </w:p>
    <w:p>
      <w:pPr>
        <w:spacing w:after="0" w:line="164"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consolidated financial statements. Under this method, deferred tax assets and liabilities, resulting from temporary differences between the financial reporting and tax bases of assets 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199"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9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18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 xml:space="preserve">During the years ended December 30, 2023, December 28, 2024 and through the Secondary Offering in July 2025, certain components of the Company’s business operations were included in the Parent’s consolidated U.S. domestic income tax return while the Company continued to file various foreign income tax returns separately from the Parent. Following the Secondary Offering, which resulted in the Tax Deconsolidation (see also Note 1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the Company is no longer included in the Parent’s U.S. domestic consolidated federal and applicable state income tax returns and will be filing its own U.S. corporate income tax returns for periods beginning July 12, 2025 onwards. Prior to the Tax Deconsolidation event, the income tax provision included in the Company’s consolidated financial statements was calculated using the separate return method, as if the Company had filed its own U.S. corporate income tax returns. The Tax Deconsolidation event did not have a material impact on the Company’s income tax provision for the year ended December 27, 2025.</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10800"/>
          </w:cols>
          <w:pgMar w:left="540" w:top="984" w:right="540" w:bottom="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 xml:space="preserve">The Company had previously entered into a Tax Sharing Agreement with its Parent (which was amended and restated on August 14, 2024) (the Tax Sharing Agreement, as amended, the “TSA”), to establish the amount of cash payable for the Company’s share of the tax liability owed on consolidated tax return filings with its Parent. For periods prior to the Tax Deconsolidation, any differences between taxes currently payable to the Company’s Parent under the TSA and the current tax provision computed on a separate return basis, were reflected as adjustments to additional paid-in capital in the consolidated statement of changes in equity and financing activities within the consolidated statement of cash flows. As a result of the Tax Deconsolidation, starting July 12, 2025 the computation of cash payable between the Company and Intel, under the TSA, is no longer applicable with respect to U.S. federal and applicable state income taxes. Accordingly, starting July 12, 2025, Mobileye calculates and reports its U.S. federal and applicable state income tax liabilities as a standalone taxpayer and will no longer allocate or share tax attributes, liabilities or benefits with its Parent as previously required under the TSA. For periods prior to the Tax Deconsolidation, Mobileye and its Parent will continue to account for any outstanding tax sharing obligations in accordance with the terms of the TSA. For additional information regarding the Tax Sharing Agreement, see Note 9 </w:t>
      </w:r>
      <w:r>
        <w:rPr>
          <w:rFonts w:ascii="Times New Roman" w:cs="Times New Roman" w:eastAsia="Times New Roman" w:hAnsi="Times New Roman"/>
          <w:sz w:val="20"/>
          <w:szCs w:val="20"/>
          <w:i w:val="1"/>
          <w:iCs w:val="1"/>
          <w:color w:val="auto"/>
        </w:rPr>
        <w:t>Related Party Transactions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For further details regarding income tax, see Note 8 </w:t>
      </w:r>
      <w:r>
        <w:rPr>
          <w:rFonts w:ascii="Times New Roman" w:cs="Times New Roman" w:eastAsia="Times New Roman" w:hAnsi="Times New Roman"/>
          <w:sz w:val="20"/>
          <w:szCs w:val="20"/>
          <w:i w:val="1"/>
          <w:iCs w:val="1"/>
          <w:color w:val="auto"/>
        </w:rPr>
        <w:t>Income Taxes.</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Provision for warranties</w:t>
      </w:r>
    </w:p>
    <w:p>
      <w:pPr>
        <w:spacing w:after="0" w:line="24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provides warranties for its products, which vary with respect to each contract and in accordance with the nature of each specific product. The warranty terms vary from one to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9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Provision for warranties is included in other current liabilities on the consolidated balance sheets. Provision for warranties as of December 27, 2025 and December 28, 2024, as well as warranty expenses for the each of the years presented were not material.</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Loss contingencies</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Management believes that there are no current matters that would have a material effect on the Company’s consolidated balance sheets, statement of operations and comprehensive income (loss) or cash flows. Legal fees are expensed as incurred.</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accounts for leases in accordance with ASC 842, Leases, which requires lessees to recognize leases on the consolidated balance sheets and disclose key information about leasing arrangements.</w:t>
      </w:r>
    </w:p>
    <w:p>
      <w:pPr>
        <w:spacing w:after="0" w:line="163" w:lineRule="exact"/>
        <w:rPr>
          <w:sz w:val="20"/>
          <w:szCs w:val="20"/>
          <w:color w:val="auto"/>
        </w:rPr>
      </w:pPr>
    </w:p>
    <w:p>
      <w:pPr>
        <w:jc w:val="both"/>
        <w:ind w:firstLine="361"/>
        <w:spacing w:after="0" w:line="259" w:lineRule="auto"/>
        <w:rPr>
          <w:sz w:val="20"/>
          <w:szCs w:val="20"/>
          <w:color w:val="auto"/>
        </w:rPr>
      </w:pPr>
      <w:r>
        <w:rPr>
          <w:rFonts w:ascii="Times New Roman" w:cs="Times New Roman" w:eastAsia="Times New Roman" w:hAnsi="Times New Roman"/>
          <w:sz w:val="19"/>
          <w:szCs w:val="19"/>
          <w:color w:val="auto"/>
        </w:rPr>
        <w:t>Leases primarily consist of real estate property and vehicles and are classified as operating leases with fixed payment terms. Certain operating leases provide for annual increases to lease payments based on an index or a rate. The Company determines if an arrangement is a lease, or contains a lease, at inception and records the leases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consolidated balance sheets. Lease expenses for the operating leases are recognized on a straight-line basis over the lease term and are included in operating expenses in the consolidated statements of operations and comprehensive income (loss). Options to extend or terminate the lease are taken into account when it is reasonably certain at the commencement date that such options will be exercised by the Company.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10800"/>
          </w:cols>
          <w:pgMar w:left="540" w:top="984" w:right="540" w:bottom="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elected to apply the short-term lease exemption for lease with a non-cancelable period of twelve months or less. Additionally, 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are initially measured using the index or rate at the commencement date.</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interest rate used to determine the present value of the future lease payments is the Company’s incremental borrowing rate because the interest rate implicit in most of its leases is not readily determinable.</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Earnings (loss) per share</w:t>
      </w:r>
    </w:p>
    <w:p>
      <w:pPr>
        <w:spacing w:after="0" w:line="24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 xml:space="preserve">Basic earnings (loss) per share is computed by dividing net income (loss) for the period by the weighted-average number of common shares outstanding during the period. Undistributed earnings (loss) are allocated proportionally to Class A and Class B stockholders as both classes are entitled to share equally, on a per share basis, in dividends and other distributions. Diluted earnings (loss) per share is computed by dividing net income (loss) by the weighted-average number of common shares outstanding during the period, while giving effect to all potentially dilutive common shares to the extent they are dilutive. Potentially dilutive common shares result from the assumed vesting of RSUs under the 2022 Plan, using the “treasury stock” method. RSUs are not included in the computation of diluted earnings (loss) per share if the effect of their inclusion would have been anti-dilutive. See Note 7 </w:t>
      </w:r>
      <w:r>
        <w:rPr>
          <w:rFonts w:ascii="Times New Roman" w:cs="Times New Roman" w:eastAsia="Times New Roman" w:hAnsi="Times New Roman"/>
          <w:sz w:val="20"/>
          <w:szCs w:val="20"/>
          <w:i w:val="1"/>
          <w:iCs w:val="1"/>
          <w:color w:val="auto"/>
        </w:rPr>
        <w:t>Earnings (Loss) Per Share</w:t>
      </w:r>
      <w:r>
        <w:rPr>
          <w:rFonts w:ascii="Times New Roman" w:cs="Times New Roman" w:eastAsia="Times New Roman" w:hAnsi="Times New Roman"/>
          <w:sz w:val="20"/>
          <w:szCs w:val="20"/>
          <w:color w:val="auto"/>
        </w:rPr>
        <w:t xml:space="preserve"> as well as Note 6 </w:t>
      </w:r>
      <w:r>
        <w:rPr>
          <w:rFonts w:ascii="Times New Roman" w:cs="Times New Roman" w:eastAsia="Times New Roman" w:hAnsi="Times New Roman"/>
          <w:sz w:val="20"/>
          <w:szCs w:val="20"/>
          <w:i w:val="1"/>
          <w:iCs w:val="1"/>
          <w:color w:val="auto"/>
        </w:rPr>
        <w:t>Equity,</w:t>
      </w:r>
      <w:r>
        <w:rPr>
          <w:rFonts w:ascii="Times New Roman" w:cs="Times New Roman" w:eastAsia="Times New Roman" w:hAnsi="Times New Roman"/>
          <w:sz w:val="20"/>
          <w:szCs w:val="20"/>
          <w:color w:val="auto"/>
        </w:rPr>
        <w:t xml:space="preserve"> for further discussion on awards.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Share repurchases</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have elected to retire shares repurchased to date. The retired shares are equivalent to authorized, unissued shares and are no longer considered to be outstanding or held in treasury. The excess purchase price of the shares over the par value is recorded as a reduction to additional paid - in - capital or to retained earnings if the balance in additional paid - in capital is not sufficient.</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a concentration of credit risk consist primarily of cash and cash equivalents, which include short-term deposits, money market funds, U.S. government bonds, derivative financial instruments, and also trade accounts receivable.</w:t>
      </w:r>
    </w:p>
    <w:p>
      <w:pPr>
        <w:spacing w:after="0" w:line="18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majority of the Company’s cash and cash equivalents are invested in banks domiciled in the U.S. and Europe, as well as in Israel. Generally, these cash equivalents may be redeemed upon demand. Short - term bank deposits are held in the aforementioned banks. The money market funds consist of institutional investors money market funds and are readily redeemable to cash, and the U.S. government bonds are also highly liquid. Derivative financial instruments are forward contracts entered into with major banks in Israel to hedge the Company’s foreign exchange rate risk. Accordingly, management believes that these bank deposits, money market funds, U.S. government bonds and derivative financial instruments have minimal credit risk.</w:t>
      </w:r>
    </w:p>
    <w:p>
      <w:pPr>
        <w:spacing w:after="0" w:line="194"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spacing w:after="0" w:line="17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consolidated statement of operations and comprehensive income (loss). As of December 27, 2025 and December 28, 2024, the credit loss allowance for trade accounts receivable was not material. For each of the years presented, the charge-offs and recoveries in relation to the credit losses were not material.</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10800"/>
          </w:cols>
          <w:pgMar w:left="540" w:top="984" w:right="540" w:bottom="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Customer concentration risk</w:t>
      </w:r>
    </w:p>
    <w:p>
      <w:pPr>
        <w:spacing w:after="0" w:line="242"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 xml:space="preserve">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 xml:space="preserve"> related to customers that accounted for more than 10% of the Company’s total revenue and more than 10% of the total accounts receivable balance for each of the years presented in these consolidated financial statements.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Dependence on a single supplier or limited suppliers risk</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purchases all its System on Chip (“EyeQ™ SoC”) from a single supplier. For certain materials, equipment, and services, we, and/or our suppliers and vendors, rely on a single or a limited number of direct and indirect suppliers and vendors. Any issues that occur and persist in connection with the manufacture, delivery, quality, or cost of the assembly and testing of inventory could adversely effect the Company’s business, results of operations and financial condition. See below regarding a shortage in EyeQ™ SoCs that the Company experienced during 2021 and 2022 and may experience in the future, including in ECUs for SuperVision™ and other components for our products.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Supply chain risk</w:t>
      </w:r>
    </w:p>
    <w:p>
      <w:pPr>
        <w:spacing w:after="0" w:line="24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During the fiscal years 2021 and 2022, the semiconductor industry experienced widespread shortages of substrates and other components and available foundry manufacturing capacity. During 2021 and 2022, STMicroelectronics, our sole supplier of EyeQ™ SoCs, was not able to meet our demand for EyeQ™ SoCs, causing a significant reduction in the Company’s inventory levels. Starting in late 2022 and early 2023, such supply disruptions, raw material shortages and manufacturing limitations abated and during 2023, we successfully increased levels of EyeQ™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 SoCs or SuperVision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ECUs on hand. As a result, we are substantially reliant on timely shipments of EyeQ™ SoCs from STMicroelectronics and ECUs from Quanta Computer (or other suppliers) to fulfill customer orders and if such a shortfall of chips or ECUs were to occur, we may be unable to offset future supply constraints through the use of inventory on hand. Since our EyeQ™ SoC is the core of our ADAS and autonomous driving solutions, continued, acute shortages in the supply of sufficient EyeQ™ SoCs to meet our production needs would impair our ability to meet our customers’ requirements in a timely manner, and would affect our business, results of operations, and financial condition potentially in an adverse manner.</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Accounting pronouncements adopted in the period</w:t>
      </w:r>
    </w:p>
    <w:p>
      <w:pPr>
        <w:spacing w:after="0" w:line="238"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xml:space="preserve"> (“ASU 2023-09”). ASU 2023-09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For public business entities, the ASU is effective for annual periods beginning after December 15, 2024. The Company implemented the new income tax disclosures retrospectively. The implementation of ASU 2023-09 affected disclosures only and had no impact on the Company’s financial condition or results of operations (See Note 8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1880" w:h="15480" w:orient="portrait"/>
          <w:cols w:equalWidth="0" w:num="1">
            <w:col w:w="10800"/>
          </w:cols>
          <w:pgMar w:left="540" w:top="984" w:right="540" w:bottom="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Accounting Pronouncements effective in future periods</w:t>
      </w:r>
    </w:p>
    <w:p>
      <w:pPr>
        <w:spacing w:after="0" w:line="23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Disaggregation Disclosure (Subtopic 220-40): Disaggregation of Income Statement Expense </w:t>
      </w:r>
      <w:r>
        <w:rPr>
          <w:rFonts w:ascii="Times New Roman" w:cs="Times New Roman" w:eastAsia="Times New Roman" w:hAnsi="Times New Roman"/>
          <w:sz w:val="20"/>
          <w:szCs w:val="20"/>
          <w:color w:val="auto"/>
        </w:rPr>
        <w:t>(“ASU 2024-03”) and ASU 2025-01,</w:t>
      </w:r>
      <w:r>
        <w:rPr>
          <w:rFonts w:ascii="Times New Roman" w:cs="Times New Roman" w:eastAsia="Times New Roman" w:hAnsi="Times New Roman"/>
          <w:sz w:val="20"/>
          <w:szCs w:val="20"/>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20"/>
          <w:szCs w:val="20"/>
          <w:color w:val="auto"/>
        </w:rPr>
        <w:t>(“ASU 2025-01”). ASU 2024-03 and ASU 2025-01 improves the disclosures about a public business entity’s expenses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revenue, general and administrative, and research and development). ASU 2024- 03 and ASU 2025-01 are both effective for annual reporting periods beginning after December 15, 2026, and interim periods within annual reporting periods beginning after December 15, 2027. Early adoption is permitted. The Company is evaluating the potential impact of ASU 2024-03 and ASU 2025-01 on its consolidated financial statement disclosures.</w:t>
      </w:r>
    </w:p>
    <w:p>
      <w:pPr>
        <w:spacing w:after="0" w:line="19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 xml:space="preserve">In July 2025, the FASB issued Accounting Standards Update 2025-05, </w:t>
      </w:r>
      <w:r>
        <w:rPr>
          <w:rFonts w:ascii="Times New Roman" w:cs="Times New Roman" w:eastAsia="Times New Roman" w:hAnsi="Times New Roman"/>
          <w:sz w:val="20"/>
          <w:szCs w:val="20"/>
          <w:i w:val="1"/>
          <w:iCs w:val="1"/>
          <w:color w:val="auto"/>
        </w:rPr>
        <w:t>Financial Instruments – Credit Losses (Topic 326):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Measurement of Credit Losses for Accounts Receivable and Contract Assets </w:t>
      </w:r>
      <w:r>
        <w:rPr>
          <w:rFonts w:ascii="Times New Roman" w:cs="Times New Roman" w:eastAsia="Times New Roman" w:hAnsi="Times New Roman"/>
          <w:sz w:val="20"/>
          <w:szCs w:val="20"/>
          <w:color w:val="auto"/>
        </w:rPr>
        <w:t>(“ASU 2025-05”). ASU 2025-05 provides a practical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expedient that all entities can use when estimating expected credit losses for current accounts receivable and current contract assets arising from transactions accounted for under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ASU 2025-05 is not expected to have a material impact on the Company’s consolidated financial statements.</w:t>
      </w:r>
    </w:p>
    <w:p>
      <w:pPr>
        <w:spacing w:after="0" w:line="197"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 xml:space="preserve">In September 2025, the FASB issued Accounting Standards Update 2025-06, </w:t>
      </w:r>
      <w:r>
        <w:rPr>
          <w:rFonts w:ascii="Times New Roman" w:cs="Times New Roman" w:eastAsia="Times New Roman" w:hAnsi="Times New Roman"/>
          <w:sz w:val="20"/>
          <w:szCs w:val="20"/>
          <w:i w:val="1"/>
          <w:iCs w:val="1"/>
          <w:color w:val="auto"/>
        </w:rPr>
        <w:t>Intangibles-Goodwill and Other-Internal-Use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Software (Subtopic 350-40): Targeted Improvements to the Accounting for Internal-Use Software </w:t>
      </w:r>
      <w:r>
        <w:rPr>
          <w:rFonts w:ascii="Times New Roman" w:cs="Times New Roman" w:eastAsia="Times New Roman" w:hAnsi="Times New Roman"/>
          <w:sz w:val="20"/>
          <w:szCs w:val="20"/>
          <w:color w:val="auto"/>
        </w:rPr>
        <w:t>(“ASU 2025-06”). ASU 2025-06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provides targeted improvements to the accounting for internal-use software costs by replacing the existing project-stage model with a principles-based approach to determine when capitalization of costs should begin. ASU 2025-06 is effective for all entities for annual reporting periods beginning after December 15, 2027 on a prospective basis, with early adoption permitted. The Company is currently evaluating the potential impact that ASU 2025-06 will have on its consolidated financial statements.</w:t>
      </w:r>
    </w:p>
    <w:p>
      <w:pPr>
        <w:spacing w:after="0" w:line="19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 xml:space="preserve">In December 2025, the FASB issued ASU 2025- 11, </w:t>
      </w:r>
      <w:r>
        <w:rPr>
          <w:rFonts w:ascii="Times New Roman" w:cs="Times New Roman" w:eastAsia="Times New Roman" w:hAnsi="Times New Roman"/>
          <w:sz w:val="20"/>
          <w:szCs w:val="20"/>
          <w:i w:val="1"/>
          <w:iCs w:val="1"/>
          <w:color w:val="auto"/>
        </w:rPr>
        <w:t>Interim Reporting (Topic 270): Narrow-Scope Improvements</w:t>
      </w:r>
      <w:r>
        <w:rPr>
          <w:rFonts w:ascii="Times New Roman" w:cs="Times New Roman" w:eastAsia="Times New Roman" w:hAnsi="Times New Roman"/>
          <w:sz w:val="20"/>
          <w:szCs w:val="20"/>
          <w:color w:val="auto"/>
        </w:rPr>
        <w:t xml:space="preserve"> (“ASU 2025-11”). ASU 2025-11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OTHER FINANCIAL STATEMENT DETAILS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00" w:type="dxa"/>
            <w:vAlign w:val="bottom"/>
            <w:tcBorders>
              <w:bottom w:val="single" w:sz="8" w:color="auto"/>
            </w:tcBorders>
          </w:tcPr>
          <w:p>
            <w:pPr>
              <w:spacing w:after="0"/>
              <w:rPr>
                <w:sz w:val="17"/>
                <w:szCs w:val="17"/>
                <w:color w:val="auto"/>
              </w:rPr>
            </w:pPr>
          </w:p>
        </w:tc>
      </w:tr>
      <w:tr>
        <w:trPr>
          <w:trHeight w:val="155"/>
        </w:trPr>
        <w:tc>
          <w:tcPr>
            <w:tcW w:w="8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r>
      <w:tr>
        <w:trPr>
          <w:trHeight w:val="193"/>
        </w:trPr>
        <w:tc>
          <w:tcPr>
            <w:tcW w:w="8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8500" w:type="dxa"/>
            <w:vAlign w:val="bottom"/>
            <w:gridSpan w:val="2"/>
          </w:tcPr>
          <w:p>
            <w:pPr>
              <w:jc w:val="right"/>
              <w:ind w:right="340"/>
              <w:spacing w:after="0" w:line="20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 . . . . . . . . . .Rawmaterials</w:t>
            </w:r>
          </w:p>
        </w:tc>
        <w:tc>
          <w:tcPr>
            <w:tcW w:w="220" w:type="dxa"/>
            <w:vAlign w:val="bottom"/>
          </w:tcPr>
          <w:p>
            <w:pPr>
              <w:jc w:val="right"/>
              <w:ind w:right="2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35</w:t>
            </w:r>
          </w:p>
        </w:tc>
      </w:tr>
      <w:tr>
        <w:trPr>
          <w:trHeight w:val="230"/>
        </w:trPr>
        <w:tc>
          <w:tcPr>
            <w:tcW w:w="8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Work in process . . . . . . . . . . . . . . . . . . . . . . . . . . . . . . . . . . . . . . . . . . . . . . . . . . . . . . . . . . . . . . . . . . . . . .</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41"/>
        </w:trPr>
        <w:tc>
          <w:tcPr>
            <w:tcW w:w="8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Finished goods . . . . . . . . . . . . . .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w:t>
            </w:r>
          </w:p>
        </w:tc>
      </w:tr>
      <w:tr>
        <w:trPr>
          <w:trHeight w:val="240"/>
        </w:trPr>
        <w:tc>
          <w:tcPr>
            <w:tcW w:w="8480" w:type="dxa"/>
            <w:vAlign w:val="bottom"/>
          </w:tcPr>
          <w:p>
            <w:pPr>
              <w:jc w:val="right"/>
              <w:ind w:right="224"/>
              <w:spacing w:after="0"/>
              <w:rPr>
                <w:sz w:val="20"/>
                <w:szCs w:val="20"/>
                <w:color w:val="auto"/>
              </w:rPr>
            </w:pPr>
            <w:r>
              <w:rPr>
                <w:rFonts w:ascii="Times New Roman" w:cs="Times New Roman" w:eastAsia="Times New Roman" w:hAnsi="Times New Roman"/>
                <w:sz w:val="20"/>
                <w:szCs w:val="20"/>
                <w:b w:val="1"/>
                <w:bCs w:val="1"/>
                <w:color w:val="auto"/>
                <w:w w:val="96"/>
              </w:rPr>
              <w:t xml:space="preserve">Total inventories </w:t>
            </w:r>
            <w:r>
              <w:rPr>
                <w:rFonts w:ascii="Times New Roman" w:cs="Times New Roman" w:eastAsia="Times New Roman" w:hAnsi="Times New Roman"/>
                <w:sz w:val="20"/>
                <w:szCs w:val="20"/>
                <w:color w:val="auto"/>
                <w:w w:val="96"/>
              </w:rPr>
              <w:t>.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327</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415</w:t>
            </w:r>
          </w:p>
        </w:tc>
      </w:tr>
    </w:tbl>
    <w:p>
      <w:pPr>
        <w:spacing w:after="0" w:line="208"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Inventory write-downs and write-offs totaled $2 million, $3 million and $2 million for the years ended December 27, 2025, December 28, 2024, and December 30, 2023, respectively.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1880" w:h="15480" w:orient="portrait"/>
          <w:cols w:equalWidth="0" w:num="1">
            <w:col w:w="10800"/>
          </w:cols>
          <w:pgMar w:left="540" w:top="984" w:right="540" w:bottom="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7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4"/>
              <w:spacing w:after="0" w:line="15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84"/>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3"/>
                <w:szCs w:val="13"/>
                <w:color w:val="auto"/>
              </w:rPr>
            </w:pPr>
          </w:p>
        </w:tc>
      </w:tr>
      <w:tr>
        <w:trPr>
          <w:trHeight w:val="193"/>
        </w:trPr>
        <w:tc>
          <w:tcPr>
            <w:tcW w:w="7940" w:type="dxa"/>
            <w:vAlign w:val="bottom"/>
          </w:tcPr>
          <w:p>
            <w:pPr>
              <w:jc w:val="right"/>
              <w:ind w:right="6302"/>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6"/>
                <w:szCs w:val="16"/>
                <w:color w:val="auto"/>
              </w:rPr>
            </w:pPr>
          </w:p>
        </w:tc>
      </w:tr>
      <w:tr>
        <w:trPr>
          <w:trHeight w:val="209"/>
        </w:trPr>
        <w:tc>
          <w:tcPr>
            <w:tcW w:w="7940" w:type="dxa"/>
            <w:vAlign w:val="bottom"/>
          </w:tcPr>
          <w:p>
            <w:pPr>
              <w:jc w:val="right"/>
              <w:ind w:right="262"/>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.Computers,electronicequipmentandsoftware</w:t>
            </w:r>
          </w:p>
        </w:tc>
        <w:tc>
          <w:tcPr>
            <w:tcW w:w="2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245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197</w:t>
            </w:r>
          </w:p>
        </w:tc>
        <w:tc>
          <w:tcPr>
            <w:tcW w:w="20" w:type="dxa"/>
            <w:vAlign w:val="bottom"/>
          </w:tcPr>
          <w:p>
            <w:pPr>
              <w:spacing w:after="0"/>
              <w:rPr>
                <w:sz w:val="18"/>
                <w:szCs w:val="18"/>
                <w:color w:val="auto"/>
              </w:rPr>
            </w:pPr>
          </w:p>
        </w:tc>
      </w:tr>
      <w:tr>
        <w:trPr>
          <w:trHeight w:val="229"/>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w w:val="98"/>
              </w:rPr>
              <w:t>Vehicles . . . . . . . . . . . . . . . .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19"/>
                <w:szCs w:val="19"/>
                <w:color w:val="auto"/>
              </w:rPr>
            </w:pPr>
          </w:p>
        </w:tc>
      </w:tr>
      <w:tr>
        <w:trPr>
          <w:trHeight w:val="230"/>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w w:val="98"/>
              </w:rPr>
              <w:t>Office furniture and equipment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0"/>
                <w:szCs w:val="20"/>
                <w:color w:val="auto"/>
              </w:rPr>
            </w:pPr>
          </w:p>
        </w:tc>
      </w:tr>
      <w:tr>
        <w:trPr>
          <w:trHeight w:val="230"/>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w w:val="97"/>
              </w:rPr>
              <w:t>Buildings . . . . . . . . . . . .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20" w:type="dxa"/>
            <w:vAlign w:val="bottom"/>
          </w:tcPr>
          <w:p>
            <w:pPr>
              <w:spacing w:after="0"/>
              <w:rPr>
                <w:sz w:val="20"/>
                <w:szCs w:val="20"/>
                <w:color w:val="auto"/>
              </w:rPr>
            </w:pPr>
          </w:p>
        </w:tc>
      </w:tr>
      <w:tr>
        <w:trPr>
          <w:trHeight w:val="241"/>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w w:val="97"/>
              </w:rPr>
              <w:t>Leasehold improvements . . . . . . . . . . . . . . . . . . . . . . . . . . . . . . . . . . . . . . . . . . . . . . . . . . . . . . . . .</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0" w:type="dxa"/>
            <w:vAlign w:val="bottom"/>
          </w:tcPr>
          <w:p>
            <w:pPr>
              <w:spacing w:after="0"/>
              <w:rPr>
                <w:sz w:val="20"/>
                <w:szCs w:val="20"/>
                <w:color w:val="auto"/>
              </w:rPr>
            </w:pPr>
          </w:p>
        </w:tc>
      </w:tr>
      <w:tr>
        <w:trPr>
          <w:trHeight w:val="208"/>
        </w:trPr>
        <w:tc>
          <w:tcPr>
            <w:tcW w:w="7940" w:type="dxa"/>
            <w:vAlign w:val="bottom"/>
          </w:tcPr>
          <w:p>
            <w:pPr>
              <w:jc w:val="right"/>
              <w:ind w:right="262"/>
              <w:spacing w:after="0" w:line="208" w:lineRule="exact"/>
              <w:rPr>
                <w:sz w:val="20"/>
                <w:szCs w:val="20"/>
                <w:color w:val="auto"/>
              </w:rPr>
            </w:pPr>
            <w:r>
              <w:rPr>
                <w:rFonts w:ascii="Times New Roman" w:cs="Times New Roman" w:eastAsia="Times New Roman" w:hAnsi="Times New Roman"/>
                <w:sz w:val="20"/>
                <w:szCs w:val="20"/>
                <w:color w:val="auto"/>
              </w:rPr>
              <w:t>. . . . . . . . . . . . . . . . . . . . . . . . . . . . . . . . . . . . . . . . . . . . . .</w:t>
            </w:r>
            <w:r>
              <w:rPr>
                <w:rFonts w:ascii="Times New Roman" w:cs="Times New Roman" w:eastAsia="Times New Roman" w:hAnsi="Times New Roman"/>
                <w:sz w:val="20"/>
                <w:szCs w:val="20"/>
                <w:b w:val="1"/>
                <w:bCs w:val="1"/>
                <w:color w:val="auto"/>
              </w:rPr>
              <w:t>Totalpropertyandequipment,gross</w:t>
            </w:r>
          </w:p>
        </w:tc>
        <w:tc>
          <w:tcPr>
            <w:tcW w:w="20" w:type="dxa"/>
            <w:vAlign w:val="bottom"/>
          </w:tcPr>
          <w:p>
            <w:pPr>
              <w:spacing w:after="0"/>
              <w:rPr>
                <w:sz w:val="18"/>
                <w:szCs w:val="18"/>
                <w:color w:val="auto"/>
              </w:rPr>
            </w:pPr>
          </w:p>
        </w:tc>
        <w:tc>
          <w:tcPr>
            <w:tcW w:w="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644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586</w:t>
            </w:r>
          </w:p>
        </w:tc>
        <w:tc>
          <w:tcPr>
            <w:tcW w:w="20" w:type="dxa"/>
            <w:vAlign w:val="bottom"/>
          </w:tcPr>
          <w:p>
            <w:pPr>
              <w:spacing w:after="0"/>
              <w:rPr>
                <w:sz w:val="18"/>
                <w:szCs w:val="18"/>
                <w:color w:val="auto"/>
              </w:rPr>
            </w:pPr>
          </w:p>
        </w:tc>
      </w:tr>
      <w:tr>
        <w:trPr>
          <w:trHeight w:val="241"/>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w w:val="97"/>
              </w:rPr>
              <w:t>Less:</w:t>
            </w:r>
            <w:r>
              <w:rPr>
                <w:rFonts w:ascii="Arial" w:cs="Arial" w:eastAsia="Arial" w:hAnsi="Arial"/>
                <w:sz w:val="20"/>
                <w:szCs w:val="20"/>
                <w:color w:val="auto"/>
                <w:w w:val="97"/>
              </w:rPr>
              <w:t xml:space="preserve"> </w:t>
            </w:r>
            <w:r>
              <w:rPr>
                <w:rFonts w:ascii="Times New Roman" w:cs="Times New Roman" w:eastAsia="Times New Roman" w:hAnsi="Times New Roman"/>
                <w:sz w:val="20"/>
                <w:szCs w:val="20"/>
                <w:color w:val="auto"/>
                <w:w w:val="97"/>
              </w:rPr>
              <w:t>accumulated depreciation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(171)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(128)</w:t>
            </w:r>
          </w:p>
        </w:tc>
      </w:tr>
      <w:tr>
        <w:trPr>
          <w:trHeight w:val="240"/>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rPr>
              <w:t>. . . . . . . . . . . . . . . . . . . . . . . . . . . . . . . . . . . . . . . . . . . . . . . .</w:t>
            </w:r>
            <w:r>
              <w:rPr>
                <w:rFonts w:ascii="Times New Roman" w:cs="Times New Roman" w:eastAsia="Times New Roman" w:hAnsi="Times New Roman"/>
                <w:sz w:val="20"/>
                <w:szCs w:val="20"/>
                <w:b w:val="1"/>
                <w:bCs w:val="1"/>
                <w:color w:val="auto"/>
              </w:rPr>
              <w:t>Totalpropertyandequipment,net</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473</w:t>
            </w:r>
          </w:p>
        </w:tc>
        <w:tc>
          <w:tcPr>
            <w:tcW w:w="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458</w:t>
            </w:r>
          </w:p>
        </w:tc>
        <w:tc>
          <w:tcPr>
            <w:tcW w:w="20" w:type="dxa"/>
            <w:vAlign w:val="bottom"/>
          </w:tcPr>
          <w:p>
            <w:pPr>
              <w:spacing w:after="0"/>
              <w:rPr>
                <w:sz w:val="20"/>
                <w:szCs w:val="20"/>
                <w:color w:val="auto"/>
              </w:rPr>
            </w:pPr>
          </w:p>
        </w:tc>
      </w:tr>
    </w:tbl>
    <w:p>
      <w:pPr>
        <w:spacing w:after="0" w:line="20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Depreciation expenses totaled $74 million, $62 million, and $39 million for the years ended December 27, 2025, December 28, 2024, and December 30, 2023, respectively. During 2025 and 2024, the Company derecognized the cost and accumulated depreciation of fully depreciated assets in the amount of $32 million and $30 million, respectively.</w:t>
      </w:r>
    </w:p>
    <w:p>
      <w:pPr>
        <w:spacing w:after="0" w:line="186" w:lineRule="exact"/>
        <w:rPr>
          <w:sz w:val="20"/>
          <w:szCs w:val="20"/>
          <w:color w:val="auto"/>
        </w:rPr>
      </w:pPr>
    </w:p>
    <w:p>
      <w:pPr>
        <w:ind w:left="360"/>
        <w:spacing w:after="0" w:line="490" w:lineRule="auto"/>
        <w:rPr>
          <w:sz w:val="20"/>
          <w:szCs w:val="20"/>
          <w:color w:val="auto"/>
        </w:rPr>
      </w:pPr>
      <w:r>
        <w:rPr>
          <w:rFonts w:ascii="Times New Roman" w:cs="Times New Roman" w:eastAsia="Times New Roman" w:hAnsi="Times New Roman"/>
          <w:sz w:val="20"/>
          <w:szCs w:val="20"/>
          <w:color w:val="auto"/>
        </w:rPr>
        <w:t xml:space="preserve">Substantially all of the Company’s property and equipment were located in Israel as of December 27, 2025 and December 28, 2024. </w:t>
      </w:r>
      <w:r>
        <w:rPr>
          <w:rFonts w:ascii="Times New Roman" w:cs="Times New Roman" w:eastAsia="Times New Roman" w:hAnsi="Times New Roman"/>
          <w:sz w:val="20"/>
          <w:szCs w:val="20"/>
          <w:b w:val="1"/>
          <w:bCs w:val="1"/>
          <w:color w:val="auto"/>
        </w:rPr>
        <w:t>Royalty bearing agreements</w:t>
      </w: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27, 2025, December 28, 2024, and December 30, 2023, the Company recorded expenses of approximately $5 million, $7 million, and $9 million, respectively. These expenses were classified as a component of cost of revenue.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EMPLOYEE BENEFITS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 Israel</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Severance</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Israeli labor laws generally require severance payments upon dismissal of an employee or upon termination of employment in certain other circumstances. The following plans relate to the Company’s employees in Israel.</w:t>
      </w:r>
    </w:p>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income (losses) from the related severance pay funds. The liabilities are presented on an undiscounted basis and included on the consolidated balance sheets as a long-term employee benefit. Severance pay liabilities as of December 27, 2025 and December 28, 2024 were $78 million and $62 million, respectively.</w:t>
      </w:r>
    </w:p>
    <w:p>
      <w:pPr>
        <w:spacing w:after="0" w:line="19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Company’s liability for all of its Israeli employees is covered by monthly deposits with severance pay funds. The value of the deposited funds is based on the cash surrender value of these policies and includes gains (or losses) accumulated through the balance sheet date. The deposited funds may be withdrawn only upon the fulfillment of the obligations pursuant to Israeli Severance Pay Law or labor agreements. Severance pay funds, which are included in other long-term assets, were $69 million and $52 million as of December 27, 2025 and December 28, 2024, respectively.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1880" w:h="15480" w:orient="portrait"/>
          <w:cols w:equalWidth="0" w:num="1">
            <w:col w:w="10800"/>
          </w:cols>
          <w:pgMar w:left="540" w:top="984" w:right="540" w:bottom="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majority of the Company’s liability for severance pay is covered by the provisions of Section 14 of the Israeli Severance Pay Law (“Section 14”). Under Section 14, employees are entitled to monthly deposits, at 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consolidated balance sheets.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Non-Israeli Defined Contribution Plans</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each of the years presented under such plans were not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LEASES</w:t>
      </w:r>
    </w:p>
    <w:p>
      <w:pPr>
        <w:spacing w:after="0" w:line="244"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The Company’s operating leases consist of offices and vehicles and the lease term varies between 3-8 years. Some of the Company’s leases include options to extend the lease term for periods of up to five years each. For purposes of calculating lease liabilities, lease terms include options to extend or terminate the lease when it is reasonably certain that the Company will exercise such options.</w:t>
      </w:r>
    </w:p>
    <w:p>
      <w:pPr>
        <w:spacing w:after="0" w:line="168"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Lease expenses for operating lease payments are recognized on a straight-line basis over the lease term. Certain operating leases provide for annual increases to lease payments based on an index. The Company calculates the present value of future lease payments based on the index or rate at the lease commencement date. Differences in lease payments resulting from changes in an index or rate are recognized are expensed as incurred and are not material for all periods presented. The lease agreements generally do not contain any residual value guarantees or restrictive covenants.</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Operating lease expense for the years ended December 27, 2025, December 28, 2024, and December 30, 2023 were $18 million, $16 million, and $19 million, respectively. The Company does not have any finance leases.</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balances for the operating leases, which are presented on the consolidated balance sheets in other long-term assets, other current liabilities and long-term liabilities,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4"/>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40" w:type="dxa"/>
            <w:vAlign w:val="bottom"/>
            <w:tcBorders>
              <w:bottom w:val="single" w:sz="8" w:color="auto"/>
            </w:tcBorders>
          </w:tcPr>
          <w:p>
            <w:pPr>
              <w:spacing w:after="0"/>
              <w:rPr>
                <w:sz w:val="17"/>
                <w:szCs w:val="17"/>
                <w:color w:val="auto"/>
              </w:rPr>
            </w:pPr>
          </w:p>
        </w:tc>
      </w:tr>
      <w:tr>
        <w:trPr>
          <w:trHeight w:val="156"/>
        </w:trPr>
        <w:tc>
          <w:tcPr>
            <w:tcW w:w="8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December 28,</w:t>
            </w:r>
          </w:p>
        </w:tc>
      </w:tr>
      <w:tr>
        <w:trPr>
          <w:trHeight w:val="194"/>
        </w:trPr>
        <w:tc>
          <w:tcPr>
            <w:tcW w:w="8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1"/>
        </w:trPr>
        <w:tc>
          <w:tcPr>
            <w:tcW w:w="8400" w:type="dxa"/>
            <w:vAlign w:val="bottom"/>
            <w:gridSpan w:val="2"/>
          </w:tcPr>
          <w:p>
            <w:pPr>
              <w:jc w:val="right"/>
              <w:ind w:right="340"/>
              <w:spacing w:after="0" w:line="220"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w:t>
            </w:r>
            <w:r>
              <w:rPr>
                <w:rFonts w:ascii="Times New Roman" w:cs="Times New Roman" w:eastAsia="Times New Roman" w:hAnsi="Times New Roman"/>
                <w:sz w:val="20"/>
                <w:szCs w:val="20"/>
                <w:b w:val="1"/>
                <w:bCs w:val="1"/>
                <w:color w:val="auto"/>
                <w:w w:val="98"/>
              </w:rPr>
              <w:t>Operatingleaseright-of-useassets</w:t>
            </w:r>
          </w:p>
        </w:tc>
        <w:tc>
          <w:tcPr>
            <w:tcW w:w="240" w:type="dxa"/>
            <w:vAlign w:val="bottom"/>
            <w:tcBorders>
              <w:bottom w:val="single" w:sz="8" w:color="auto"/>
            </w:tcBorders>
          </w:tcPr>
          <w:p>
            <w:pPr>
              <w:jc w:val="right"/>
              <w:ind w:right="47"/>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50</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47"/>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47</w:t>
            </w:r>
          </w:p>
        </w:tc>
      </w:tr>
      <w:tr>
        <w:trPr>
          <w:trHeight w:val="210"/>
        </w:trPr>
        <w:tc>
          <w:tcPr>
            <w:tcW w:w="840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Operating lease liabilities: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4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Current portion of lease liabilities . . . . . . . . . . . . . . . . . . . . . . . . . . . . . . . . . . . . . . . . . . . . . . . . . . . . . . .</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42"/>
        </w:trPr>
        <w:tc>
          <w:tcPr>
            <w:tcW w:w="84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Long-term lease liabilities . . . . . . . . . . . . . . . . . . . . . . . . . . . . . . . . . . . . . . . . . . . . . . . . . . . . . . . . . . . . .</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32"/>
        </w:trPr>
        <w:tc>
          <w:tcPr>
            <w:tcW w:w="8380" w:type="dxa"/>
            <w:vAlign w:val="bottom"/>
          </w:tcPr>
          <w:p>
            <w:pPr>
              <w:jc w:val="right"/>
              <w:ind w:right="223"/>
              <w:spacing w:after="0"/>
              <w:rPr>
                <w:sz w:val="20"/>
                <w:szCs w:val="20"/>
                <w:color w:val="auto"/>
              </w:rPr>
            </w:pPr>
            <w:r>
              <w:rPr>
                <w:rFonts w:ascii="Times New Roman" w:cs="Times New Roman" w:eastAsia="Times New Roman" w:hAnsi="Times New Roman"/>
                <w:sz w:val="20"/>
                <w:szCs w:val="20"/>
                <w:b w:val="1"/>
                <w:bCs w:val="1"/>
                <w:color w:val="auto"/>
                <w:w w:val="96"/>
              </w:rPr>
              <w:t xml:space="preserve">Total operating lease liabilities </w:t>
            </w:r>
            <w:r>
              <w:rPr>
                <w:rFonts w:ascii="Times New Roman" w:cs="Times New Roman" w:eastAsia="Times New Roman" w:hAnsi="Times New Roman"/>
                <w:sz w:val="20"/>
                <w:szCs w:val="20"/>
                <w:color w:val="auto"/>
                <w:w w:val="96"/>
              </w:rPr>
              <w:t>.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62</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w:t>
            </w:r>
          </w:p>
        </w:tc>
      </w:tr>
    </w:tbl>
    <w:p>
      <w:pPr>
        <w:spacing w:after="0" w:line="208"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As of December 27, 2025 and December 28, 2024, the weighted average remaining lease term was 4.06 and 4.31 years, respectively, and the weighted average discount rate was 5.01% and 4.94%, respectively.</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Supplemental information related to operating leases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55"/>
        </w:trPr>
        <w:tc>
          <w:tcPr>
            <w:tcW w:w="730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4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22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194"/>
        </w:trPr>
        <w:tc>
          <w:tcPr>
            <w:tcW w:w="7300" w:type="dxa"/>
            <w:vAlign w:val="bottom"/>
          </w:tcPr>
          <w:p>
            <w:pPr>
              <w:jc w:val="right"/>
              <w:ind w:right="5667"/>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7300" w:type="dxa"/>
            <w:vAlign w:val="bottom"/>
          </w:tcPr>
          <w:p>
            <w:pPr>
              <w:jc w:val="right"/>
              <w:ind w:right="187"/>
              <w:spacing w:after="0" w:line="210" w:lineRule="exact"/>
              <w:rPr>
                <w:sz w:val="20"/>
                <w:szCs w:val="20"/>
                <w:color w:val="auto"/>
              </w:rPr>
            </w:pPr>
            <w:r>
              <w:rPr>
                <w:rFonts w:ascii="Times New Roman" w:cs="Times New Roman" w:eastAsia="Times New Roman" w:hAnsi="Times New Roman"/>
                <w:sz w:val="20"/>
                <w:szCs w:val="20"/>
                <w:color w:val="auto"/>
              </w:rPr>
              <w:t>. . . . . . . . . . . . . . . . . . . . . . . . . . . . . . . . . .Operatingcashoutflowsfromoperatingleases</w:t>
            </w:r>
          </w:p>
        </w:tc>
        <w:tc>
          <w:tcPr>
            <w:tcW w:w="220" w:type="dxa"/>
            <w:vAlign w:val="bottom"/>
          </w:tcPr>
          <w:p>
            <w:pPr>
              <w:jc w:val="right"/>
              <w:ind w:right="27"/>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18</w:t>
            </w:r>
          </w:p>
        </w:tc>
        <w:tc>
          <w:tcPr>
            <w:tcW w:w="240" w:type="dxa"/>
            <w:vAlign w:val="bottom"/>
          </w:tcPr>
          <w:p>
            <w:pPr>
              <w:spacing w:after="0"/>
              <w:rPr>
                <w:sz w:val="18"/>
                <w:szCs w:val="18"/>
                <w:color w:val="auto"/>
              </w:rPr>
            </w:pPr>
          </w:p>
        </w:tc>
        <w:tc>
          <w:tcPr>
            <w:tcW w:w="1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16</w:t>
            </w:r>
          </w:p>
        </w:tc>
        <w:tc>
          <w:tcPr>
            <w:tcW w:w="220" w:type="dxa"/>
            <w:vAlign w:val="bottom"/>
          </w:tcPr>
          <w:p>
            <w:pPr>
              <w:spacing w:after="0"/>
              <w:rPr>
                <w:sz w:val="18"/>
                <w:szCs w:val="18"/>
                <w:color w:val="auto"/>
              </w:rPr>
            </w:pPr>
          </w:p>
        </w:tc>
        <w:tc>
          <w:tcPr>
            <w:tcW w:w="220" w:type="dxa"/>
            <w:vAlign w:val="bottom"/>
          </w:tcPr>
          <w:p>
            <w:pPr>
              <w:jc w:val="right"/>
              <w:ind w:right="3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16</w:t>
            </w:r>
          </w:p>
        </w:tc>
      </w:tr>
      <w:tr>
        <w:trPr>
          <w:trHeight w:val="268"/>
        </w:trPr>
        <w:tc>
          <w:tcPr>
            <w:tcW w:w="7300" w:type="dxa"/>
            <w:vAlign w:val="bottom"/>
          </w:tcPr>
          <w:p>
            <w:pPr>
              <w:jc w:val="right"/>
              <w:ind w:right="187"/>
              <w:spacing w:after="0"/>
              <w:rPr>
                <w:sz w:val="20"/>
                <w:szCs w:val="20"/>
                <w:color w:val="auto"/>
              </w:rPr>
            </w:pPr>
            <w:r>
              <w:rPr>
                <w:rFonts w:ascii="Times New Roman" w:cs="Times New Roman" w:eastAsia="Times New Roman" w:hAnsi="Times New Roman"/>
                <w:sz w:val="20"/>
                <w:szCs w:val="20"/>
                <w:color w:val="auto"/>
                <w:w w:val="98"/>
              </w:rPr>
              <w:t>Righ t-of-use assets recognized in exchange for lease obligations . . . . . . . . . . . . . . . . . . .</w:t>
            </w:r>
          </w:p>
        </w:tc>
        <w:tc>
          <w:tcPr>
            <w:tcW w:w="22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bl>
    <w:p>
      <w:pPr>
        <w:spacing w:after="0" w:line="200" w:lineRule="exact"/>
        <w:rPr>
          <w:sz w:val="20"/>
          <w:szCs w:val="20"/>
          <w:color w:val="auto"/>
        </w:rPr>
      </w:pP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1880" w:h="15480" w:orient="portrait"/>
          <w:cols w:equalWidth="0" w:num="1">
            <w:col w:w="10800"/>
          </w:cols>
          <w:pgMar w:left="540" w:top="984" w:right="540" w:bottom="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30"/>
        </w:trPr>
        <w:tc>
          <w:tcPr>
            <w:tcW w:w="9460" w:type="dxa"/>
            <w:vAlign w:val="bottom"/>
            <w:gridSpan w:val="2"/>
          </w:tcPr>
          <w:p>
            <w:pPr>
              <w:jc w:val="center"/>
              <w:ind w:left="1242"/>
              <w:spacing w:after="0"/>
              <w:rPr>
                <w:sz w:val="20"/>
                <w:szCs w:val="20"/>
                <w:color w:val="auto"/>
              </w:rPr>
            </w:pPr>
            <w:r>
              <w:rPr>
                <w:rFonts w:ascii="Times New Roman" w:cs="Times New Roman" w:eastAsia="Times New Roman" w:hAnsi="Times New Roman"/>
                <w:sz w:val="20"/>
                <w:szCs w:val="20"/>
                <w:b w:val="1"/>
                <w:bCs w:val="1"/>
                <w:color w:val="auto"/>
              </w:rPr>
              <w:t>MOBILEYE GLOBAL INC.</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6"/>
        </w:trPr>
        <w:tc>
          <w:tcPr>
            <w:tcW w:w="9460" w:type="dxa"/>
            <w:vAlign w:val="bottom"/>
            <w:gridSpan w:val="2"/>
          </w:tcPr>
          <w:p>
            <w:pPr>
              <w:jc w:val="center"/>
              <w:ind w:left="1242"/>
              <w:spacing w:after="0"/>
              <w:rPr>
                <w:sz w:val="20"/>
                <w:szCs w:val="20"/>
                <w:color w:val="auto"/>
              </w:rPr>
            </w:pPr>
            <w:r>
              <w:rPr>
                <w:rFonts w:ascii="Times New Roman" w:cs="Times New Roman" w:eastAsia="Times New Roman" w:hAnsi="Times New Roman"/>
                <w:sz w:val="20"/>
                <w:szCs w:val="20"/>
                <w:b w:val="1"/>
                <w:bCs w:val="1"/>
                <w:color w:val="auto"/>
                <w:w w:val="99"/>
              </w:rPr>
              <w:t>NOTES TO CONSOLIDATED FINANCIAL STATEMENTS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467"/>
        </w:trPr>
        <w:tc>
          <w:tcPr>
            <w:tcW w:w="94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Maturities of operating lease liabilities were as follows: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6"/>
        </w:trPr>
        <w:tc>
          <w:tcPr>
            <w:tcW w:w="9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December 27,</w:t>
            </w:r>
          </w:p>
        </w:tc>
      </w:tr>
      <w:tr>
        <w:trPr>
          <w:trHeight w:val="194"/>
        </w:trPr>
        <w:tc>
          <w:tcPr>
            <w:tcW w:w="9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9440" w:type="dxa"/>
            <w:vAlign w:val="bottom"/>
          </w:tcPr>
          <w:p>
            <w:pPr>
              <w:jc w:val="right"/>
              <w:ind w:right="221"/>
              <w:spacing w:after="0" w:line="208"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 . . . . . . . . . . . . . . . . . . . . . . . .2026</w:t>
            </w:r>
          </w:p>
        </w:tc>
        <w:tc>
          <w:tcPr>
            <w:tcW w:w="20" w:type="dxa"/>
            <w:vAlign w:val="bottom"/>
          </w:tcPr>
          <w:p>
            <w:pPr>
              <w:spacing w:after="0"/>
              <w:rPr>
                <w:sz w:val="18"/>
                <w:szCs w:val="18"/>
                <w:color w:val="auto"/>
              </w:rPr>
            </w:pPr>
          </w:p>
        </w:tc>
        <w:tc>
          <w:tcPr>
            <w:tcW w:w="1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20</w:t>
            </w:r>
          </w:p>
        </w:tc>
      </w:tr>
      <w:tr>
        <w:trPr>
          <w:trHeight w:val="230"/>
        </w:trPr>
        <w:tc>
          <w:tcPr>
            <w:tcW w:w="9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5"/>
              </w:rPr>
              <w:t>2027 . . . . . . . . . . . . . . . . . . . . . . . . . . . . . . . . . . . . . . . . . . . . . . . . . . . . . . . . . . . . . . . . . . . . . . . . . . . . . . . . . . . . . . . . . . .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29"/>
        </w:trPr>
        <w:tc>
          <w:tcPr>
            <w:tcW w:w="9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5"/>
              </w:rPr>
              <w:t>2028 . . . . . . . . . . . . . . . . . . . . . . . . . . . . . . . . . . . . . . . . . . . . . . . . . . . . . . . . . . . . . . . . . . . . . . . . . . . . . . . . . . . . . . . . . . .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9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5"/>
              </w:rPr>
              <w:t>2029 . . . . . . . . . . . . . . . . . . . . . . . . . . . . . . . . . . . . . . . . . . . . . . . . . . . . . . . . . . . . . . . . . . . . . . . . . . . . . . . . . . . . . . . . . . .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41"/>
        </w:trPr>
        <w:tc>
          <w:tcPr>
            <w:tcW w:w="94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2030 and thereafter . . . . . . . . . . . . . . . . . . . . . . . . . . . . . . . . . . . . . . . . . . . . . . . . . . . . . . . . . . . . . . . . . . . . . . . . . . . . . . .</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09"/>
        </w:trPr>
        <w:tc>
          <w:tcPr>
            <w:tcW w:w="9460" w:type="dxa"/>
            <w:vAlign w:val="bottom"/>
            <w:gridSpan w:val="2"/>
          </w:tcPr>
          <w:p>
            <w:pPr>
              <w:jc w:val="right"/>
              <w:ind w:right="340"/>
              <w:spacing w:after="0" w:line="209"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 . . . . . .</w:t>
            </w:r>
            <w:r>
              <w:rPr>
                <w:rFonts w:ascii="Times New Roman" w:cs="Times New Roman" w:eastAsia="Times New Roman" w:hAnsi="Times New Roman"/>
                <w:sz w:val="20"/>
                <w:szCs w:val="20"/>
                <w:b w:val="1"/>
                <w:bCs w:val="1"/>
                <w:color w:val="auto"/>
                <w:w w:val="99"/>
              </w:rPr>
              <w:t>Totaloperatingleasepayments</w:t>
            </w:r>
          </w:p>
        </w:tc>
        <w:tc>
          <w:tcPr>
            <w:tcW w:w="160" w:type="dxa"/>
            <w:vAlign w:val="bottom"/>
          </w:tcPr>
          <w:p>
            <w:pPr>
              <w:spacing w:after="0"/>
              <w:rPr>
                <w:sz w:val="18"/>
                <w:szCs w:val="18"/>
                <w:color w:val="auto"/>
              </w:rPr>
            </w:pPr>
          </w:p>
        </w:tc>
        <w:tc>
          <w:tcPr>
            <w:tcW w:w="11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68</w:t>
            </w:r>
          </w:p>
        </w:tc>
      </w:tr>
      <w:tr>
        <w:trPr>
          <w:trHeight w:val="241"/>
        </w:trPr>
        <w:tc>
          <w:tcPr>
            <w:tcW w:w="94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Imputed interest . . . . . . . . . . . . . . . . . . . . . . . . . . . . . . . . . . . . . . . . . . . . . . . . . . . . . . . . . . . . . . . . . . . . . . . . . . . . . . . . .</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40"/>
        </w:trPr>
        <w:tc>
          <w:tcPr>
            <w:tcW w:w="944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7"/>
              </w:rPr>
              <w:t xml:space="preserve">Present value of lease liabilities </w:t>
            </w:r>
            <w:r>
              <w:rPr>
                <w:rFonts w:ascii="Times New Roman" w:cs="Times New Roman" w:eastAsia="Times New Roman" w:hAnsi="Times New Roman"/>
                <w:sz w:val="20"/>
                <w:szCs w:val="20"/>
                <w:color w:val="auto"/>
                <w:w w:val="97"/>
              </w:rPr>
              <w:t>.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62</w:t>
            </w:r>
          </w:p>
        </w:tc>
      </w:tr>
    </w:tbl>
    <w:p>
      <w:pPr>
        <w:spacing w:after="0" w:line="20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During 2017, the Company obtained the right to use land in Jerusalem from the Israeli government for the construction of a new research and development and innovation center that now hosts the Company’s headquarters (the new Jerusalem Campus). This land lease was fully prepaid and no lease liability was recorded. This operating lease right of use asset is carried at cost and amortized using the straight-line method. This operating lease right of use asset, net of amortization, was $11 million and $11 million as of December 27, 2025 and December 28, 2024, respectively, and is included in other long-term assets on the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EQUITY</w:t>
      </w:r>
    </w:p>
    <w:p>
      <w:pPr>
        <w:spacing w:after="0" w:line="239" w:lineRule="exact"/>
        <w:rPr>
          <w:sz w:val="20"/>
          <w:szCs w:val="20"/>
          <w:color w:val="auto"/>
        </w:rPr>
      </w:pPr>
    </w:p>
    <w:p>
      <w:pPr>
        <w:ind w:left="720" w:hanging="360"/>
        <w:spacing w:after="0"/>
        <w:tabs>
          <w:tab w:leader="none" w:pos="72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Common Stock and Voting Rights</w:t>
      </w:r>
    </w:p>
    <w:p>
      <w:pPr>
        <w:spacing w:after="0" w:line="24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have two classes of authorized common stock: Class A common stock, which is listed on Nasdaq under the symbol “MBLY”, and Class B common stock which is not listed or traded on any stock exchange and is held by Intel. Both classes of common stock have a par value of $0.01 per share. The rights of the holders of our Class A common stock and Class B common stock are identical, except with respect to voting, transfer, and conversion rights. Each share of our Class A common stock is entitled to one vote. Each share of our Class B common stock is entitled to ten votes and is convertible at any time into one share of our Class A common stock, subject to certain conditions.</w:t>
      </w:r>
    </w:p>
    <w:p>
      <w:pPr>
        <w:spacing w:after="0" w:line="19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 xml:space="preserve">On July 11, 2025, we completed the Secondary Offering pursuant to which 57,500,000 shares of Class B common stock held by Intel were converted into an equal number of shares of Class A common stock. In connection with and conditional upon the closing of the Secondary Offering, the Company purchased from Intel 6,231,985 shares of Class A common stock (which shares were received upon the conversion of 6,231,985 shares of Class B common stock into Class A common stock). In addition to and conditional upon the closing of the Secondary Offering, Intel voluntarily converted pursuant to the Company’s Amended and Restated Certificate of Incorporation an additional 50,000,000 shares of Class B common stock to Class A common stock. For further detail, refer to Note 1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Intel continues to directly, or indirectly, hold all of the Class B common stock of Mobileye as well as 50,000,000 shares of Class A common stock, which together represents approximately 79.5% of our outstanding common stock and 97.3% of the voting power of our common stock as of December 27, 2025.</w:t>
      </w:r>
    </w:p>
    <w:p>
      <w:pPr>
        <w:spacing w:after="0" w:line="179" w:lineRule="exact"/>
        <w:rPr>
          <w:sz w:val="20"/>
          <w:szCs w:val="20"/>
          <w:color w:val="auto"/>
        </w:rPr>
      </w:pPr>
    </w:p>
    <w:p>
      <w:pPr>
        <w:ind w:left="720" w:hanging="360"/>
        <w:spacing w:after="0"/>
        <w:tabs>
          <w:tab w:leader="none" w:pos="72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Share-based compensation plans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Plan</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In June 2025, the stockholders of the Company approved the Amended and Restated Mobileye Global Inc. 2022 Equity Incentive Plan. Equity awards under the 2022 Plan are granted for Class A shares and vest upon the satisfaction of a service-based vesting condition, mostly over a service period of three years. The RSUs granted during 2025, 2024 and 2023 also include 0.9 million, 0.5 million and 0.4 million RSUs granted to the Company’s Chief Executive Officer, with a total value of $15 million, $14 million and $14 million, respectively, which will vest over a service period of up to five years.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1880" w:h="15480" w:orient="portrait"/>
          <w:cols w:equalWidth="0" w:num="1">
            <w:col w:w="10800"/>
          </w:cols>
          <w:pgMar w:left="540" w:top="984" w:right="540" w:bottom="0"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With respect to Israeli employees, the 2022 Plan is designed to grant awards pursuant to the provision of Section 102 of the Israeli Income Tax Ordinance. In accordance with the capital gains treatment elected by the Company, the Company is not allowed to deduct the amounts credited to employees for tax purposes. This includes amounts recorded as salary benefits in the Company’s consolidated financial statements, in respect of equity granted to employees under the 2022 Plan, with the exception of the benefit component, if any, on the grant date.</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Restricted Stock Units</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RSUs activity for the years ended December 27, 2025, December 28, 2024 and December 30, 2023 for RSUs granted to</w:t>
      </w:r>
    </w:p>
    <w:p>
      <w:pPr>
        <w:spacing w:after="0"/>
        <w:rPr>
          <w:sz w:val="20"/>
          <w:szCs w:val="20"/>
          <w:color w:val="auto"/>
        </w:rPr>
      </w:pPr>
      <w:r>
        <w:rPr>
          <w:rFonts w:ascii="Times New Roman" w:cs="Times New Roman" w:eastAsia="Times New Roman" w:hAnsi="Times New Roman"/>
          <w:sz w:val="20"/>
          <w:szCs w:val="20"/>
          <w:color w:val="auto"/>
        </w:rPr>
        <w:t>Company’s employees under the 2022 Plan was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205"/>
        </w:trPr>
        <w:tc>
          <w:tcPr>
            <w:tcW w:w="7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20" w:type="dxa"/>
            <w:vAlign w:val="bottom"/>
          </w:tcPr>
          <w:p>
            <w:pPr>
              <w:spacing w:after="0"/>
              <w:rPr>
                <w:sz w:val="17"/>
                <w:szCs w:val="17"/>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date fair value per share</w:t>
            </w:r>
          </w:p>
        </w:tc>
        <w:tc>
          <w:tcPr>
            <w:tcW w:w="0" w:type="dxa"/>
            <w:vAlign w:val="bottom"/>
          </w:tcPr>
          <w:p>
            <w:pPr>
              <w:spacing w:after="0"/>
              <w:rPr>
                <w:sz w:val="1"/>
                <w:szCs w:val="1"/>
                <w:color w:val="auto"/>
              </w:rPr>
            </w:pPr>
          </w:p>
        </w:tc>
      </w:tr>
      <w:tr>
        <w:trPr>
          <w:trHeight w:val="174"/>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2022</w:t>
            </w:r>
          </w:p>
        </w:tc>
        <w:tc>
          <w:tcPr>
            <w:tcW w:w="1660" w:type="dxa"/>
            <w:vAlign w:val="bottom"/>
            <w:tcBorders>
              <w:top w:val="single" w:sz="8" w:color="auto"/>
              <w:bottom w:val="single" w:sz="8" w:color="auto"/>
            </w:tcBorders>
          </w:tcPr>
          <w:p>
            <w:pPr>
              <w:jc w:val="right"/>
              <w:ind w:right="283"/>
              <w:spacing w:after="0" w:line="175"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381"/>
              <w:spacing w:after="0" w:line="175"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0" w:type="dxa"/>
            <w:vAlign w:val="bottom"/>
          </w:tcPr>
          <w:p>
            <w:pPr>
              <w:spacing w:after="0"/>
              <w:rPr>
                <w:sz w:val="1"/>
                <w:szCs w:val="1"/>
                <w:color w:val="auto"/>
              </w:rPr>
            </w:pPr>
          </w:p>
        </w:tc>
      </w:tr>
      <w:tr>
        <w:trPr>
          <w:trHeight w:val="200"/>
        </w:trPr>
        <w:tc>
          <w:tcPr>
            <w:tcW w:w="7120" w:type="dxa"/>
            <w:vAlign w:val="bottom"/>
            <w:gridSpan w:val="2"/>
            <w:vMerge w:val="continue"/>
          </w:tcPr>
          <w:p>
            <w:pPr>
              <w:jc w:val="right"/>
              <w:ind w:right="30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w:t>
            </w:r>
          </w:p>
        </w:tc>
        <w:tc>
          <w:tcPr>
            <w:tcW w:w="16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12,564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ind w:right="13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32"/>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Granted . . . . . . . . . . . . . . . . . . . . . . . . . . . . . . . . . . . . . . . . . .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30"/>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Vested  . . . . . . . . . . . . . . . . . . . . . . . . . . . . . . . . . . . . . . . . . . . . . . . . . . . . . . . . . . . . . . .</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(4,240)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42"/>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Forfeited . . . . . . . . . . . . . . . . . . . . . . . . . . . . . . . . . . . . . . . . . . . . . . . . . . . . . . . . . . . . . .</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(328)</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39"/>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 . . . . . . . . . . . . . . . . . . . . . . . . . . . . . . . . . . . . .</w:t>
            </w:r>
            <w:r>
              <w:rPr>
                <w:rFonts w:ascii="Times New Roman" w:cs="Times New Roman" w:eastAsia="Times New Roman" w:hAnsi="Times New Roman"/>
                <w:sz w:val="20"/>
                <w:szCs w:val="20"/>
                <w:b w:val="1"/>
                <w:bCs w:val="1"/>
                <w:color w:val="auto"/>
              </w:rPr>
              <w:t>OutstandingasofDecember30,2023</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14,778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w:t>
            </w:r>
          </w:p>
        </w:tc>
        <w:tc>
          <w:tcPr>
            <w:tcW w:w="0" w:type="dxa"/>
            <w:vAlign w:val="bottom"/>
          </w:tcPr>
          <w:p>
            <w:pPr>
              <w:spacing w:after="0"/>
              <w:rPr>
                <w:sz w:val="1"/>
                <w:szCs w:val="1"/>
                <w:color w:val="auto"/>
              </w:rPr>
            </w:pPr>
          </w:p>
        </w:tc>
      </w:tr>
      <w:tr>
        <w:trPr>
          <w:trHeight w:val="212"/>
        </w:trPr>
        <w:tc>
          <w:tcPr>
            <w:tcW w:w="7120" w:type="dxa"/>
            <w:vAlign w:val="bottom"/>
            <w:gridSpan w:val="2"/>
          </w:tcPr>
          <w:p>
            <w:pPr>
              <w:jc w:val="right"/>
              <w:ind w:right="300"/>
              <w:spacing w:after="0" w:line="211"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 .Granted</w:t>
            </w:r>
          </w:p>
        </w:tc>
        <w:tc>
          <w:tcPr>
            <w:tcW w:w="16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13,542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0"/>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Vested  . . . . . . . . . . . . . . . . . . . . . . . . . . . . . . . . . . . . . . . . . . . . . . . . . . . . . . . . . . . . . . .</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(5,574)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42"/>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Forfeited . . . . . . . . . . . . . . . . . . . . . . . . . . . . . . . . . . . . . . . . . . . . . . . . . . . . . . . . . . . . . .</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(1,293)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40"/>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 . . . . . . . . . . . . . . . . . . . . . . . . . . . . . . . . . . . . .</w:t>
            </w:r>
            <w:r>
              <w:rPr>
                <w:rFonts w:ascii="Times New Roman" w:cs="Times New Roman" w:eastAsia="Times New Roman" w:hAnsi="Times New Roman"/>
                <w:sz w:val="20"/>
                <w:szCs w:val="20"/>
                <w:b w:val="1"/>
                <w:bCs w:val="1"/>
                <w:color w:val="auto"/>
              </w:rPr>
              <w:t>OutstandingasofDecember28,2024</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21,453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c>
          <w:tcPr>
            <w:tcW w:w="0" w:type="dxa"/>
            <w:vAlign w:val="bottom"/>
          </w:tcPr>
          <w:p>
            <w:pPr>
              <w:spacing w:after="0"/>
              <w:rPr>
                <w:sz w:val="1"/>
                <w:szCs w:val="1"/>
                <w:color w:val="auto"/>
              </w:rPr>
            </w:pPr>
          </w:p>
        </w:tc>
      </w:tr>
      <w:tr>
        <w:trPr>
          <w:trHeight w:val="210"/>
        </w:trPr>
        <w:tc>
          <w:tcPr>
            <w:tcW w:w="7120" w:type="dxa"/>
            <w:vAlign w:val="bottom"/>
            <w:gridSpan w:val="2"/>
          </w:tcPr>
          <w:p>
            <w:pPr>
              <w:jc w:val="right"/>
              <w:ind w:right="300"/>
              <w:spacing w:after="0" w:line="210"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 .Granted</w:t>
            </w:r>
          </w:p>
        </w:tc>
        <w:tc>
          <w:tcPr>
            <w:tcW w:w="16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22,985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32"/>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Vested  . . . . . . . . . . . . . . . . . . . . . . . . . . . . . . . . . . . . . . . . . . . . . . . . . . . . . . . . . . . . . . .</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(9,254)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41"/>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Forfeited . . . . . . . . . . . . . . . . . . . . . . . . . . . . . . . . . . . . . . . . . . . . . . . . . . . . . . . . . . . . . .</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(2,331)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42"/>
        </w:trPr>
        <w:tc>
          <w:tcPr>
            <w:tcW w:w="710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w w:val="97"/>
              </w:rPr>
              <w:t xml:space="preserve">Outstanding as of December 27, 2025 </w:t>
            </w:r>
            <w:r>
              <w:rPr>
                <w:rFonts w:ascii="Times New Roman" w:cs="Times New Roman" w:eastAsia="Times New Roman" w:hAnsi="Times New Roman"/>
                <w:sz w:val="20"/>
                <w:szCs w:val="20"/>
                <w:color w:val="auto"/>
                <w:w w:val="97"/>
              </w:rPr>
              <w:t>. . . . . . . . . . . . . . . . . . . . . . . . . . . . . . . . . . . . . .</w:t>
            </w:r>
          </w:p>
        </w:tc>
        <w:tc>
          <w:tcPr>
            <w:tcW w:w="20" w:type="dxa"/>
            <w:vAlign w:val="bottom"/>
            <w:tcBorders>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32,853</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As of December 27, 2025, the unrecognized compensation cost related to all unvested RSUs granted under the Company’s 2022 Plan, was $441 million, which is expected to be recognized as an expense over a weighted-average period of 2.14 years.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Intel Plan</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Prior to the Mobileye IPO, since 2017, employees of the Company had been incentivized and rewarded through the grant of Intel equity awards under Intel’s Equity Incentive Plan which contains only a service condition. The equity awards granted generally vest over the course of three years from the grant date. The activity of the Company’s employees for Intel’s options and RSUs was immaterial as of December 28, 2024 and December 27, 2025.</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 expense summary (for both Mobileye and Intel Plans)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Expenses recognized</w:t>
      </w:r>
    </w:p>
    <w:p>
      <w:pPr>
        <w:spacing w:after="0" w:line="23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Share-based compensation expenses included in the consolidated statements of operations and comprehensive income (loss)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65"/>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6"/>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27,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7"/>
              <w:spacing w:after="0" w:line="16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6"/>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30,</w:t>
            </w:r>
          </w:p>
        </w:tc>
      </w:tr>
      <w:tr>
        <w:trPr>
          <w:trHeight w:val="194"/>
        </w:trPr>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940" w:type="dxa"/>
            <w:vAlign w:val="bottom"/>
            <w:gridSpan w:val="2"/>
          </w:tcPr>
          <w:p>
            <w:pPr>
              <w:jc w:val="right"/>
              <w:ind w:right="320"/>
              <w:spacing w:after="0" w:line="208"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.Costofrevenue</w:t>
            </w:r>
          </w:p>
        </w:tc>
        <w:tc>
          <w:tcPr>
            <w:tcW w:w="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w:t>
            </w:r>
          </w:p>
        </w:tc>
      </w:tr>
      <w:tr>
        <w:trPr>
          <w:trHeight w:val="230"/>
        </w:trPr>
        <w:tc>
          <w:tcPr>
            <w:tcW w:w="69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r>
      <w:tr>
        <w:trPr>
          <w:trHeight w:val="230"/>
        </w:trPr>
        <w:tc>
          <w:tcPr>
            <w:tcW w:w="69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41"/>
        </w:trPr>
        <w:tc>
          <w:tcPr>
            <w:tcW w:w="69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 . . . . . . .</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40"/>
        </w:trPr>
        <w:tc>
          <w:tcPr>
            <w:tcW w:w="6920" w:type="dxa"/>
            <w:vAlign w:val="bottom"/>
          </w:tcPr>
          <w:p>
            <w:pPr>
              <w:jc w:val="right"/>
              <w:ind w:right="203"/>
              <w:spacing w:after="0"/>
              <w:rPr>
                <w:sz w:val="20"/>
                <w:szCs w:val="20"/>
                <w:color w:val="auto"/>
              </w:rPr>
            </w:pPr>
            <w:r>
              <w:rPr>
                <w:rFonts w:ascii="Times New Roman" w:cs="Times New Roman" w:eastAsia="Times New Roman" w:hAnsi="Times New Roman"/>
                <w:sz w:val="20"/>
                <w:szCs w:val="20"/>
                <w:b w:val="1"/>
                <w:bCs w:val="1"/>
                <w:color w:val="auto"/>
                <w:w w:val="97"/>
              </w:rPr>
              <w:t xml:space="preserve">Total share-based compensation </w:t>
            </w:r>
            <w:r>
              <w:rPr>
                <w:rFonts w:ascii="Times New Roman" w:cs="Times New Roman" w:eastAsia="Times New Roman" w:hAnsi="Times New Roman"/>
                <w:sz w:val="20"/>
                <w:szCs w:val="20"/>
                <w:color w:val="auto"/>
                <w:w w:val="97"/>
              </w:rPr>
              <w:t>. . . . . . . . . . . . . . . . . . . . . . . . . . . . . . . . . . . . . . . .</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279</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252</w:t>
            </w:r>
          </w:p>
        </w:tc>
      </w:tr>
    </w:tbl>
    <w:p>
      <w:pPr>
        <w:spacing w:after="0" w:line="200" w:lineRule="exact"/>
        <w:rPr>
          <w:sz w:val="20"/>
          <w:szCs w:val="20"/>
          <w:color w:val="auto"/>
        </w:rPr>
      </w:pP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1880" w:h="15480" w:orient="portrait"/>
          <w:cols w:equalWidth="0" w:num="1">
            <w:col w:w="10800"/>
          </w:cols>
          <w:pgMar w:left="540" w:top="984" w:right="540" w:bottom="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EARNINGS (LOSS) PER SHARE</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 xml:space="preserve">As of December 27, 2025, we have 597,768,015 Class B shares, all held by Intel, and 216,980,847 Class A shares out of which 50,000,000 shares are held by Intel, both of which are utilized for the calculation of basic and diluted EPS. The outstanding Class A shares also include shares issued upon vesting of outstanding RSUs, see Note 6 </w:t>
      </w:r>
      <w:r>
        <w:rPr>
          <w:rFonts w:ascii="Times New Roman" w:cs="Times New Roman" w:eastAsia="Times New Roman" w:hAnsi="Times New Roman"/>
          <w:sz w:val="20"/>
          <w:szCs w:val="20"/>
          <w:i w:val="1"/>
          <w:iCs w:val="1"/>
          <w:color w:val="auto"/>
        </w:rPr>
        <w:t>Equity</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For the years ended December 27, 2025, December 28, 2024 and December 30, 2023, the computation of diluted earnings (loss) per share attributable to common stockholders does not include 27.5 million, 18.1 million and 5.9 million potential common shares, respectively, related to restricted stock units granted under the 2022 Plan to the Company’s employees, as the effect of their inclusion would have been anti-dilutive.</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calculation of basic and diluted earnings (loss) per share for the periods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00" w:type="dxa"/>
            <w:vAlign w:val="bottom"/>
          </w:tcPr>
          <w:p>
            <w:pPr>
              <w:spacing w:after="0"/>
              <w:rPr>
                <w:sz w:val="13"/>
                <w:szCs w:val="13"/>
                <w:color w:val="auto"/>
              </w:rPr>
            </w:pPr>
          </w:p>
        </w:tc>
        <w:tc>
          <w:tcPr>
            <w:tcW w:w="1260" w:type="dxa"/>
            <w:vAlign w:val="bottom"/>
            <w:gridSpan w:val="3"/>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80" w:type="dxa"/>
            <w:vAlign w:val="bottom"/>
          </w:tcPr>
          <w:p>
            <w:pPr>
              <w:spacing w:after="0"/>
              <w:rPr>
                <w:sz w:val="13"/>
                <w:szCs w:val="13"/>
                <w:color w:val="auto"/>
              </w:rPr>
            </w:pPr>
          </w:p>
        </w:tc>
        <w:tc>
          <w:tcPr>
            <w:tcW w:w="10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20" w:type="dxa"/>
            <w:vAlign w:val="bottom"/>
          </w:tcPr>
          <w:p>
            <w:pPr>
              <w:spacing w:after="0"/>
              <w:rPr>
                <w:sz w:val="13"/>
                <w:szCs w:val="13"/>
                <w:color w:val="auto"/>
              </w:rPr>
            </w:pPr>
          </w:p>
        </w:tc>
      </w:tr>
      <w:tr>
        <w:trPr>
          <w:trHeight w:val="203"/>
        </w:trPr>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r>
      <w:tr>
        <w:trPr>
          <w:trHeight w:val="214"/>
        </w:trPr>
        <w:tc>
          <w:tcPr>
            <w:tcW w:w="6960" w:type="dxa"/>
            <w:vAlign w:val="bottom"/>
            <w:gridSpan w:val="2"/>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Numerator: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69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Net income (loss) . . . . . . . . . . . . . . . . . . . . . . . . . . . . . . . . . . . . . . . . . . . . . . . . . . . . . .</w:t>
            </w:r>
          </w:p>
        </w:tc>
        <w:tc>
          <w:tcPr>
            <w:tcW w:w="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(392)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color w:val="auto"/>
              </w:rPr>
              <w:t>(3,090)</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(27)</w:t>
            </w:r>
          </w:p>
        </w:tc>
      </w:tr>
      <w:tr>
        <w:trPr>
          <w:trHeight w:val="232"/>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7"/>
        </w:trPr>
        <w:tc>
          <w:tcPr>
            <w:tcW w:w="6960" w:type="dxa"/>
            <w:vAlign w:val="bottom"/>
            <w:gridSpan w:val="2"/>
          </w:tcPr>
          <w:p>
            <w:pPr>
              <w:ind w:left="120"/>
              <w:spacing w:after="0" w:line="228" w:lineRule="exact"/>
              <w:rPr>
                <w:sz w:val="20"/>
                <w:szCs w:val="20"/>
                <w:color w:val="auto"/>
              </w:rPr>
            </w:pPr>
            <w:r>
              <w:rPr>
                <w:rFonts w:ascii="Times New Roman" w:cs="Times New Roman" w:eastAsia="Times New Roman" w:hAnsi="Times New Roman"/>
                <w:sz w:val="20"/>
                <w:szCs w:val="20"/>
                <w:color w:val="auto"/>
              </w:rPr>
              <w:t>Weighted average common shares - basic and diluted . . . . . . . . . . . . . . . . . . . . . . .</w:t>
            </w:r>
          </w:p>
        </w:tc>
        <w:tc>
          <w:tcPr>
            <w:tcW w:w="100" w:type="dxa"/>
            <w:vAlign w:val="bottom"/>
          </w:tcPr>
          <w:p>
            <w:pPr>
              <w:spacing w:after="0"/>
              <w:rPr>
                <w:sz w:val="19"/>
                <w:szCs w:val="19"/>
                <w:color w:val="auto"/>
              </w:rPr>
            </w:pPr>
          </w:p>
        </w:tc>
        <w:tc>
          <w:tcPr>
            <w:tcW w:w="10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813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809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805</w:t>
            </w:r>
          </w:p>
        </w:tc>
        <w:tc>
          <w:tcPr>
            <w:tcW w:w="20" w:type="dxa"/>
            <w:vAlign w:val="bottom"/>
          </w:tcPr>
          <w:p>
            <w:pPr>
              <w:spacing w:after="0"/>
              <w:rPr>
                <w:sz w:val="19"/>
                <w:szCs w:val="19"/>
                <w:color w:val="auto"/>
              </w:rPr>
            </w:pPr>
          </w:p>
        </w:tc>
      </w:tr>
      <w:tr>
        <w:trPr>
          <w:trHeight w:val="244"/>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Earnings (loss) per share:</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0"/>
        </w:trPr>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Basic and diluted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(0.48)</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20" w:type="dxa"/>
            <w:vAlign w:val="bottom"/>
          </w:tcPr>
          <w:p>
            <w:pPr>
              <w:spacing w:after="0"/>
              <w:rPr>
                <w:sz w:val="20"/>
                <w:szCs w:val="20"/>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INCOME TAXES</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Income (Loss) before income taxes included in the consolidated statements of operations and comprehensive income (loss)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Income (loss) before income taxes for the years ended December 27, 2025, December 28, 2024, and December 30, 2023 was comprised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20" w:type="dxa"/>
            <w:vAlign w:val="bottom"/>
          </w:tcPr>
          <w:p>
            <w:pPr>
              <w:spacing w:after="0"/>
              <w:rPr>
                <w:sz w:val="13"/>
                <w:szCs w:val="13"/>
                <w:color w:val="auto"/>
              </w:rPr>
            </w:pPr>
          </w:p>
        </w:tc>
      </w:tr>
      <w:tr>
        <w:trPr>
          <w:trHeight w:val="193"/>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209"/>
        </w:trPr>
        <w:tc>
          <w:tcPr>
            <w:tcW w:w="69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Income (loss) before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9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w w:val="96"/>
              </w:rPr>
              <w:t>U.S . . . . . . . . . . . . . . . .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w:t>
            </w:r>
          </w:p>
        </w:tc>
      </w:tr>
      <w:tr>
        <w:trPr>
          <w:trHeight w:val="241"/>
        </w:trPr>
        <w:tc>
          <w:tcPr>
            <w:tcW w:w="69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w w:val="98"/>
              </w:rPr>
              <w:t>Non-U.S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(3,152)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 w:type="dxa"/>
            <w:vAlign w:val="bottom"/>
          </w:tcPr>
          <w:p>
            <w:pPr>
              <w:spacing w:after="0"/>
              <w:rPr>
                <w:sz w:val="20"/>
                <w:szCs w:val="20"/>
                <w:color w:val="auto"/>
              </w:rPr>
            </w:pPr>
          </w:p>
        </w:tc>
      </w:tr>
      <w:tr>
        <w:trPr>
          <w:trHeight w:val="240"/>
        </w:trPr>
        <w:tc>
          <w:tcPr>
            <w:tcW w:w="69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 . . . . . . . . . . . . . . . . . . . . . . . . . . . . . . . . .</w:t>
            </w:r>
            <w:r>
              <w:rPr>
                <w:rFonts w:ascii="Times New Roman" w:cs="Times New Roman" w:eastAsia="Times New Roman" w:hAnsi="Times New Roman"/>
                <w:sz w:val="20"/>
                <w:szCs w:val="20"/>
                <w:b w:val="1"/>
                <w:bCs w:val="1"/>
                <w:color w:val="auto"/>
              </w:rPr>
              <w:t>Totalincome(loss)beforeincometaxes</w:t>
            </w: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(3,163)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1880" w:h="15480" w:orient="portrait"/>
          <w:cols w:equalWidth="0" w:num="1">
            <w:col w:w="10800"/>
          </w:cols>
          <w:pgMar w:left="540" w:top="984" w:right="540" w:bottom="0" w:gutter="0" w:footer="0" w:header="0"/>
          <w:type w:val="continuous"/>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Benefit (provision) for income taxes included in the consolidated statements of operations and comprehensive income (loss)</w:t>
      </w:r>
    </w:p>
    <w:p>
      <w:pPr>
        <w:spacing w:after="0" w:line="214" w:lineRule="exact"/>
        <w:rPr>
          <w:sz w:val="20"/>
          <w:szCs w:val="20"/>
          <w:color w:val="auto"/>
        </w:rPr>
      </w:pPr>
    </w:p>
    <w:p>
      <w:pPr>
        <w:jc w:val="both"/>
        <w:ind w:left="20" w:firstLine="360"/>
        <w:spacing w:after="0" w:line="280" w:lineRule="auto"/>
        <w:rPr>
          <w:sz w:val="20"/>
          <w:szCs w:val="20"/>
          <w:color w:val="auto"/>
        </w:rPr>
      </w:pPr>
      <w:r>
        <w:rPr>
          <w:rFonts w:ascii="Times New Roman" w:cs="Times New Roman" w:eastAsia="Times New Roman" w:hAnsi="Times New Roman"/>
          <w:sz w:val="20"/>
          <w:szCs w:val="20"/>
          <w:color w:val="auto"/>
        </w:rPr>
        <w:t>Benefit (provision) for income taxes for the years ended December 27, 2025, December 28, 2024, and December 30, 2023 was comprised of the following:</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4"/>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20" w:type="dxa"/>
            <w:vAlign w:val="bottom"/>
          </w:tcPr>
          <w:p>
            <w:pPr>
              <w:spacing w:after="0"/>
              <w:rPr>
                <w:sz w:val="13"/>
                <w:szCs w:val="13"/>
                <w:color w:val="auto"/>
              </w:rPr>
            </w:pPr>
          </w:p>
        </w:tc>
      </w:tr>
      <w:tr>
        <w:trPr>
          <w:trHeight w:val="193"/>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209"/>
        </w:trPr>
        <w:tc>
          <w:tcPr>
            <w:tcW w:w="69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Current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9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7"/>
              </w:rPr>
              <w:t>State. . . . . . . . . . . . . . .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9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7"/>
              </w:rPr>
              <w:t>Federal.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9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8"/>
              </w:rPr>
              <w:t>Foreign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w:t>
            </w:r>
          </w:p>
        </w:tc>
      </w:tr>
      <w:tr>
        <w:trPr>
          <w:trHeight w:val="220"/>
        </w:trPr>
        <w:tc>
          <w:tcPr>
            <w:tcW w:w="6940" w:type="dxa"/>
            <w:vAlign w:val="bottom"/>
          </w:tcPr>
          <w:p>
            <w:pPr>
              <w:jc w:val="right"/>
              <w:ind w:right="221"/>
              <w:spacing w:after="0" w:line="219" w:lineRule="exact"/>
              <w:rPr>
                <w:sz w:val="20"/>
                <w:szCs w:val="20"/>
                <w:color w:val="auto"/>
              </w:rPr>
            </w:pPr>
            <w:r>
              <w:rPr>
                <w:rFonts w:ascii="Times New Roman" w:cs="Times New Roman" w:eastAsia="Times New Roman" w:hAnsi="Times New Roman"/>
                <w:sz w:val="20"/>
                <w:szCs w:val="20"/>
                <w:color w:val="auto"/>
              </w:rPr>
              <w:t>. . . . . . . . . . . . . . . . . . . . . . . . .</w:t>
            </w:r>
            <w:r>
              <w:rPr>
                <w:rFonts w:ascii="Times New Roman" w:cs="Times New Roman" w:eastAsia="Times New Roman" w:hAnsi="Times New Roman"/>
                <w:sz w:val="20"/>
                <w:szCs w:val="20"/>
                <w:b w:val="1"/>
                <w:bCs w:val="1"/>
                <w:color w:val="auto"/>
              </w:rPr>
              <w:t>Totalcurrentbenefit(provision)forincometaxes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b w:val="1"/>
                <w:bCs w:val="1"/>
                <w:color w:val="auto"/>
              </w:rPr>
              <w:t>(30)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(58)</w:t>
            </w:r>
          </w:p>
        </w:tc>
        <w:tc>
          <w:tcPr>
            <w:tcW w:w="20" w:type="dxa"/>
            <w:vAlign w:val="bottom"/>
          </w:tcPr>
          <w:p>
            <w:pPr>
              <w:spacing w:after="0"/>
              <w:rPr>
                <w:sz w:val="19"/>
                <w:szCs w:val="19"/>
                <w:color w:val="auto"/>
              </w:rPr>
            </w:pPr>
          </w:p>
        </w:tc>
      </w:tr>
      <w:tr>
        <w:trPr>
          <w:trHeight w:val="209"/>
        </w:trPr>
        <w:tc>
          <w:tcPr>
            <w:tcW w:w="69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Deferred income taxes: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9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7"/>
              </w:rPr>
              <w:t>State. . . . . . .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9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7"/>
              </w:rPr>
              <w:t>Federal.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(28)</w:t>
            </w:r>
          </w:p>
        </w:tc>
      </w:tr>
      <w:tr>
        <w:trPr>
          <w:trHeight w:val="241"/>
        </w:trPr>
        <w:tc>
          <w:tcPr>
            <w:tcW w:w="69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8"/>
              </w:rPr>
              <w:t>Foreign . . . . . . . . . . . . . . . . . . . . . . . . . . . . . . . . . . . . . . . . . . . . . . . . . . . . . . . . . . . . .</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0"/>
                <w:szCs w:val="20"/>
                <w:color w:val="auto"/>
              </w:rPr>
            </w:pPr>
          </w:p>
        </w:tc>
      </w:tr>
      <w:tr>
        <w:trPr>
          <w:trHeight w:val="220"/>
        </w:trPr>
        <w:tc>
          <w:tcPr>
            <w:tcW w:w="6940" w:type="dxa"/>
            <w:vAlign w:val="bottom"/>
          </w:tcPr>
          <w:p>
            <w:pPr>
              <w:jc w:val="right"/>
              <w:ind w:right="221"/>
              <w:spacing w:after="0" w:line="215" w:lineRule="exact"/>
              <w:rPr>
                <w:sz w:val="20"/>
                <w:szCs w:val="20"/>
                <w:color w:val="auto"/>
              </w:rPr>
            </w:pPr>
            <w:r>
              <w:rPr>
                <w:rFonts w:ascii="Times New Roman" w:cs="Times New Roman" w:eastAsia="Times New Roman" w:hAnsi="Times New Roman"/>
                <w:sz w:val="20"/>
                <w:szCs w:val="20"/>
                <w:color w:val="auto"/>
              </w:rPr>
              <w:t>. . . . . . . . . . . . . . . . . . . . . . . .</w:t>
            </w:r>
            <w:r>
              <w:rPr>
                <w:rFonts w:ascii="Times New Roman" w:cs="Times New Roman" w:eastAsia="Times New Roman" w:hAnsi="Times New Roman"/>
                <w:sz w:val="20"/>
                <w:szCs w:val="20"/>
                <w:b w:val="1"/>
                <w:bCs w:val="1"/>
                <w:color w:val="auto"/>
              </w:rPr>
              <w:t>Totaldeferredbenefit(provision)forincometaxes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15</w:t>
            </w:r>
          </w:p>
        </w:tc>
        <w:tc>
          <w:tcPr>
            <w:tcW w:w="20" w:type="dxa"/>
            <w:vAlign w:val="bottom"/>
          </w:tcPr>
          <w:p>
            <w:pPr>
              <w:spacing w:after="0"/>
              <w:rPr>
                <w:sz w:val="19"/>
                <w:szCs w:val="19"/>
                <w:color w:val="auto"/>
              </w:rPr>
            </w:pPr>
          </w:p>
        </w:tc>
      </w:tr>
      <w:tr>
        <w:trPr>
          <w:trHeight w:val="240"/>
        </w:trPr>
        <w:tc>
          <w:tcPr>
            <w:tcW w:w="69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 . . . . . . . . . . . . . . . . . . . . . . . . . . . . . . .</w:t>
            </w:r>
            <w:r>
              <w:rPr>
                <w:rFonts w:ascii="Times New Roman" w:cs="Times New Roman" w:eastAsia="Times New Roman" w:hAnsi="Times New Roman"/>
                <w:sz w:val="20"/>
                <w:szCs w:val="20"/>
                <w:b w:val="1"/>
                <w:bCs w:val="1"/>
                <w:color w:val="auto"/>
              </w:rPr>
              <w:t>Totalbenefit(provision)forincometaxes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(43)</w:t>
            </w:r>
          </w:p>
        </w:tc>
        <w:tc>
          <w:tcPr>
            <w:tcW w:w="20" w:type="dxa"/>
            <w:vAlign w:val="bottom"/>
          </w:tcPr>
          <w:p>
            <w:pPr>
              <w:spacing w:after="0"/>
              <w:rPr>
                <w:sz w:val="20"/>
                <w:szCs w:val="20"/>
                <w:color w:val="auto"/>
              </w:rPr>
            </w:pPr>
          </w:p>
        </w:tc>
      </w:tr>
    </w:tbl>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Effective income tax rate reconciliation</w:t>
      </w:r>
    </w:p>
    <w:p>
      <w:pPr>
        <w:spacing w:after="0" w:line="203" w:lineRule="exact"/>
        <w:rPr>
          <w:sz w:val="20"/>
          <w:szCs w:val="20"/>
          <w:color w:val="auto"/>
        </w:rPr>
      </w:pPr>
    </w:p>
    <w:p>
      <w:pPr>
        <w:jc w:val="both"/>
        <w:ind w:left="20" w:firstLine="360"/>
        <w:spacing w:after="0" w:line="259" w:lineRule="auto"/>
        <w:rPr>
          <w:sz w:val="20"/>
          <w:szCs w:val="20"/>
          <w:color w:val="auto"/>
        </w:rPr>
      </w:pPr>
      <w:r>
        <w:rPr>
          <w:rFonts w:ascii="Times New Roman" w:cs="Times New Roman" w:eastAsia="Times New Roman" w:hAnsi="Times New Roman"/>
          <w:sz w:val="20"/>
          <w:szCs w:val="20"/>
          <w:color w:val="auto"/>
        </w:rPr>
        <w:t>The difference between the tax provision at the statutory federal income tax rate and the benefit (provision) for income taxes in dollars and as a percentage of income (loss) before income taxes (effective tax rate) for each year is as follows. The disclosure reflects the implementation of ASU 2023-09 retrospectively.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9"/>
          </w:tcPr>
          <w:p>
            <w:pPr>
              <w:jc w:val="center"/>
              <w:ind w:right="500"/>
              <w:spacing w:after="0" w:line="156" w:lineRule="exact"/>
              <w:rPr>
                <w:sz w:val="20"/>
                <w:szCs w:val="20"/>
                <w:color w:val="auto"/>
              </w:rPr>
            </w:pPr>
            <w:r>
              <w:rPr>
                <w:rFonts w:ascii="Times New Roman" w:cs="Times New Roman" w:eastAsia="Times New Roman" w:hAnsi="Times New Roman"/>
                <w:sz w:val="16"/>
                <w:szCs w:val="16"/>
                <w:b w:val="1"/>
                <w:bCs w:val="1"/>
                <w:color w:val="auto"/>
                <w:w w:val="98"/>
              </w:rPr>
              <w:t>December 27,</w:t>
            </w:r>
          </w:p>
        </w:tc>
        <w:tc>
          <w:tcPr>
            <w:tcW w:w="180" w:type="dxa"/>
            <w:vAlign w:val="bottom"/>
          </w:tcPr>
          <w:p>
            <w:pPr>
              <w:spacing w:after="0"/>
              <w:rPr>
                <w:sz w:val="13"/>
                <w:szCs w:val="13"/>
                <w:color w:val="auto"/>
              </w:rPr>
            </w:pPr>
          </w:p>
        </w:tc>
        <w:tc>
          <w:tcPr>
            <w:tcW w:w="1600" w:type="dxa"/>
            <w:vAlign w:val="bottom"/>
            <w:gridSpan w:val="6"/>
          </w:tcPr>
          <w:p>
            <w:pPr>
              <w:jc w:val="center"/>
              <w:ind w:right="360"/>
              <w:spacing w:after="0" w:line="156"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6"/>
          </w:tcPr>
          <w:p>
            <w:pPr>
              <w:jc w:val="center"/>
              <w:ind w:right="220"/>
              <w:spacing w:after="0" w:line="156"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center"/>
              <w:ind w:left="2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23"/>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41"/>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24"/>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1"/>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23"/>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1"/>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440" w:type="dxa"/>
            <w:vAlign w:val="bottom"/>
            <w:vMerge w:val="continue"/>
          </w:tcPr>
          <w:p>
            <w:pPr>
              <w:jc w:val="right"/>
              <w:ind w:right="140"/>
              <w:spacing w:after="0" w:line="177" w:lineRule="exact"/>
              <w:rPr>
                <w:sz w:val="20"/>
                <w:szCs w:val="20"/>
                <w:color w:val="auto"/>
              </w:rPr>
            </w:pPr>
            <w:r>
              <w:rPr>
                <w:rFonts w:ascii="Times New Roman" w:cs="Times New Roman" w:eastAsia="Times New Roman" w:hAnsi="Times New Roman"/>
                <w:sz w:val="20"/>
                <w:szCs w:val="20"/>
                <w:color w:val="auto"/>
              </w:rPr>
              <w:t>. . . . . . . . . . . . . . . . . . . . . . . .</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(377)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w w:val="95"/>
              </w:rPr>
              <w:t>$ (3,163)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5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5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U.S. Federal Statutory Tax Rate </w:t>
            </w:r>
            <w:r>
              <w:rPr>
                <w:rFonts w:ascii="Times New Roman" w:cs="Times New Roman" w:eastAsia="Times New Roman" w:hAnsi="Times New Roman"/>
                <w:sz w:val="20"/>
                <w:szCs w:val="20"/>
                <w:color w:val="auto"/>
              </w:rPr>
              <w:t>. . . . . . . . . . . . . . . . . . . . . . . . .</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21.0 %</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21.0 %</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Foreign Tax Effects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440" w:type="dxa"/>
            <w:vAlign w:val="bottom"/>
          </w:tcPr>
          <w:p>
            <w:pPr>
              <w:jc w:val="right"/>
              <w:ind w:right="4720"/>
              <w:spacing w:after="0"/>
              <w:rPr>
                <w:sz w:val="20"/>
                <w:szCs w:val="20"/>
                <w:color w:val="auto"/>
              </w:rPr>
            </w:pPr>
            <w:r>
              <w:rPr>
                <w:rFonts w:ascii="Times New Roman" w:cs="Times New Roman" w:eastAsia="Times New Roman" w:hAnsi="Times New Roman"/>
                <w:sz w:val="20"/>
                <w:szCs w:val="20"/>
                <w:b w:val="1"/>
                <w:bCs w:val="1"/>
                <w:color w:val="auto"/>
              </w:rPr>
              <w:t>Israel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Foreign Rate Differential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2.7 %</w:t>
            </w:r>
          </w:p>
        </w:tc>
        <w:tc>
          <w:tcPr>
            <w:tcW w:w="0" w:type="dxa"/>
            <w:vAlign w:val="bottom"/>
          </w:tcPr>
          <w:p>
            <w:pPr>
              <w:spacing w:after="0"/>
              <w:rPr>
                <w:sz w:val="1"/>
                <w:szCs w:val="1"/>
                <w:color w:val="auto"/>
              </w:rPr>
            </w:pPr>
          </w:p>
        </w:tc>
      </w:tr>
      <w:tr>
        <w:trPr>
          <w:trHeight w:val="232"/>
        </w:trPr>
        <w:tc>
          <w:tcPr>
            <w:tcW w:w="5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Technology Incentives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7"/>
              </w:rPr>
              <w:t>(15.4)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8"/>
              </w:rPr>
              <w:t>(107.2)%</w:t>
            </w:r>
          </w:p>
        </w:tc>
        <w:tc>
          <w:tcPr>
            <w:tcW w:w="0" w:type="dxa"/>
            <w:vAlign w:val="bottom"/>
          </w:tcPr>
          <w:p>
            <w:pPr>
              <w:spacing w:after="0"/>
              <w:rPr>
                <w:sz w:val="1"/>
                <w:szCs w:val="1"/>
                <w:color w:val="auto"/>
              </w:rPr>
            </w:pPr>
          </w:p>
        </w:tc>
      </w:tr>
      <w:tr>
        <w:trPr>
          <w:trHeight w:val="230"/>
        </w:trPr>
        <w:tc>
          <w:tcPr>
            <w:tcW w:w="5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Changes in Valuation Allowances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98.2 %</w:t>
            </w:r>
          </w:p>
        </w:tc>
        <w:tc>
          <w:tcPr>
            <w:tcW w:w="0" w:type="dxa"/>
            <w:vAlign w:val="bottom"/>
          </w:tcPr>
          <w:p>
            <w:pPr>
              <w:spacing w:after="0"/>
              <w:rPr>
                <w:sz w:val="1"/>
                <w:szCs w:val="1"/>
                <w:color w:val="auto"/>
              </w:rPr>
            </w:pPr>
          </w:p>
        </w:tc>
      </w:tr>
      <w:tr>
        <w:trPr>
          <w:trHeight w:val="232"/>
        </w:trPr>
        <w:tc>
          <w:tcPr>
            <w:tcW w:w="5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Goodwill impairment.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6"/>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 %</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27"/>
        </w:trPr>
        <w:tc>
          <w:tcPr>
            <w:tcW w:w="5440" w:type="dxa"/>
            <w:vAlign w:val="bottom"/>
          </w:tcPr>
          <w:p>
            <w:pPr>
              <w:jc w:val="right"/>
              <w:ind w:right="140"/>
              <w:spacing w:after="0" w:line="228" w:lineRule="exact"/>
              <w:rPr>
                <w:sz w:val="20"/>
                <w:szCs w:val="20"/>
                <w:color w:val="auto"/>
              </w:rPr>
            </w:pPr>
            <w:r>
              <w:rPr>
                <w:rFonts w:ascii="Times New Roman" w:cs="Times New Roman" w:eastAsia="Times New Roman" w:hAnsi="Times New Roman"/>
                <w:sz w:val="20"/>
                <w:szCs w:val="20"/>
                <w:color w:val="auto"/>
              </w:rPr>
              <w:t>Other . . . . . . . . . . . . .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0.6 %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ind w:left="280"/>
              <w:spacing w:after="0" w:line="228" w:lineRule="exact"/>
              <w:rPr>
                <w:sz w:val="20"/>
                <w:szCs w:val="20"/>
                <w:color w:val="auto"/>
              </w:rPr>
            </w:pPr>
            <w:r>
              <w:rPr>
                <w:rFonts w:ascii="Times New Roman" w:cs="Times New Roman" w:eastAsia="Times New Roman" w:hAnsi="Times New Roman"/>
                <w:sz w:val="20"/>
                <w:szCs w:val="20"/>
                <w:color w:val="auto"/>
              </w:rPr>
              <w:t>—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60"/>
              <w:spacing w:after="0" w:line="228"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14.9 %</w:t>
            </w:r>
          </w:p>
        </w:tc>
        <w:tc>
          <w:tcPr>
            <w:tcW w:w="0" w:type="dxa"/>
            <w:vAlign w:val="bottom"/>
          </w:tcPr>
          <w:p>
            <w:pPr>
              <w:spacing w:after="0"/>
              <w:rPr>
                <w:sz w:val="1"/>
                <w:szCs w:val="1"/>
                <w:color w:val="auto"/>
              </w:rPr>
            </w:pPr>
          </w:p>
        </w:tc>
      </w:tr>
      <w:tr>
        <w:trPr>
          <w:trHeight w:val="232"/>
        </w:trPr>
        <w:tc>
          <w:tcPr>
            <w:tcW w:w="54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8"/>
              </w:rPr>
              <w:t xml:space="preserve">Other Foreign Jurisdictions </w:t>
            </w:r>
            <w:r>
              <w:rPr>
                <w:rFonts w:ascii="Times New Roman" w:cs="Times New Roman" w:eastAsia="Times New Roman" w:hAnsi="Times New Roman"/>
                <w:sz w:val="20"/>
                <w:szCs w:val="20"/>
                <w:color w:val="auto"/>
                <w:w w:val="98"/>
              </w:rPr>
              <w:t>.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6"/>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w:t>
            </w:r>
          </w:p>
        </w:tc>
        <w:tc>
          <w:tcPr>
            <w:tcW w:w="1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(3.5) %</w:t>
            </w:r>
          </w:p>
        </w:tc>
        <w:tc>
          <w:tcPr>
            <w:tcW w:w="0" w:type="dxa"/>
            <w:vAlign w:val="bottom"/>
          </w:tcPr>
          <w:p>
            <w:pPr>
              <w:spacing w:after="0"/>
              <w:rPr>
                <w:sz w:val="1"/>
                <w:szCs w:val="1"/>
                <w:color w:val="auto"/>
              </w:rPr>
            </w:pPr>
          </w:p>
        </w:tc>
      </w:tr>
      <w:tr>
        <w:trPr>
          <w:trHeight w:val="233"/>
        </w:trPr>
        <w:tc>
          <w:tcPr>
            <w:tcW w:w="5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Effect of Cross-Border Tax Laws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U.S. Branch Taxation of Foreign Operations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7"/>
              </w:rPr>
              <w:t>(23.1)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15.0 %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9.2 %</w:t>
            </w:r>
          </w:p>
        </w:tc>
        <w:tc>
          <w:tcPr>
            <w:tcW w:w="0" w:type="dxa"/>
            <w:vAlign w:val="bottom"/>
          </w:tcPr>
          <w:p>
            <w:pPr>
              <w:spacing w:after="0"/>
              <w:rPr>
                <w:sz w:val="1"/>
                <w:szCs w:val="1"/>
                <w:color w:val="auto"/>
              </w:rPr>
            </w:pPr>
          </w:p>
        </w:tc>
      </w:tr>
      <w:tr>
        <w:trPr>
          <w:trHeight w:val="228"/>
        </w:trPr>
        <w:tc>
          <w:tcPr>
            <w:tcW w:w="5440" w:type="dxa"/>
            <w:vAlign w:val="bottom"/>
          </w:tcPr>
          <w:p>
            <w:pPr>
              <w:jc w:val="right"/>
              <w:ind w:right="140"/>
              <w:spacing w:after="0" w:line="229" w:lineRule="exact"/>
              <w:rPr>
                <w:sz w:val="20"/>
                <w:szCs w:val="20"/>
                <w:color w:val="auto"/>
              </w:rPr>
            </w:pPr>
            <w:r>
              <w:rPr>
                <w:rFonts w:ascii="Times New Roman" w:cs="Times New Roman" w:eastAsia="Times New Roman" w:hAnsi="Times New Roman"/>
                <w:sz w:val="20"/>
                <w:szCs w:val="20"/>
                <w:color w:val="auto"/>
                <w:w w:val="99"/>
              </w:rPr>
              <w:t>GILTI . . . . . . . . . . . . . . . . . . . . . . . . . . . . . . . . . . . . . . . . . . . . . .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4"/>
          </w:tcPr>
          <w:p>
            <w:pPr>
              <w:jc w:val="right"/>
              <w:ind w:right="300"/>
              <w:spacing w:after="0" w:line="229"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ind w:left="280"/>
              <w:spacing w:after="0" w:line="229" w:lineRule="exact"/>
              <w:rPr>
                <w:sz w:val="20"/>
                <w:szCs w:val="20"/>
                <w:color w:val="auto"/>
              </w:rPr>
            </w:pPr>
            <w:r>
              <w:rPr>
                <w:rFonts w:ascii="Times New Roman" w:cs="Times New Roman" w:eastAsia="Times New Roman" w:hAnsi="Times New Roman"/>
                <w:sz w:val="20"/>
                <w:szCs w:val="20"/>
                <w:color w:val="auto"/>
              </w:rPr>
              <w:t>—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60"/>
              <w:spacing w:after="0" w:line="229" w:lineRule="exact"/>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3.0 %</w:t>
            </w:r>
          </w:p>
        </w:tc>
        <w:tc>
          <w:tcPr>
            <w:tcW w:w="0" w:type="dxa"/>
            <w:vAlign w:val="bottom"/>
          </w:tcPr>
          <w:p>
            <w:pPr>
              <w:spacing w:after="0"/>
              <w:rPr>
                <w:sz w:val="1"/>
                <w:szCs w:val="1"/>
                <w:color w:val="auto"/>
              </w:rPr>
            </w:pPr>
          </w:p>
        </w:tc>
      </w:tr>
      <w:tr>
        <w:trPr>
          <w:trHeight w:val="230"/>
        </w:trPr>
        <w:tc>
          <w:tcPr>
            <w:tcW w:w="54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8"/>
              </w:rPr>
              <w:t xml:space="preserve">Changes in valuation allowances </w:t>
            </w:r>
            <w:r>
              <w:rPr>
                <w:rFonts w:ascii="Times New Roman" w:cs="Times New Roman" w:eastAsia="Times New Roman" w:hAnsi="Times New Roman"/>
                <w:sz w:val="20"/>
                <w:szCs w:val="20"/>
                <w:color w:val="auto"/>
                <w:w w:val="98"/>
              </w:rPr>
              <w:t>.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15.7 %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(422)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(13.3)%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(30)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179.7 %</w:t>
            </w:r>
          </w:p>
        </w:tc>
        <w:tc>
          <w:tcPr>
            <w:tcW w:w="0" w:type="dxa"/>
            <w:vAlign w:val="bottom"/>
          </w:tcPr>
          <w:p>
            <w:pPr>
              <w:spacing w:after="0"/>
              <w:rPr>
                <w:sz w:val="1"/>
                <w:szCs w:val="1"/>
                <w:color w:val="auto"/>
              </w:rPr>
            </w:pPr>
          </w:p>
        </w:tc>
      </w:tr>
      <w:tr>
        <w:trPr>
          <w:trHeight w:val="232"/>
        </w:trPr>
        <w:tc>
          <w:tcPr>
            <w:tcW w:w="54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8"/>
              </w:rPr>
              <w:t xml:space="preserve">Non-taxable or Non-deductible items </w:t>
            </w:r>
            <w:r>
              <w:rPr>
                <w:rFonts w:ascii="Times New Roman" w:cs="Times New Roman" w:eastAsia="Times New Roman" w:hAnsi="Times New Roman"/>
                <w:sz w:val="20"/>
                <w:szCs w:val="20"/>
                <w:color w:val="auto"/>
                <w:w w:val="98"/>
              </w:rPr>
              <w:t>.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(0.3)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(0.1)%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8.2 %</w:t>
            </w:r>
          </w:p>
        </w:tc>
        <w:tc>
          <w:tcPr>
            <w:tcW w:w="0" w:type="dxa"/>
            <w:vAlign w:val="bottom"/>
          </w:tcPr>
          <w:p>
            <w:pPr>
              <w:spacing w:after="0"/>
              <w:rPr>
                <w:sz w:val="1"/>
                <w:szCs w:val="1"/>
                <w:color w:val="auto"/>
              </w:rPr>
            </w:pPr>
          </w:p>
        </w:tc>
      </w:tr>
      <w:tr>
        <w:trPr>
          <w:trHeight w:val="230"/>
        </w:trPr>
        <w:tc>
          <w:tcPr>
            <w:tcW w:w="54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7"/>
              </w:rPr>
              <w:t xml:space="preserve">Changes in Unrecognized Tax Benefits </w:t>
            </w:r>
            <w:r>
              <w:rPr>
                <w:rFonts w:ascii="Times New Roman" w:cs="Times New Roman" w:eastAsia="Times New Roman" w:hAnsi="Times New Roman"/>
                <w:sz w:val="20"/>
                <w:szCs w:val="20"/>
                <w:color w:val="auto"/>
                <w:w w:val="97"/>
              </w:rPr>
              <w:t>.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(1.9)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(0.2)%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42.1 %</w:t>
            </w:r>
          </w:p>
        </w:tc>
        <w:tc>
          <w:tcPr>
            <w:tcW w:w="0" w:type="dxa"/>
            <w:vAlign w:val="bottom"/>
          </w:tcPr>
          <w:p>
            <w:pPr>
              <w:spacing w:after="0"/>
              <w:rPr>
                <w:sz w:val="1"/>
                <w:szCs w:val="1"/>
                <w:color w:val="auto"/>
              </w:rPr>
            </w:pPr>
          </w:p>
        </w:tc>
      </w:tr>
      <w:tr>
        <w:trPr>
          <w:trHeight w:val="276"/>
        </w:trPr>
        <w:tc>
          <w:tcPr>
            <w:tcW w:w="54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6"/>
              </w:rPr>
              <w:t xml:space="preserve">Other Adjustments </w:t>
            </w:r>
            <w:r>
              <w:rPr>
                <w:rFonts w:ascii="Times New Roman" w:cs="Times New Roman" w:eastAsia="Times New Roman" w:hAnsi="Times New Roman"/>
                <w:sz w:val="20"/>
                <w:szCs w:val="20"/>
                <w:color w:val="auto"/>
                <w:w w:val="96"/>
              </w:rPr>
              <w:t>. . . . . . . . . . . . . . . . . . . . . . . . . . . . . . . . . . . . .</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(0.3) %</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 %</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0.3 %</w:t>
            </w:r>
          </w:p>
        </w:tc>
        <w:tc>
          <w:tcPr>
            <w:tcW w:w="0" w:type="dxa"/>
            <w:vAlign w:val="bottom"/>
          </w:tcPr>
          <w:p>
            <w:pPr>
              <w:spacing w:after="0"/>
              <w:rPr>
                <w:sz w:val="1"/>
                <w:szCs w:val="1"/>
                <w:color w:val="auto"/>
              </w:rPr>
            </w:pPr>
          </w:p>
        </w:tc>
      </w:tr>
      <w:tr>
        <w:trPr>
          <w:trHeight w:val="211"/>
        </w:trPr>
        <w:tc>
          <w:tcPr>
            <w:tcW w:w="5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Benefit (provision) for income taxes and effective tax rate</w:t>
            </w:r>
          </w:p>
        </w:tc>
        <w:tc>
          <w:tcPr>
            <w:tcW w:w="20" w:type="dxa"/>
            <w:vAlign w:val="bottom"/>
            <w:vMerge w:val="restart"/>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vMerge w:val="restart"/>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vMerge w:val="restart"/>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0" w:type="dxa"/>
            <w:vAlign w:val="bottom"/>
          </w:tcPr>
          <w:p>
            <w:pPr>
              <w:spacing w:after="0"/>
              <w:rPr>
                <w:sz w:val="1"/>
                <w:szCs w:val="1"/>
                <w:color w:val="auto"/>
              </w:rPr>
            </w:pPr>
          </w:p>
        </w:tc>
      </w:tr>
      <w:tr>
        <w:trPr>
          <w:trHeight w:val="231"/>
        </w:trPr>
        <w:tc>
          <w:tcPr>
            <w:tcW w:w="5440" w:type="dxa"/>
            <w:vAlign w:val="bottom"/>
            <w:vMerge w:val="continue"/>
          </w:tcPr>
          <w:p>
            <w:pPr>
              <w:jc w:val="right"/>
              <w:ind w:right="140"/>
              <w:spacing w:after="0" w:line="179" w:lineRule="exact"/>
              <w:rPr>
                <w:sz w:val="20"/>
                <w:szCs w:val="20"/>
                <w:color w:val="auto"/>
              </w:rPr>
            </w:pPr>
            <w:r>
              <w:rPr>
                <w:rFonts w:ascii="Times New Roman" w:cs="Times New Roman" w:eastAsia="Times New Roman" w:hAnsi="Times New Roman"/>
                <w:sz w:val="20"/>
                <w:szCs w:val="20"/>
                <w:color w:val="auto"/>
              </w:rPr>
              <w:t>. . .</w:t>
            </w:r>
          </w:p>
        </w:tc>
        <w:tc>
          <w:tcPr>
            <w:tcW w:w="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b w:val="1"/>
                <w:bCs w:val="1"/>
                <w:color w:val="auto"/>
              </w:rPr>
              <w:t>(15)</w:t>
            </w:r>
          </w:p>
        </w:tc>
        <w:tc>
          <w:tcPr>
            <w:tcW w:w="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(4.0)</w:t>
            </w:r>
          </w:p>
        </w:tc>
        <w:tc>
          <w:tcPr>
            <w:tcW w:w="28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5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73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2.3</w:t>
            </w:r>
          </w:p>
        </w:tc>
        <w:tc>
          <w:tcPr>
            <w:tcW w:w="28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5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(43)</w:t>
            </w:r>
          </w:p>
        </w:tc>
        <w:tc>
          <w:tcPr>
            <w:tcW w:w="16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b w:val="1"/>
                <w:bCs w:val="1"/>
                <w:color w:val="auto"/>
              </w:rPr>
              <w:t>268.6</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20"/>
          </w:cols>
          <w:pgMar w:left="52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123</w:t>
      </w:r>
    </w:p>
    <w:p>
      <w:pPr>
        <w:sectPr>
          <w:pgSz w:w="11880" w:h="15480" w:orient="portrait"/>
          <w:cols w:equalWidth="0" w:num="1">
            <w:col w:w="10820"/>
          </w:cols>
          <w:pgMar w:left="520" w:top="984" w:right="540" w:bottom="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Income taxes paid, net of refunds received (Cash Taxes), for the years ended December 27, 2025, December 28, 2024, and</w:t>
      </w:r>
    </w:p>
    <w:p>
      <w:pPr>
        <w:spacing w:after="0"/>
        <w:rPr>
          <w:sz w:val="20"/>
          <w:szCs w:val="20"/>
          <w:color w:val="auto"/>
        </w:rPr>
      </w:pPr>
      <w:r>
        <w:rPr>
          <w:rFonts w:ascii="Times New Roman" w:cs="Times New Roman" w:eastAsia="Times New Roman" w:hAnsi="Times New Roman"/>
          <w:sz w:val="20"/>
          <w:szCs w:val="20"/>
          <w:color w:val="auto"/>
        </w:rPr>
        <w:t>December 30, 2023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56"/>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
              <w:spacing w:after="0" w:line="156" w:lineRule="exact"/>
              <w:rPr>
                <w:sz w:val="20"/>
                <w:szCs w:val="20"/>
                <w:color w:val="auto"/>
              </w:rPr>
            </w:pPr>
            <w:r>
              <w:rPr>
                <w:rFonts w:ascii="Times New Roman" w:cs="Times New Roman" w:eastAsia="Times New Roman" w:hAnsi="Times New Roman"/>
                <w:sz w:val="16"/>
                <w:szCs w:val="16"/>
                <w:b w:val="1"/>
                <w:bCs w:val="1"/>
                <w:color w:val="auto"/>
                <w:w w:val="98"/>
              </w:rPr>
              <w:t>December 27,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7"/>
              <w:spacing w:after="0" w:line="156"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5"/>
              <w:spacing w:after="0" w:line="156" w:lineRule="exact"/>
              <w:rPr>
                <w:sz w:val="20"/>
                <w:szCs w:val="20"/>
                <w:color w:val="auto"/>
              </w:rPr>
            </w:pPr>
            <w:r>
              <w:rPr>
                <w:rFonts w:ascii="Times New Roman" w:cs="Times New Roman" w:eastAsia="Times New Roman" w:hAnsi="Times New Roman"/>
                <w:sz w:val="16"/>
                <w:szCs w:val="16"/>
                <w:b w:val="1"/>
                <w:bCs w:val="1"/>
                <w:color w:val="auto"/>
                <w:w w:val="98"/>
              </w:rPr>
              <w:t>December 30,</w:t>
            </w:r>
          </w:p>
        </w:tc>
      </w:tr>
      <w:tr>
        <w:trPr>
          <w:trHeight w:val="194"/>
        </w:trPr>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6960" w:type="dxa"/>
            <w:vAlign w:val="bottom"/>
            <w:gridSpan w:val="2"/>
          </w:tcPr>
          <w:p>
            <w:pPr>
              <w:jc w:val="right"/>
              <w:ind w:right="340"/>
              <w:spacing w:after="0" w:line="207"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w:t>
            </w:r>
            <w:r>
              <w:rPr>
                <w:rFonts w:ascii="Times New Roman" w:cs="Times New Roman" w:eastAsia="Times New Roman" w:hAnsi="Times New Roman"/>
                <w:sz w:val="20"/>
                <w:szCs w:val="20"/>
                <w:b w:val="1"/>
                <w:bCs w:val="1"/>
                <w:color w:val="auto"/>
                <w:w w:val="96"/>
              </w:rPr>
              <w:t>Federal</w:t>
            </w:r>
          </w:p>
        </w:tc>
        <w:tc>
          <w:tcPr>
            <w:tcW w:w="1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w w:val="96"/>
              </w:rPr>
              <w:t xml:space="preserve">State </w:t>
            </w:r>
            <w:r>
              <w:rPr>
                <w:rFonts w:ascii="Times New Roman" w:cs="Times New Roman" w:eastAsia="Times New Roman" w:hAnsi="Times New Roman"/>
                <w:sz w:val="20"/>
                <w:szCs w:val="20"/>
                <w:color w:val="auto"/>
                <w:w w:val="96"/>
              </w:rPr>
              <w:t>. . . . .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5"/>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w w:val="96"/>
              </w:rPr>
              <w:t xml:space="preserve">Foreign </w:t>
            </w:r>
            <w:r>
              <w:rPr>
                <w:rFonts w:ascii="Times New Roman" w:cs="Times New Roman" w:eastAsia="Times New Roman" w:hAnsi="Times New Roman"/>
                <w:sz w:val="20"/>
                <w:szCs w:val="20"/>
                <w:color w:val="auto"/>
                <w:w w:val="96"/>
              </w:rPr>
              <w:t>. . .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Israel . . . .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41"/>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Other Foreign Jurisdictions . . . . . . . . . . . . . . . . . . . . . . . . . . . . . . . . . . . . . . . . . . . . .</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42"/>
        </w:trPr>
        <w:tc>
          <w:tcPr>
            <w:tcW w:w="6940" w:type="dxa"/>
            <w:vAlign w:val="bottom"/>
          </w:tcPr>
          <w:p>
            <w:pPr>
              <w:jc w:val="right"/>
              <w:ind w:right="223"/>
              <w:spacing w:after="0"/>
              <w:rPr>
                <w:sz w:val="20"/>
                <w:szCs w:val="20"/>
                <w:color w:val="auto"/>
              </w:rPr>
            </w:pPr>
            <w:r>
              <w:rPr>
                <w:rFonts w:ascii="Times New Roman" w:cs="Times New Roman" w:eastAsia="Times New Roman" w:hAnsi="Times New Roman"/>
                <w:sz w:val="20"/>
                <w:szCs w:val="20"/>
                <w:b w:val="1"/>
                <w:bCs w:val="1"/>
                <w:color w:val="auto"/>
                <w:w w:val="97"/>
              </w:rPr>
              <w:t xml:space="preserve">Total Cash Taxes </w:t>
            </w:r>
            <w:r>
              <w:rPr>
                <w:rFonts w:ascii="Times New Roman" w:cs="Times New Roman" w:eastAsia="Times New Roman" w:hAnsi="Times New Roman"/>
                <w:sz w:val="20"/>
                <w:szCs w:val="20"/>
                <w:color w:val="auto"/>
                <w:w w:val="97"/>
              </w:rPr>
              <w:t>.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64</w:t>
            </w:r>
          </w:p>
        </w:tc>
      </w:tr>
    </w:tbl>
    <w:p>
      <w:pPr>
        <w:spacing w:after="0" w:line="20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In the fiscal years ended 2025, 2024 and 2023, certain Israeli operations are taxable in the U.S. as branch activities due to restructuring activities prior to the Mobileye IPO. As a result, these operations are taxed both in the U.S. and locally in Israel. For U.S. tax purposes, due to cumulative losses, deferred tax assets have not been benefited as a result of the valuation allowance which results in a residual tax provision associated with a deferred tax liability recorded for goodwill. Such deferred tax liability was reduced in 2024 due to the goodwill impairment recorded for the Mobileye reporting unit, resulting in a tax benefit recorded in 2024.</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decrease in the effective tax rate for the year ended December 27, 2025, as compared to the year ended December 28, 2024, is mainly due to the deferred tax effects of goodwill impairment to the Mobileye reporting unit recorded in 2024.</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Israel, the Company benefits from a reduced tax rate under the Special Preferred Technological Enterprise status under the Law for the Encouragement of Capital Investments, 1959, or the Investment Law.</w:t>
      </w:r>
    </w:p>
    <w:p>
      <w:pPr>
        <w:spacing w:after="0" w:line="16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 10 billion.</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Deferred income taxes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increase in unbenefited U.S. deferred tax assets subject to a valuation allowance.</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Due to the fact that certain Israeli operations were taxable in the U.S. as branch activities, the Company recognized in the years ended December 27, 2025 and December 28, 2024 the tax effects of temporary differences between the carrying amount of assets and</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1880" w:h="15480" w:orient="portrait"/>
          <w:cols w:equalWidth="0" w:num="1">
            <w:col w:w="10800"/>
          </w:cols>
          <w:pgMar w:left="540" w:top="984" w:right="540" w:bottom="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liabilities for financial reporting purposes and the amounts used for U.S. income tax purposes which resulted in a net deferred tax liability after evaluation of deferred tax assets for realizability.</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and deferred tax liabilities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28,</w:t>
            </w:r>
          </w:p>
        </w:tc>
      </w:tr>
      <w:tr>
        <w:trPr>
          <w:trHeight w:val="193"/>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6"/>
                <w:szCs w:val="16"/>
                <w:color w:val="auto"/>
              </w:rPr>
            </w:pPr>
          </w:p>
        </w:tc>
      </w:tr>
      <w:tr>
        <w:trPr>
          <w:trHeight w:val="208"/>
        </w:trPr>
        <w:tc>
          <w:tcPr>
            <w:tcW w:w="642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Deferred tax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Share-based compensation . . . . . . . . . . . . . . . . . . . . . . . . . . . . . . . . . . . . . . . . . . . . .</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20" w:type="dxa"/>
            <w:vAlign w:val="bottom"/>
          </w:tcPr>
          <w:p>
            <w:pPr>
              <w:spacing w:after="0"/>
              <w:rPr>
                <w:sz w:val="20"/>
                <w:szCs w:val="20"/>
                <w:color w:val="auto"/>
              </w:rPr>
            </w:pP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20" w:type="dxa"/>
            <w:vAlign w:val="bottom"/>
          </w:tcPr>
          <w:p>
            <w:pPr>
              <w:spacing w:after="0"/>
              <w:rPr>
                <w:sz w:val="20"/>
                <w:szCs w:val="20"/>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Provisions for employee benefits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0"/>
                <w:szCs w:val="20"/>
                <w:color w:val="auto"/>
              </w:rPr>
            </w:pPr>
          </w:p>
        </w:tc>
      </w:tr>
      <w:tr>
        <w:trPr>
          <w:trHeight w:val="229"/>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Net operating losses carryforward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20" w:type="dxa"/>
            <w:vAlign w:val="bottom"/>
          </w:tcPr>
          <w:p>
            <w:pPr>
              <w:spacing w:after="0"/>
              <w:rPr>
                <w:sz w:val="19"/>
                <w:szCs w:val="19"/>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Research and development expenses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w:t>
            </w:r>
          </w:p>
        </w:tc>
        <w:tc>
          <w:tcPr>
            <w:tcW w:w="20" w:type="dxa"/>
            <w:vAlign w:val="bottom"/>
          </w:tcPr>
          <w:p>
            <w:pPr>
              <w:spacing w:after="0"/>
              <w:rPr>
                <w:sz w:val="20"/>
                <w:szCs w:val="20"/>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Operating lease liabilities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r>
      <w:tr>
        <w:trPr>
          <w:trHeight w:val="229"/>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Intangible assets . .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20" w:type="dxa"/>
            <w:vAlign w:val="bottom"/>
          </w:tcPr>
          <w:p>
            <w:pPr>
              <w:spacing w:after="0"/>
              <w:rPr>
                <w:sz w:val="19"/>
                <w:szCs w:val="19"/>
                <w:color w:val="auto"/>
              </w:rPr>
            </w:pPr>
          </w:p>
        </w:tc>
      </w:tr>
      <w:tr>
        <w:trPr>
          <w:trHeight w:val="241"/>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r>
      <w:tr>
        <w:trPr>
          <w:trHeight w:val="209"/>
        </w:trPr>
        <w:tc>
          <w:tcPr>
            <w:tcW w:w="656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w w:val="99"/>
              </w:rPr>
              <w:t>. . . . . . . . . . . . . . . . . . . . . . . . . . . . . . . . . . . . . . . . . . . . . .</w:t>
            </w:r>
            <w:r>
              <w:rPr>
                <w:rFonts w:ascii="Times New Roman" w:cs="Times New Roman" w:eastAsia="Times New Roman" w:hAnsi="Times New Roman"/>
                <w:sz w:val="20"/>
                <w:szCs w:val="20"/>
                <w:b w:val="1"/>
                <w:bCs w:val="1"/>
                <w:color w:val="auto"/>
                <w:w w:val="99"/>
              </w:rPr>
              <w:t>Grossdeferredtaxassets</w:t>
            </w:r>
          </w:p>
        </w:tc>
        <w:tc>
          <w:tcPr>
            <w:tcW w:w="90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1,255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1,133</w:t>
            </w:r>
          </w:p>
        </w:tc>
        <w:tc>
          <w:tcPr>
            <w:tcW w:w="20" w:type="dxa"/>
            <w:vAlign w:val="bottom"/>
          </w:tcPr>
          <w:p>
            <w:pPr>
              <w:spacing w:after="0"/>
              <w:rPr>
                <w:sz w:val="18"/>
                <w:szCs w:val="18"/>
                <w:color w:val="auto"/>
              </w:rPr>
            </w:pPr>
          </w:p>
        </w:tc>
      </w:tr>
      <w:tr>
        <w:trPr>
          <w:trHeight w:val="241"/>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Valuation allowance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(1,007)</w:t>
            </w:r>
          </w:p>
        </w:tc>
      </w:tr>
      <w:tr>
        <w:trPr>
          <w:trHeight w:val="209"/>
        </w:trPr>
        <w:tc>
          <w:tcPr>
            <w:tcW w:w="656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w:t>
            </w:r>
            <w:r>
              <w:rPr>
                <w:rFonts w:ascii="Times New Roman" w:cs="Times New Roman" w:eastAsia="Times New Roman" w:hAnsi="Times New Roman"/>
                <w:sz w:val="20"/>
                <w:szCs w:val="20"/>
                <w:b w:val="1"/>
                <w:bCs w:val="1"/>
                <w:color w:val="auto"/>
              </w:rPr>
              <w:t>Totaldeferredtaxassets</w:t>
            </w:r>
          </w:p>
        </w:tc>
        <w:tc>
          <w:tcPr>
            <w:tcW w:w="90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300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126</w:t>
            </w:r>
          </w:p>
        </w:tc>
        <w:tc>
          <w:tcPr>
            <w:tcW w:w="20" w:type="dxa"/>
            <w:vAlign w:val="bottom"/>
          </w:tcPr>
          <w:p>
            <w:pPr>
              <w:spacing w:after="0"/>
              <w:rPr>
                <w:sz w:val="18"/>
                <w:szCs w:val="18"/>
                <w:color w:val="auto"/>
              </w:rPr>
            </w:pP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Intangible assets . .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0" w:type="dxa"/>
            <w:vAlign w:val="bottom"/>
          </w:tcPr>
          <w:p>
            <w:pPr>
              <w:spacing w:after="0"/>
              <w:rPr>
                <w:sz w:val="20"/>
                <w:szCs w:val="20"/>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Unrealized gains on derivatives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Goodwill . . . . . . . .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20" w:type="dxa"/>
            <w:vAlign w:val="bottom"/>
          </w:tcPr>
          <w:p>
            <w:pPr>
              <w:spacing w:after="0"/>
              <w:rPr>
                <w:sz w:val="19"/>
                <w:szCs w:val="19"/>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Right of use assets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0"/>
                <w:szCs w:val="20"/>
                <w:color w:val="auto"/>
              </w:rPr>
            </w:pPr>
          </w:p>
        </w:tc>
      </w:tr>
      <w:tr>
        <w:trPr>
          <w:trHeight w:val="241"/>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656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auto"/>
              </w:rPr>
              <w:t>. . . . . . . . . . . . . . . . . . . . . . . . . . . . . . . . . . . . . . . . . . .</w:t>
            </w:r>
            <w:r>
              <w:rPr>
                <w:rFonts w:ascii="Times New Roman" w:cs="Times New Roman" w:eastAsia="Times New Roman" w:hAnsi="Times New Roman"/>
                <w:sz w:val="20"/>
                <w:szCs w:val="20"/>
                <w:b w:val="1"/>
                <w:bCs w:val="1"/>
                <w:color w:val="auto"/>
              </w:rPr>
              <w:t>Totaldeferredtaxliabilities</w:t>
            </w:r>
          </w:p>
        </w:tc>
        <w:tc>
          <w:tcPr>
            <w:tcW w:w="90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(332)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(173)</w:t>
            </w:r>
          </w:p>
        </w:tc>
        <w:tc>
          <w:tcPr>
            <w:tcW w:w="20" w:type="dxa"/>
            <w:vAlign w:val="bottom"/>
          </w:tcPr>
          <w:p>
            <w:pPr>
              <w:spacing w:after="0"/>
              <w:rPr>
                <w:sz w:val="19"/>
                <w:szCs w:val="19"/>
                <w:color w:val="auto"/>
              </w:rPr>
            </w:pPr>
          </w:p>
        </w:tc>
      </w:tr>
      <w:tr>
        <w:trPr>
          <w:trHeight w:val="240"/>
        </w:trPr>
        <w:tc>
          <w:tcPr>
            <w:tcW w:w="6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 . . . . . . . . . . . . . . . . . . . . . . . . . . . . . . . . . . . . . . . . . . . .</w:t>
            </w:r>
            <w:r>
              <w:rPr>
                <w:rFonts w:ascii="Times New Roman" w:cs="Times New Roman" w:eastAsia="Times New Roman" w:hAnsi="Times New Roman"/>
                <w:sz w:val="20"/>
                <w:szCs w:val="20"/>
                <w:b w:val="1"/>
                <w:bCs w:val="1"/>
                <w:color w:val="auto"/>
                <w:w w:val="99"/>
              </w:rPr>
              <w:t>Netdeferredtaxliabilities</w:t>
            </w:r>
          </w:p>
        </w:tc>
        <w:tc>
          <w:tcPr>
            <w:tcW w:w="900" w:type="dxa"/>
            <w:vAlign w:val="bottom"/>
          </w:tcPr>
          <w:p>
            <w:pPr>
              <w:ind w:left="20"/>
              <w:spacing w:after="0" w:line="187" w:lineRule="exact"/>
              <w:rPr>
                <w:sz w:val="20"/>
                <w:szCs w:val="20"/>
                <w:color w:val="auto"/>
              </w:rPr>
            </w:pPr>
            <w:r>
              <w:rPr>
                <w:rFonts w:ascii="Times New Roman" w:cs="Times New Roman" w:eastAsia="Times New Roman" w:hAnsi="Times New Roman"/>
                <w:sz w:val="20"/>
                <w:szCs w:val="20"/>
                <w:color w:val="auto"/>
              </w:rPr>
              <w:t>. . . . . . .</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w:t>
            </w:r>
          </w:p>
        </w:tc>
        <w:tc>
          <w:tcPr>
            <w:tcW w:w="20" w:type="dxa"/>
            <w:vAlign w:val="bottom"/>
          </w:tcPr>
          <w:p>
            <w:pPr>
              <w:spacing w:after="0"/>
              <w:rPr>
                <w:sz w:val="20"/>
                <w:szCs w:val="20"/>
                <w:color w:val="auto"/>
              </w:rPr>
            </w:pPr>
          </w:p>
        </w:tc>
      </w:tr>
      <w:tr>
        <w:trPr>
          <w:trHeight w:val="476"/>
        </w:trPr>
        <w:tc>
          <w:tcPr>
            <w:tcW w:w="64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Changes in valuation allowance for deferred tax assets were as follows: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4"/>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02"/>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 w:type="dxa"/>
            <w:vAlign w:val="bottom"/>
          </w:tcPr>
          <w:p>
            <w:pPr>
              <w:spacing w:after="0"/>
              <w:rPr>
                <w:sz w:val="13"/>
                <w:szCs w:val="13"/>
                <w:color w:val="auto"/>
              </w:rPr>
            </w:pPr>
          </w:p>
        </w:tc>
      </w:tr>
      <w:tr>
        <w:trPr>
          <w:trHeight w:val="194"/>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210"/>
        </w:trPr>
        <w:tc>
          <w:tcPr>
            <w:tcW w:w="642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 . . . . . . . . . . . . . . . . . . . . . . . . . . . . .Valuationallowanceatbeginningofyear</w:t>
            </w: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20"/>
                <w:szCs w:val="20"/>
                <w:color w:val="auto"/>
              </w:rPr>
              <w:t>1,007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20"/>
                <w:szCs w:val="20"/>
                <w:color w:val="auto"/>
              </w:rPr>
              <w:t>579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533</w:t>
            </w:r>
          </w:p>
        </w:tc>
        <w:tc>
          <w:tcPr>
            <w:tcW w:w="20" w:type="dxa"/>
            <w:vAlign w:val="bottom"/>
          </w:tcPr>
          <w:p>
            <w:pPr>
              <w:spacing w:after="0"/>
              <w:rPr>
                <w:sz w:val="18"/>
                <w:szCs w:val="18"/>
                <w:color w:val="auto"/>
              </w:rPr>
            </w:pPr>
          </w:p>
        </w:tc>
      </w:tr>
      <w:tr>
        <w:trPr>
          <w:trHeight w:val="242"/>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valuation allowance . . . . . . . . . . . . . . . . . . . . . . . . . . . . . . . . . . . . . .</w:t>
            </w:r>
          </w:p>
        </w:tc>
        <w:tc>
          <w:tcPr>
            <w:tcW w:w="14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Pr>
          <w:p>
            <w:pPr>
              <w:spacing w:after="0"/>
              <w:rPr>
                <w:sz w:val="21"/>
                <w:szCs w:val="21"/>
                <w:color w:val="auto"/>
              </w:rPr>
            </w:pPr>
          </w:p>
        </w:tc>
      </w:tr>
      <w:tr>
        <w:trPr>
          <w:trHeight w:val="240"/>
        </w:trPr>
        <w:tc>
          <w:tcPr>
            <w:tcW w:w="6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Valuation allowance at end of year </w:t>
            </w:r>
            <w:r>
              <w:rPr>
                <w:rFonts w:ascii="Times New Roman" w:cs="Times New Roman" w:eastAsia="Times New Roman" w:hAnsi="Times New Roman"/>
                <w:sz w:val="20"/>
                <w:szCs w:val="20"/>
                <w:color w:val="auto"/>
              </w:rPr>
              <w:t>. . . . . . . . . . .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955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1,007</w:t>
            </w:r>
          </w:p>
        </w:tc>
        <w:tc>
          <w:tcPr>
            <w:tcW w:w="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579</w:t>
            </w:r>
          </w:p>
        </w:tc>
        <w:tc>
          <w:tcPr>
            <w:tcW w:w="20" w:type="dxa"/>
            <w:vAlign w:val="bottom"/>
          </w:tcPr>
          <w:p>
            <w:pPr>
              <w:spacing w:after="0"/>
              <w:rPr>
                <w:sz w:val="20"/>
                <w:szCs w:val="20"/>
                <w:color w:val="auto"/>
              </w:rPr>
            </w:pPr>
          </w:p>
        </w:tc>
      </w:tr>
    </w:tbl>
    <w:p>
      <w:pPr>
        <w:spacing w:after="0" w:line="20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 the deferred tax assets to the amount expected to be realized in the future. The valuation allowance for the years presented are primarily related to U.S. branch deferred tax assets not currently expected to be realized given that the Company has sustained recent losses.</w:t>
      </w:r>
    </w:p>
    <w:p>
      <w:pPr>
        <w:spacing w:after="0" w:line="192"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Prior to the Tax Deconsolidation, the income tax benefit (provision) included in these consolidated financial statements had been calculated using the separate return method, as if the Company had filed its own tax returns. Following the Tax Deconsolidation, Mobileye is a standalone taxpayer from a U.S. federal and applicable state income tax perspective for the period starting July 12, 2025. As such, the Company now calculates and report its U.S. federal and applicable state income tax liabilities as a standalone taxpayer. Additionally, the Tax Deconsolidation resulted in an adjustment to the Company’s deferred income tax assets and liabilities, primarily with respect to its net operating losses, reflecting attributes that the Company will not retain as a result of its status as a standalone taxpayer. Most of the net operating losses were utilized by the Company’s Parent on its historic income tax returns. These deferred adjustments are offset with a change in deferred tax asset valuation allowance.</w:t>
      </w:r>
    </w:p>
    <w:p>
      <w:pPr>
        <w:spacing w:after="0" w:line="20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As of December 27, 2025, the Company has U.S. net operating loss carryforwards of $192 million which have an indefinite carry-forward period. $141 million of these U.S. net operating loss carryforwards are subject to separate return limitation year rules as they were generated before the Company joined its Parent’s consolidated income tax return on July 17, 2021. These net operating loss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1880" w:h="15480" w:orient="portrait"/>
          <w:cols w:equalWidth="0" w:num="1">
            <w:col w:w="10800"/>
          </w:cols>
          <w:pgMar w:left="540" w:top="984" w:right="540" w:bottom="0"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carryforwards have been reflected in these consolidated financial statements and the Company will recognize a benefit for these net operating losses when determined to be realizable. As of December 27, 2025, the Company has removed all the historical separate return method hypothetical net operating loss carryforwards that were generated after joining its Parent’s consolidated income tax filing group. These net operating losses generated by the Company have been fully utilized as part of the Parent consolidated income tax return filings in the periods prior to the Tax Deconsolidation.</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has a non-U.S. net operating loss carryforward of $242 million as of December 27, 2025. This net operating loss carryforward amount relates primarily to operations in Israel and has an indefinite carry-forward period.</w:t>
      </w:r>
    </w:p>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consolidated balance sheets dates presented.</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Uncertain tax positions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 reconciliation of the beginning and ending amount of unrecognized tax benefits related to uncertain tax positions was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55"/>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87"/>
              <w:spacing w:after="0" w:line="15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49"/>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194"/>
        </w:trPr>
        <w:tc>
          <w:tcPr>
            <w:tcW w:w="6520" w:type="dxa"/>
            <w:vAlign w:val="bottom"/>
          </w:tcPr>
          <w:p>
            <w:pPr>
              <w:jc w:val="right"/>
              <w:ind w:right="4864"/>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210"/>
        </w:trPr>
        <w:tc>
          <w:tcPr>
            <w:tcW w:w="6520" w:type="dxa"/>
            <w:vAlign w:val="bottom"/>
          </w:tcPr>
          <w:p>
            <w:pPr>
              <w:jc w:val="right"/>
              <w:ind w:right="184"/>
              <w:spacing w:after="0" w:line="210" w:lineRule="exact"/>
              <w:rPr>
                <w:sz w:val="20"/>
                <w:szCs w:val="20"/>
                <w:color w:val="auto"/>
              </w:rPr>
            </w:pPr>
            <w:r>
              <w:rPr>
                <w:rFonts w:ascii="Times New Roman" w:cs="Times New Roman" w:eastAsia="Times New Roman" w:hAnsi="Times New Roman"/>
                <w:sz w:val="20"/>
                <w:szCs w:val="20"/>
                <w:color w:val="auto"/>
              </w:rPr>
              <w:t>. . . . . . . . . . . . . . . . . . . . . . . . . . . . . . . . .</w:t>
            </w:r>
            <w:r>
              <w:rPr>
                <w:rFonts w:ascii="Times New Roman" w:cs="Times New Roman" w:eastAsia="Times New Roman" w:hAnsi="Times New Roman"/>
                <w:sz w:val="20"/>
                <w:szCs w:val="20"/>
                <w:b w:val="1"/>
                <w:bCs w:val="1"/>
                <w:color w:val="auto"/>
              </w:rPr>
              <w:t>Balanceatthebeginningoftheyear</w:t>
            </w:r>
          </w:p>
        </w:tc>
        <w:tc>
          <w:tcPr>
            <w:tcW w:w="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18"/>
                <w:szCs w:val="18"/>
                <w:color w:val="auto"/>
              </w:rPr>
            </w:pPr>
          </w:p>
        </w:tc>
      </w:tr>
      <w:tr>
        <w:trPr>
          <w:trHeight w:val="230"/>
        </w:trPr>
        <w:tc>
          <w:tcPr>
            <w:tcW w:w="652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w w:val="99"/>
              </w:rPr>
              <w:t>Changes in balances related to tax positions taken during current period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0"/>
                <w:szCs w:val="20"/>
                <w:color w:val="auto"/>
              </w:rPr>
            </w:pPr>
          </w:p>
        </w:tc>
      </w:tr>
      <w:tr>
        <w:trPr>
          <w:trHeight w:val="242"/>
        </w:trPr>
        <w:tc>
          <w:tcPr>
            <w:tcW w:w="652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w w:val="97"/>
              </w:rPr>
              <w:t>Foreign currency adjustments . . . . . . . . . . . . . . . . . . . . . . . . . . . . . . . . . . . . . . .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652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rPr>
              <w:t>. . . . . . . . . . . . . . . . . . . . . . . . . . . . . . . . . . . . . .</w:t>
            </w:r>
            <w:r>
              <w:rPr>
                <w:rFonts w:ascii="Times New Roman" w:cs="Times New Roman" w:eastAsia="Times New Roman" w:hAnsi="Times New Roman"/>
                <w:sz w:val="20"/>
                <w:szCs w:val="20"/>
                <w:b w:val="1"/>
                <w:bCs w:val="1"/>
                <w:color w:val="auto"/>
              </w:rPr>
              <w:t>Balanceattheendoftheyear</w:t>
            </w: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20" w:type="dxa"/>
            <w:vAlign w:val="bottom"/>
            <w:tcBorders>
              <w:bottom w:val="single" w:sz="8" w:color="auto"/>
            </w:tcBorders>
          </w:tcPr>
          <w:p>
            <w:pPr>
              <w:spacing w:after="0"/>
              <w:rPr>
                <w:sz w:val="21"/>
                <w:szCs w:val="21"/>
                <w:color w:val="auto"/>
              </w:rPr>
            </w:pPr>
          </w:p>
        </w:tc>
      </w:tr>
    </w:tbl>
    <w:p>
      <w:pPr>
        <w:spacing w:after="0" w:line="20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If the remaining balance of unrecognized tax benefits were recognized in a future period, it would result in a tax benefit of $22 million as of December 27, 2025. The balance of uncertain tax positions, which also includes accrued penalties and interest, is included in other long-term liabilities on the consolidated balance sheets.</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files income tax returns in the U.S., Israel, and in other certain foreign jurisdictions. The Company is no longer subject to U.S. and Israeli tax examinations for year prior to 2021 and 2020,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RELATED PARTY TRANSACTIONS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entered into a series of related party arrangements with Intel. The arrangements were as follows: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 Compensation Recharge Agreement</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in the consolidated statement of changes in equity were $9 million, $62 million and $100 million for the years ended December 27, 2025, December 28, 2024 and December 30, 2023, respectively.</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Lease agreements</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 xml:space="preserve">Under lease agreements with Intel, the Company leases office space in Intel’s buildings. The costs are included in the consolidated statements of operations and comprehensive income (loss) primarily on a specific and direct attribution basis, as described in Note 2 </w:t>
      </w:r>
      <w:r>
        <w:rPr>
          <w:rFonts w:ascii="Times New Roman" w:cs="Times New Roman" w:eastAsia="Times New Roman" w:hAnsi="Times New Roman"/>
          <w:sz w:val="20"/>
          <w:szCs w:val="20"/>
          <w:i w:val="1"/>
          <w:iCs w:val="1"/>
          <w:color w:val="auto"/>
        </w:rPr>
        <w:t xml:space="preserve">Significant Accounting Policies </w:t>
      </w:r>
      <w:r>
        <w:rPr>
          <w:rFonts w:ascii="Times New Roman" w:cs="Times New Roman" w:eastAsia="Times New Roman" w:hAnsi="Times New Roman"/>
          <w:sz w:val="20"/>
          <w:szCs w:val="20"/>
          <w:color w:val="auto"/>
        </w:rPr>
        <w:t>. The leasing costs for the years ended December 27, 2025, December 28, 2024 and December 30, 2023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were $2.6 million, $2.8 million and $4.4 million, respectively.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1880" w:h="15480" w:orient="portrait"/>
          <w:cols w:equalWidth="0" w:num="1">
            <w:col w:w="10800"/>
          </w:cols>
          <w:pgMar w:left="540" w:top="984" w:right="540" w:bottom="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Other services to a related party</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reimbursed its Chief Executive Officer for reasonable travel related expenses incurred while conducting business on behalf of the Company as well as paid for certain security related costs. For the years ended December 27, 2025, December 28, 2024, and December 30, 2023, travel-related reimbursements and security-related costs were $2.0 million, $2.0 million and $1.8 million, respectively.</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Administrative Services Agreement</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Under the Administrative Services Agreement, Intel provides the Company with administrative and other services. The Company pays fees to Intel for the services rendered based on pricing per service agreed between the Company and Intel.</w:t>
      </w:r>
    </w:p>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initial term of the Administrative Services Agreement expires two years from the completion of the Mobileye IPO and extends automatically for successive three-month terms unless one of the parties elects not to renew.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costs incurred under this agreement for the years ended December 27, 2025, December 28, 2024 and December 30, 2023 were $2.2 million, $3.0 million and $3.5 million, respectively.</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Technology and Services Agreement</w:t>
      </w:r>
    </w:p>
    <w:p>
      <w:pPr>
        <w:spacing w:after="0" w:line="23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Pursuant to the Technology and Services Agreement, the Company and Intel agree to statements of work with additional terms for Technology Projects.</w:t>
      </w:r>
    </w:p>
    <w:p>
      <w:pPr>
        <w:spacing w:after="0" w:line="20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Technology and Services Agreement automatically renews for one-year renewal periods, unless the agreement is terminated for a party’s material breach, a party’s bankruptcy or insolvency, or advance notice of non- renewal is given. The amount incurred under this agreement for the years ended December 27, 2025, December 28, 2024 and December 30, 2023 were $2.3 million, $4.4 million and $5.0 million, respectively.</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Tax Sharing Agreement</w:t>
      </w:r>
    </w:p>
    <w:p>
      <w:pPr>
        <w:spacing w:after="0" w:line="238"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including audit or other tax proceedings. According to the terms of the Tax Sharing Agreement, the Company and Intel will calculate and agree to estimated amounts owed quarterly but final amounts will also be calculated and paid upon consolidated tax return filings. Amounts payable under the Tax Sharing Agreement will be recorded in the same manner as other contractual obligations entered into by the Company. On August 14, 2024, Mobileye and Intel entered into an Amended and Restated Tax Sharing Agreement, which incorporated certain clarifying amendments into the original Tax Sharing Agreement. As a result of the Tax Deconsolidation, starting July 12, 2025, the computation of cash payable between the Company and Intel, under the Amended and Restated Tax Sharing Agreement, is no longer applicable with respect to U.S. federal and applicable state income taxes. However, other obligations of the parties under the Amended and Restated Tax Sharing Agreement remain in effect. As of December 27, 2025 and December 28, 2024, the related party payable to Intel, pursuant to the Tax Sharing Agreement, were zero and $3 million, respectively.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1880" w:h="15480" w:orient="portrait"/>
          <w:cols w:equalWidth="0" w:num="1">
            <w:col w:w="10800"/>
          </w:cols>
          <w:pgMar w:left="540" w:top="984" w:right="540" w:bottom="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Intel sublicense</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June 2024, Intel and its affiliates, including Mobileye, were granted a sublicense to certain patents relating to network-on-chip and other technologies (the “Sublicense”). In connection with Mobileye’s use of the Sublicense, Intel and Mobileye agreed that Mobileye would pay to Intel $0.3 million as Mobileye’s allocation of the consideration paid by Intel for the Sublicense. Such amount was paid in 2024.</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w:t>
      </w:r>
    </w:p>
    <w:p>
      <w:pPr>
        <w:spacing w:after="0" w:line="239"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 xml:space="preserve">In connection with and conditional upon the closing of the Secondary Offering, on July 11, 2025 the Company purchased from Intel 6,231,985 shares of Class A common stock at a price of $16.04625 per share. The aggregate consideration paid by the Company for the Share Repurchase was $100 million and is subject to a nondeductible excise tax of 1% pursuant to the Inflation Reduction Act of 2022. Upon closing of the Share Repurchase, the Company cancelled and retired the 6,231,985 shares of Class A common stock acquired pursuant to the Share Repurchase. The excess of the repurchase price over par value was charged to additional paid in capital. For further detail refer to Note 1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Acquisition of Mentee Robotics</w:t>
      </w:r>
    </w:p>
    <w:p>
      <w:pPr>
        <w:spacing w:after="0" w:line="238"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9"/>
          <w:szCs w:val="19"/>
          <w:color w:val="auto"/>
        </w:rPr>
        <w:t xml:space="preserve">On February 3, 2026, the Company and Mobileye Vision Technologies Ltd. (a wholly-owned indirect subsidiary of the Company) acquired 100% of the issued and outstanding stock of Mentee Robotics Ltd., a privately held Israeli company focused on humanoid robotics (“Mentee Robotics”, and such transaction, the “Acquisition”), pursuant to a share purchase agreement dated as of January 5, 2026 (the “Share Purchase Agreement”), by and among the Company, Mobileye Vision Technologies Ltd., Mentee Robotics Ltd., the shareholders of Mentee Robotics Ltd., and Shareholder Representative Services LLC, as the exclusive representative of the Mentee Robotics shareholders. Prof. Amnon Shashua, President and CEO of the Company, is the Chairman, Co-Founder and a significant shareholder of Mentee Robotics, and Prof. Shai Shalev-Shwartz, Chief Technology Officer of the Company, is Co-Founder and a significant shareholder of Mentee Robotics. In addition, Prof. Amnon Shashua’s son and son- in-law, are both employees of Mentee Robotics, and received consideration for their vested and unvested options pursuant to the terms of the Share Purchase Agreement. The Acquisition was approved by the Company’s Board of Directors (the “Board”), acting on the recommendation of a strategic transaction committee consisting of four disinterested directors (two of whom are independent) . The Audit Committee of the Board also approved the Acquisition pursuant to the Company’s Related Persons Transaction Policy. For further detail, refer to Note 15 </w:t>
      </w:r>
      <w:r>
        <w:rPr>
          <w:rFonts w:ascii="Times New Roman" w:cs="Times New Roman" w:eastAsia="Times New Roman" w:hAnsi="Times New Roman"/>
          <w:sz w:val="19"/>
          <w:szCs w:val="19"/>
          <w:i w:val="1"/>
          <w:iCs w:val="1"/>
          <w:color w:val="auto"/>
        </w:rPr>
        <w:t>Subsequent Events</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GOODWILL</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the carrying amount of goodwill by segment as of December 27, 2025, December 28,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2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Mobileye</w:t>
            </w:r>
          </w:p>
        </w:tc>
        <w:tc>
          <w:tcPr>
            <w:tcW w:w="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6460" w:type="dxa"/>
            <w:vAlign w:val="bottom"/>
            <w:gridSpan w:val="2"/>
          </w:tcPr>
          <w:p>
            <w:pPr>
              <w:jc w:val="right"/>
              <w:ind w:right="320"/>
              <w:spacing w:after="0" w:line="209" w:lineRule="exact"/>
              <w:rPr>
                <w:sz w:val="20"/>
                <w:szCs w:val="20"/>
                <w:color w:val="auto"/>
              </w:rPr>
            </w:pPr>
            <w:r>
              <w:rPr>
                <w:rFonts w:ascii="Times New Roman" w:cs="Times New Roman" w:eastAsia="Times New Roman" w:hAnsi="Times New Roman"/>
                <w:sz w:val="20"/>
                <w:szCs w:val="20"/>
                <w:color w:val="auto"/>
                <w:w w:val="99"/>
              </w:rPr>
              <w:t>. . . . . . . . . . . . . . . . . . . . . . . . . . . . . . . . . . . . . . . . . . . . . . .</w:t>
            </w:r>
            <w:r>
              <w:rPr>
                <w:rFonts w:ascii="Times New Roman" w:cs="Times New Roman" w:eastAsia="Times New Roman" w:hAnsi="Times New Roman"/>
                <w:sz w:val="20"/>
                <w:szCs w:val="20"/>
                <w:b w:val="1"/>
                <w:bCs w:val="1"/>
                <w:color w:val="auto"/>
                <w:w w:val="99"/>
              </w:rPr>
              <w:t>December30,2023</w:t>
            </w:r>
          </w:p>
        </w:tc>
        <w:tc>
          <w:tcPr>
            <w:tcW w:w="220" w:type="dxa"/>
            <w:vAlign w:val="bottom"/>
            <w:tcBorders>
              <w:top w:val="single" w:sz="8" w:color="auto"/>
            </w:tcBorders>
          </w:tcPr>
          <w:p>
            <w:pPr>
              <w:jc w:val="right"/>
              <w:ind w:right="20"/>
              <w:spacing w:after="0" w:line="20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10,784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tcPr>
          <w:p>
            <w:pPr>
              <w:jc w:val="right"/>
              <w:ind w:right="705"/>
              <w:spacing w:after="0" w:line="209"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4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10,895</w:t>
            </w:r>
          </w:p>
        </w:tc>
        <w:tc>
          <w:tcPr>
            <w:tcW w:w="20" w:type="dxa"/>
            <w:vAlign w:val="bottom"/>
          </w:tcPr>
          <w:p>
            <w:pPr>
              <w:spacing w:after="0"/>
              <w:rPr>
                <w:sz w:val="18"/>
                <w:szCs w:val="18"/>
                <w:color w:val="auto"/>
              </w:rPr>
            </w:pPr>
          </w:p>
        </w:tc>
      </w:tr>
      <w:tr>
        <w:trPr>
          <w:trHeight w:val="242"/>
        </w:trPr>
        <w:tc>
          <w:tcPr>
            <w:tcW w:w="64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Impairment . . . . . . . . . . . . . . . . . . . . . . . . . . . . . . . . . . . . . . . . . . . . . . . . . . . . . .</w:t>
            </w:r>
          </w:p>
        </w:tc>
        <w:tc>
          <w:tcPr>
            <w:tcW w:w="2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(2,695)</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(2,695)</w:t>
            </w:r>
          </w:p>
        </w:tc>
      </w:tr>
      <w:tr>
        <w:trPr>
          <w:trHeight w:val="240"/>
        </w:trPr>
        <w:tc>
          <w:tcPr>
            <w:tcW w:w="64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9"/>
              </w:rPr>
              <w:t>. . . . . . . . . . . . . . . . . . . . . . . . . . . . . . . . . . . . . . . . . . . . . . .</w:t>
            </w:r>
            <w:r>
              <w:rPr>
                <w:rFonts w:ascii="Times New Roman" w:cs="Times New Roman" w:eastAsia="Times New Roman" w:hAnsi="Times New Roman"/>
                <w:sz w:val="20"/>
                <w:szCs w:val="20"/>
                <w:b w:val="1"/>
                <w:bCs w:val="1"/>
                <w:color w:val="auto"/>
                <w:w w:val="99"/>
              </w:rPr>
              <w:t>December28,2024</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8,089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111</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8,200</w:t>
            </w:r>
          </w:p>
        </w:tc>
        <w:tc>
          <w:tcPr>
            <w:tcW w:w="20" w:type="dxa"/>
            <w:vAlign w:val="bottom"/>
          </w:tcPr>
          <w:p>
            <w:pPr>
              <w:spacing w:after="0"/>
              <w:rPr>
                <w:sz w:val="20"/>
                <w:szCs w:val="20"/>
                <w:color w:val="auto"/>
              </w:rPr>
            </w:pPr>
          </w:p>
        </w:tc>
      </w:tr>
      <w:tr>
        <w:trPr>
          <w:trHeight w:val="242"/>
        </w:trPr>
        <w:tc>
          <w:tcPr>
            <w:tcW w:w="6440" w:type="dxa"/>
            <w:vAlign w:val="bottom"/>
          </w:tcPr>
          <w:p>
            <w:pPr>
              <w:jc w:val="right"/>
              <w:ind w:right="204"/>
              <w:spacing w:after="0"/>
              <w:rPr>
                <w:sz w:val="20"/>
                <w:szCs w:val="20"/>
                <w:color w:val="auto"/>
              </w:rPr>
            </w:pPr>
            <w:r>
              <w:rPr>
                <w:rFonts w:ascii="Times New Roman" w:cs="Times New Roman" w:eastAsia="Times New Roman" w:hAnsi="Times New Roman"/>
                <w:sz w:val="20"/>
                <w:szCs w:val="20"/>
                <w:b w:val="1"/>
                <w:bCs w:val="1"/>
                <w:color w:val="auto"/>
                <w:w w:val="96"/>
              </w:rPr>
              <w:t xml:space="preserve">December 27, 2025 </w:t>
            </w:r>
            <w:r>
              <w:rPr>
                <w:rFonts w:ascii="Times New Roman" w:cs="Times New Roman" w:eastAsia="Times New Roman" w:hAnsi="Times New Roman"/>
                <w:sz w:val="20"/>
                <w:szCs w:val="20"/>
                <w:color w:val="auto"/>
                <w:w w:val="96"/>
              </w:rPr>
              <w:t>. . . . . . . . . . . . . . . . . . . . . . . . . . . . . . . . . . . . . . . . . . . . . . .</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8,089</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111</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8,200</w:t>
            </w:r>
          </w:p>
        </w:tc>
        <w:tc>
          <w:tcPr>
            <w:tcW w:w="20" w:type="dxa"/>
            <w:vAlign w:val="bottom"/>
          </w:tcPr>
          <w:p>
            <w:pPr>
              <w:spacing w:after="0"/>
              <w:rPr>
                <w:sz w:val="21"/>
                <w:szCs w:val="21"/>
                <w:color w:val="auto"/>
              </w:rPr>
            </w:pPr>
          </w:p>
        </w:tc>
      </w:tr>
    </w:tbl>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27, 2025 and December 28, 2024 there were $2,695 million accumulated goodwill impairment losses.</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2024 Goodwill Impairment Test</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During the third quarter of 2024, the Company performed an interim quantitative goodwill impairment analysis for the “Mobileye” reporting unit, due to a then-recent decline in the price of the Company’s Class A common stock, and corresponding market capitalization, as well as macroeconomic and industry factors. The quantitative assessment was performed by measuring the reporting unit’s fair value (which substantially constitutes the entire value of the Company) using the income approach, based on the expected present value of estimated future cash flows.</w:t>
      </w:r>
    </w:p>
    <w:p>
      <w:pPr>
        <w:spacing w:after="0" w:line="193" w:lineRule="exact"/>
        <w:rPr>
          <w:sz w:val="20"/>
          <w:szCs w:val="20"/>
          <w:color w:val="auto"/>
        </w:rPr>
      </w:pPr>
    </w:p>
    <w:p>
      <w:pPr>
        <w:jc w:val="both"/>
        <w:ind w:firstLine="360"/>
        <w:spacing w:after="0" w:line="306" w:lineRule="auto"/>
        <w:rPr>
          <w:sz w:val="20"/>
          <w:szCs w:val="20"/>
          <w:color w:val="auto"/>
        </w:rPr>
      </w:pPr>
      <w:r>
        <w:rPr>
          <w:rFonts w:ascii="Times New Roman" w:cs="Times New Roman" w:eastAsia="Times New Roman" w:hAnsi="Times New Roman"/>
          <w:sz w:val="19"/>
          <w:szCs w:val="19"/>
          <w:color w:val="auto"/>
        </w:rPr>
        <w:t>The fair value measurement is categorized as Level 3 within the fair value hierarchy due to the use of unobservable inputs such as financial projections, terminal growth rate, and discount rate. The results of the impairment analysis indicated that the carrying value of</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1880" w:h="15480" w:orient="portrait"/>
          <w:cols w:equalWidth="0" w:num="1">
            <w:col w:w="10800"/>
          </w:cols>
          <w:pgMar w:left="540" w:top="984" w:right="540" w:bottom="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Mobileye reporting unit was in excess of its fair value. Therefore, the Company recorded a non-cash impairment loss of $2,695 million, under “goodwill impairment” in the Consolidated Statements of Operations and Comprehensive Income (Loss).</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During the fourth quarter of 2024, we completed our annual impairment assessment. Based on the assessment, the fair value of the “Mobileye” reporting unit exceeded its book value. We also performed a detailed quantitative analysis for the “Other” reporting unit which showed that no impairment was required. Fair value for the “Other” reporting unit was estimated using the expected present value of future cash flows and is categorized as Level 3 within the fair value hierarchy due to the use of unobservable inputs.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2025 Goodwill Impairment Test</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During the fourth quarter of 2025, we completed our annual impairment assessment. For the “Mobileye” reporting unit the assessment was performed using a quantitative test. The quantitative impairment test estimated the fair value of the reporting unit using an income approach.</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Fair value was estimated using the expected present value of future cash flows and was categorized as Level 3 within the fair value hierarchy due to the use of unobservable inputs such as financial projections, terminal growth rate, and discount rate.</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results of the impairment analysis indicated that the fair value of the Mobileye reporting unit was in excess of its carrying value.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Therefore, no impairment was recorded.</w:t>
      </w:r>
    </w:p>
    <w:p>
      <w:pPr>
        <w:spacing w:after="0" w:line="24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Due to the equity of the Company being above the market capitalization of the Company as of December 27, 2025, a further sustained decline in our share price and market capitalization may require further testing of our Mobileye reporting unit, which may result in an impairment.</w:t>
      </w:r>
    </w:p>
    <w:p>
      <w:pPr>
        <w:spacing w:after="0" w:line="18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For the “Other” reporting unit, our annual goodwill impairment assessment was performed using a qualitative assessment and concluded that the fair value of the “Other” reporting unit substantially exceeds its book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IDENTIFIED INTANGIBLE ASSETS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r>
      <w:tr>
        <w:trPr>
          <w:trHeight w:val="185"/>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27, 2025</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65"/>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88"/>
              <w:spacing w:after="0" w:line="165" w:lineRule="exact"/>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5"/>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68"/>
              <w:spacing w:after="0" w:line="165" w:lineRule="exact"/>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6"/>
                <w:szCs w:val="16"/>
                <w:color w:val="auto"/>
              </w:rPr>
            </w:pPr>
          </w:p>
        </w:tc>
        <w:tc>
          <w:tcPr>
            <w:tcW w:w="560" w:type="dxa"/>
            <w:vAlign w:val="bottom"/>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09"/>
        </w:trPr>
        <w:tc>
          <w:tcPr>
            <w:tcW w:w="498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20"/>
                <w:szCs w:val="20"/>
                <w:color w:val="auto"/>
              </w:rPr>
              <w:t>. . . . . . . . . . . . . . . . . . . . . . . . . . . . .Developedtechnology</w:t>
            </w:r>
          </w:p>
        </w:tc>
        <w:tc>
          <w:tcPr>
            <w:tcW w:w="1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3,705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2,761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3,705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2,384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1,321</w:t>
            </w:r>
          </w:p>
        </w:tc>
      </w:tr>
      <w:tr>
        <w:trPr>
          <w:trHeight w:val="241"/>
        </w:trPr>
        <w:tc>
          <w:tcPr>
            <w:tcW w:w="4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Customer relationships &amp; brands . . . . . . . . . . . . . . . . . . . .</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w:t>
            </w:r>
          </w:p>
        </w:tc>
      </w:tr>
      <w:tr>
        <w:trPr>
          <w:trHeight w:val="240"/>
        </w:trPr>
        <w:tc>
          <w:tcPr>
            <w:tcW w:w="4960" w:type="dxa"/>
            <w:vAlign w:val="bottom"/>
          </w:tcPr>
          <w:p>
            <w:pPr>
              <w:jc w:val="right"/>
              <w:ind w:right="165"/>
              <w:spacing w:after="0"/>
              <w:rPr>
                <w:sz w:val="20"/>
                <w:szCs w:val="20"/>
                <w:color w:val="auto"/>
              </w:rPr>
            </w:pPr>
            <w:r>
              <w:rPr>
                <w:rFonts w:ascii="Times New Roman" w:cs="Times New Roman" w:eastAsia="Times New Roman" w:hAnsi="Times New Roman"/>
                <w:sz w:val="20"/>
                <w:szCs w:val="20"/>
                <w:b w:val="1"/>
                <w:bCs w:val="1"/>
                <w:color w:val="auto"/>
                <w:w w:val="98"/>
              </w:rPr>
              <w:t xml:space="preserve">Total </w:t>
            </w:r>
            <w:r>
              <w:rPr>
                <w:rFonts w:ascii="Times New Roman" w:cs="Times New Roman" w:eastAsia="Times New Roman" w:hAnsi="Times New Roman"/>
                <w:sz w:val="20"/>
                <w:szCs w:val="20"/>
                <w:color w:val="auto"/>
                <w:w w:val="98"/>
              </w:rPr>
              <w:t>. . . . . . . . . . . . . . . . . . . . .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3,316</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1,609</w:t>
            </w:r>
          </w:p>
        </w:tc>
      </w:tr>
    </w:tbl>
    <w:p>
      <w:pPr>
        <w:spacing w:after="0" w:line="20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Amortization expenses recorded for developed technology and customer relationships and brands were recorded in cost of revenue and sales and marketing, respectively, in the consolidated statements of operations and comprehensive income (loss) for each year presented.</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following table presents the amortization expenses recorded for these identified intangible assets and their weighted average useful lives: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2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209"/>
        </w:trPr>
        <w:tc>
          <w:tcPr>
            <w:tcW w:w="4960" w:type="dxa"/>
            <w:vAlign w:val="bottom"/>
            <w:gridSpan w:val="2"/>
          </w:tcPr>
          <w:p>
            <w:pPr>
              <w:jc w:val="right"/>
              <w:ind w:right="260"/>
              <w:spacing w:after="0" w:line="209" w:lineRule="exact"/>
              <w:rPr>
                <w:sz w:val="20"/>
                <w:szCs w:val="20"/>
                <w:color w:val="auto"/>
              </w:rPr>
            </w:pPr>
            <w:r>
              <w:rPr>
                <w:rFonts w:ascii="Times New Roman" w:cs="Times New Roman" w:eastAsia="Times New Roman" w:hAnsi="Times New Roman"/>
                <w:sz w:val="20"/>
                <w:szCs w:val="20"/>
                <w:color w:val="auto"/>
              </w:rPr>
              <w:t>. . . . . . . . . . . . . . . . . . . . . . . . . . . .Developedtechnology</w:t>
            </w:r>
          </w:p>
        </w:tc>
        <w:tc>
          <w:tcPr>
            <w:tcW w:w="5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406</w:t>
            </w:r>
          </w:p>
        </w:tc>
        <w:tc>
          <w:tcPr>
            <w:tcW w:w="200" w:type="dxa"/>
            <w:vAlign w:val="bottom"/>
          </w:tcPr>
          <w:p>
            <w:pPr>
              <w:spacing w:after="0"/>
              <w:rPr>
                <w:sz w:val="18"/>
                <w:szCs w:val="18"/>
                <w:color w:val="auto"/>
              </w:rPr>
            </w:pPr>
          </w:p>
        </w:tc>
        <w:tc>
          <w:tcPr>
            <w:tcW w:w="12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10</w:t>
            </w:r>
          </w:p>
        </w:tc>
        <w:tc>
          <w:tcPr>
            <w:tcW w:w="0" w:type="dxa"/>
            <w:vAlign w:val="bottom"/>
          </w:tcPr>
          <w:p>
            <w:pPr>
              <w:spacing w:after="0"/>
              <w:rPr>
                <w:sz w:val="1"/>
                <w:szCs w:val="1"/>
                <w:color w:val="auto"/>
              </w:rPr>
            </w:pPr>
          </w:p>
        </w:tc>
      </w:tr>
      <w:tr>
        <w:trPr>
          <w:trHeight w:val="241"/>
        </w:trPr>
        <w:tc>
          <w:tcPr>
            <w:tcW w:w="49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Customer relationships &amp; brands . . . . . . . . . . . . . . . . . . . .</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4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12</w:t>
            </w:r>
          </w:p>
        </w:tc>
        <w:tc>
          <w:tcPr>
            <w:tcW w:w="0" w:type="dxa"/>
            <w:vAlign w:val="bottom"/>
          </w:tcPr>
          <w:p>
            <w:pPr>
              <w:spacing w:after="0"/>
              <w:rPr>
                <w:sz w:val="1"/>
                <w:szCs w:val="1"/>
                <w:color w:val="auto"/>
              </w:rPr>
            </w:pPr>
          </w:p>
        </w:tc>
      </w:tr>
      <w:tr>
        <w:trPr>
          <w:trHeight w:val="240"/>
        </w:trPr>
        <w:tc>
          <w:tcPr>
            <w:tcW w:w="4940" w:type="dxa"/>
            <w:vAlign w:val="bottom"/>
          </w:tcPr>
          <w:p>
            <w:pPr>
              <w:jc w:val="right"/>
              <w:ind w:right="145"/>
              <w:spacing w:after="0"/>
              <w:rPr>
                <w:sz w:val="20"/>
                <w:szCs w:val="20"/>
                <w:color w:val="auto"/>
              </w:rPr>
            </w:pPr>
            <w:r>
              <w:rPr>
                <w:rFonts w:ascii="Times New Roman" w:cs="Times New Roman" w:eastAsia="Times New Roman" w:hAnsi="Times New Roman"/>
                <w:sz w:val="20"/>
                <w:szCs w:val="20"/>
                <w:b w:val="1"/>
                <w:bCs w:val="1"/>
                <w:color w:val="auto"/>
                <w:w w:val="99"/>
              </w:rPr>
              <w:t xml:space="preserve">Total amortization expenses </w:t>
            </w:r>
            <w:r>
              <w:rPr>
                <w:rFonts w:ascii="Times New Roman" w:cs="Times New Roman" w:eastAsia="Times New Roman" w:hAnsi="Times New Roman"/>
                <w:sz w:val="20"/>
                <w:szCs w:val="20"/>
                <w:color w:val="auto"/>
                <w:w w:val="99"/>
              </w:rPr>
              <w:t>. . . . . . . . . . . . . . . . . . . . . . .</w:t>
            </w: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During the year ended December 27, 2025, the Company derecognized the cost and accumulated depreciation of fully depreciated intangible assets in the amount of $9 million.</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1880" w:h="15480" w:orient="portrait"/>
          <w:cols w:equalWidth="0" w:num="1">
            <w:col w:w="10800"/>
          </w:cols>
          <w:pgMar w:left="540" w:top="984" w:right="540" w:bottom="0"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During the third quarter of 2024, we performed an impairment assessment of intangible assets and concluded that the sum of the expected future undiscounted cash flows expected to be generated by the intangible assets is substantially above their carrying amount and therefore no impairment was identified. The Company did not record any impairment of intangible assets for any of the periods presented.</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expects future amortization expenses for the next five years and thereafter to be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2030</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Thereafter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4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Future amortization expenses . . . . . . . . . . . . . . . . . . . . . . . .</w:t>
            </w:r>
          </w:p>
        </w:tc>
        <w:tc>
          <w:tcPr>
            <w:tcW w:w="2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333</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   250</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$ 1,166</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SEGMENT INFORMATION</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8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presented as a reportable operating segment and Moovit, which is a mobility-as-a-service company, is presented within “Other” as per ASC 280, Segment Reporting.</w:t>
      </w:r>
    </w:p>
    <w:p>
      <w:pPr>
        <w:spacing w:after="0" w:line="19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CODM uses segment performance to allocate resources to segments in the annual budget and forecasting process and also uses that measure to assess the segment performance.</w:t>
      </w:r>
    </w:p>
    <w:p>
      <w:pPr>
        <w:spacing w:after="0" w:line="16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Segment performance is the operating income (loss) reported excluding the amortization of acquisition -related intangible assets, share-based compensation expense and impairment of goodwill. Starting in 2025, the measure of segment performance used by the CODM changed and as a result, the Company’s segment performance measure was updated to also exclude share-based compensation expenses (that were previously included in segment performance). The change aligns with segment information that is now regularly provided to the CODM and reflects how the CODM assesses segment performance and makes strategic decisions about the business. Prior period amounts have been recast as a result of the change in segment measure.</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measure of assets has not been disclosed for each segment as it is not regularly provided to the CODM.</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The accounting policies of the individual segments are the same as those described in Note 2 </w:t>
      </w:r>
      <w:r>
        <w:rPr>
          <w:rFonts w:ascii="Times New Roman" w:cs="Times New Roman" w:eastAsia="Times New Roman" w:hAnsi="Times New Roman"/>
          <w:sz w:val="20"/>
          <w:szCs w:val="20"/>
          <w:i w:val="1"/>
          <w:iCs w:val="1"/>
          <w:color w:val="auto"/>
        </w:rPr>
        <w:t>Significant Accounting Policies</w:t>
      </w:r>
      <w:r>
        <w:rPr>
          <w:rFonts w:ascii="Times New Roman" w:cs="Times New Roman" w:eastAsia="Times New Roman" w:hAnsi="Times New Roman"/>
          <w:sz w:val="20"/>
          <w:szCs w:val="20"/>
          <w:color w:val="auto"/>
        </w:rPr>
        <w:t>.</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are segment results for each year:</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vMerge w:val="restart"/>
          </w:tcPr>
          <w:p>
            <w:pPr>
              <w:jc w:val="right"/>
              <w:ind w:right="5322"/>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1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center"/>
              <w:ind w:left="524"/>
              <w:spacing w:after="0"/>
              <w:rPr>
                <w:sz w:val="20"/>
                <w:szCs w:val="20"/>
                <w:color w:val="auto"/>
              </w:rPr>
            </w:pPr>
            <w:r>
              <w:rPr>
                <w:rFonts w:ascii="Times New Roman" w:cs="Times New Roman" w:eastAsia="Times New Roman" w:hAnsi="Times New Roman"/>
                <w:sz w:val="16"/>
                <w:szCs w:val="16"/>
                <w:b w:val="1"/>
                <w:bCs w:val="1"/>
                <w:color w:val="auto"/>
                <w:w w:val="99"/>
              </w:rPr>
              <w:t>Year ended December 27, 2025</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6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64"/>
              <w:spacing w:after="0" w:line="163" w:lineRule="exact"/>
              <w:rPr>
                <w:sz w:val="20"/>
                <w:szCs w:val="20"/>
                <w:color w:val="auto"/>
              </w:rPr>
            </w:pPr>
            <w:r>
              <w:rPr>
                <w:rFonts w:ascii="Times New Roman" w:cs="Times New Roman" w:eastAsia="Times New Roman" w:hAnsi="Times New Roman"/>
                <w:sz w:val="16"/>
                <w:szCs w:val="16"/>
                <w:b w:val="1"/>
                <w:bCs w:val="1"/>
                <w:color w:val="auto"/>
              </w:rPr>
              <w:t>Mobileye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440"/>
              <w:spacing w:after="0" w:line="163"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340" w:type="dxa"/>
            <w:vAlign w:val="bottom"/>
          </w:tcPr>
          <w:p>
            <w:pPr>
              <w:spacing w:after="0"/>
              <w:rPr>
                <w:sz w:val="14"/>
                <w:szCs w:val="14"/>
                <w:color w:val="auto"/>
              </w:rPr>
            </w:pPr>
          </w:p>
        </w:tc>
        <w:tc>
          <w:tcPr>
            <w:tcW w:w="800" w:type="dxa"/>
            <w:vAlign w:val="bottom"/>
          </w:tcPr>
          <w:p>
            <w:pPr>
              <w:jc w:val="right"/>
              <w:ind w:right="281"/>
              <w:spacing w:after="0" w:line="163" w:lineRule="exact"/>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60" w:type="dxa"/>
            <w:vAlign w:val="bottom"/>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.Revenues</w:t>
            </w:r>
          </w:p>
        </w:tc>
        <w:tc>
          <w:tcPr>
            <w:tcW w:w="1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1,855</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39</w:t>
            </w:r>
          </w:p>
        </w:tc>
        <w:tc>
          <w:tcPr>
            <w:tcW w:w="200" w:type="dxa"/>
            <w:vAlign w:val="bottom"/>
          </w:tcPr>
          <w:p>
            <w:pPr>
              <w:spacing w:after="0"/>
              <w:rPr>
                <w:sz w:val="18"/>
                <w:szCs w:val="18"/>
                <w:color w:val="auto"/>
              </w:rPr>
            </w:pPr>
          </w:p>
        </w:tc>
        <w:tc>
          <w:tcPr>
            <w:tcW w:w="340" w:type="dxa"/>
            <w:vAlign w:val="bottom"/>
            <w:tcBorders>
              <w:top w:val="single" w:sz="8" w:color="auto"/>
            </w:tcBorders>
          </w:tcPr>
          <w:p>
            <w:pPr>
              <w:jc w:val="right"/>
              <w:ind w:right="14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Cost of revenues . . . . . . . . . . . . . . . . . . . . . . . . . . . . . . . . . . . . . . . . . . . . . . . . . . . . . .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 . . . . . . .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 . . . . . . .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 . . . . . .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8"/>
              </w:rPr>
              <w:t>. . . . . . . . . . . . . . . . . . . . . . . . . . . . . . . . . . . . . . . . . . . . . . . . .</w:t>
            </w:r>
            <w:r>
              <w:rPr>
                <w:rFonts w:ascii="Times New Roman" w:cs="Times New Roman" w:eastAsia="Times New Roman" w:hAnsi="Times New Roman"/>
                <w:sz w:val="20"/>
                <w:szCs w:val="20"/>
                <w:b w:val="1"/>
                <w:bCs w:val="1"/>
                <w:color w:val="auto"/>
                <w:w w:val="98"/>
              </w:rPr>
              <w:t>Segmentperformance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291</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c>
          <w:tcPr>
            <w:tcW w:w="2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60" w:type="dxa"/>
            <w:vAlign w:val="bottom"/>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.Amortizationofintangibleassets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Share-based compensation . . . . . . . . . . . . . . . . . . . . . . . . . . . . . . . . . . . . . . . . . . . . . . .</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(277)</w:t>
            </w:r>
          </w:p>
        </w:tc>
        <w:tc>
          <w:tcPr>
            <w:tcW w:w="0" w:type="dxa"/>
            <w:vAlign w:val="bottom"/>
          </w:tcPr>
          <w:p>
            <w:pPr>
              <w:spacing w:after="0"/>
              <w:rPr>
                <w:sz w:val="1"/>
                <w:szCs w:val="1"/>
                <w:color w:val="auto"/>
              </w:rPr>
            </w:pPr>
          </w:p>
        </w:tc>
      </w:tr>
      <w:tr>
        <w:trPr>
          <w:trHeight w:val="241"/>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7"/>
              </w:rPr>
              <w:t>Financial income (expense), net . . . . . . . . . . . . . . . . . . . . . . . . . . . . . . . . . . . . . . . . . .</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 . . . . . . . . . . . . . . . . . . . . . . . . . . . . . . . . . . .</w:t>
            </w:r>
            <w:r>
              <w:rPr>
                <w:rFonts w:ascii="Times New Roman" w:cs="Times New Roman" w:eastAsia="Times New Roman" w:hAnsi="Times New Roman"/>
                <w:sz w:val="20"/>
                <w:szCs w:val="20"/>
                <w:b w:val="1"/>
                <w:bCs w:val="1"/>
                <w:color w:val="auto"/>
              </w:rPr>
              <w:t>Income(loss)beforetaxesonincome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Depreciation of property and equipment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1880" w:h="15480" w:orient="portrait"/>
          <w:cols w:equalWidth="0" w:num="1">
            <w:col w:w="10800"/>
          </w:cols>
          <w:pgMar w:left="540" w:top="984" w:right="540" w:bottom="0"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vMerge w:val="restart"/>
          </w:tcPr>
          <w:p>
            <w:pPr>
              <w:jc w:val="right"/>
              <w:ind w:right="5321"/>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1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7"/>
          </w:tcPr>
          <w:p>
            <w:pPr>
              <w:jc w:val="center"/>
              <w:ind w:left="524"/>
              <w:spacing w:after="0"/>
              <w:rPr>
                <w:sz w:val="20"/>
                <w:szCs w:val="20"/>
                <w:color w:val="auto"/>
              </w:rPr>
            </w:pPr>
            <w:r>
              <w:rPr>
                <w:rFonts w:ascii="Times New Roman" w:cs="Times New Roman" w:eastAsia="Times New Roman" w:hAnsi="Times New Roman"/>
                <w:sz w:val="16"/>
                <w:szCs w:val="16"/>
                <w:b w:val="1"/>
                <w:bCs w:val="1"/>
                <w:color w:val="auto"/>
                <w:w w:val="99"/>
              </w:rPr>
              <w:t>Year ended December 28, 2024</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6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64"/>
              <w:spacing w:after="0" w:line="163" w:lineRule="exact"/>
              <w:rPr>
                <w:sz w:val="20"/>
                <w:szCs w:val="20"/>
                <w:color w:val="auto"/>
              </w:rPr>
            </w:pPr>
            <w:r>
              <w:rPr>
                <w:rFonts w:ascii="Times New Roman" w:cs="Times New Roman" w:eastAsia="Times New Roman" w:hAnsi="Times New Roman"/>
                <w:sz w:val="16"/>
                <w:szCs w:val="16"/>
                <w:b w:val="1"/>
                <w:bCs w:val="1"/>
                <w:color w:val="auto"/>
              </w:rPr>
              <w:t>Mobileye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40"/>
              <w:spacing w:after="0" w:line="163"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81"/>
              <w:spacing w:after="0" w:line="163" w:lineRule="exact"/>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960" w:type="dxa"/>
            <w:vAlign w:val="bottom"/>
          </w:tcPr>
          <w:p>
            <w:pPr>
              <w:jc w:val="right"/>
              <w:ind w:right="241"/>
              <w:spacing w:after="0" w:line="208"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.Revenues</w:t>
            </w:r>
          </w:p>
        </w:tc>
        <w:tc>
          <w:tcPr>
            <w:tcW w:w="1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1,613</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20"/>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40"/>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Cost of revenues . . . . . . . . . . . . . . . . . . . . . . . . . . . . . . . . . . . . . . . . . . . . . . . . . . . . . .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 . . . . . . .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 . . . . . . .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 . . . . . .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8"/>
              </w:rPr>
              <w:t>. . . . . . . . . . . . . . . . . . . . . . . . . . . . . . . . . . . . . . . . . . . . . . . . .</w:t>
            </w:r>
            <w:r>
              <w:rPr>
                <w:rFonts w:ascii="Times New Roman" w:cs="Times New Roman" w:eastAsia="Times New Roman" w:hAnsi="Times New Roman"/>
                <w:sz w:val="20"/>
                <w:szCs w:val="20"/>
                <w:b w:val="1"/>
                <w:bCs w:val="1"/>
                <w:color w:val="auto"/>
                <w:w w:val="98"/>
              </w:rPr>
              <w:t>Segmentperformance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203</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 . . . . . . . . . . . . . . . . . . . . . . . . . . . . . . . . . . . . . . . .Amortizationofintangibleassets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Share-based compensation . . . . . . . . . . . . . . . . . . . . . . . . . . . . . . . . . . . . . . . . . . . . . . .</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(279)</w:t>
            </w:r>
          </w:p>
        </w:tc>
        <w:tc>
          <w:tcPr>
            <w:tcW w:w="0" w:type="dxa"/>
            <w:vAlign w:val="bottom"/>
          </w:tcPr>
          <w:p>
            <w:pPr>
              <w:spacing w:after="0"/>
              <w:rPr>
                <w:sz w:val="1"/>
                <w:szCs w:val="1"/>
                <w:color w:val="auto"/>
              </w:rPr>
            </w:pPr>
          </w:p>
        </w:tc>
      </w:tr>
      <w:tr>
        <w:trPr>
          <w:trHeight w:val="244"/>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Goodwill impairment . . . . . . . . . . . . . . . . . . . . . . . . . . . . . . . . . . . . . . . . . . . . . . . . . . .</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(2,695)</w:t>
            </w:r>
          </w:p>
        </w:tc>
        <w:tc>
          <w:tcPr>
            <w:tcW w:w="0" w:type="dxa"/>
            <w:vAlign w:val="bottom"/>
          </w:tcPr>
          <w:p>
            <w:pPr>
              <w:spacing w:after="0"/>
              <w:rPr>
                <w:sz w:val="1"/>
                <w:szCs w:val="1"/>
                <w:color w:val="auto"/>
              </w:rPr>
            </w:pPr>
          </w:p>
        </w:tc>
      </w:tr>
      <w:tr>
        <w:trPr>
          <w:trHeight w:val="251"/>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7"/>
              </w:rPr>
              <w:t>Financial income (expense), net . . . . . . . . . . . . . . . . . . . . . . . . . . . . . . . . . . . . . . . . . .</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 . . . . . . . . . . . . . . . . . . . . . . . . . . . . . . . . . . .</w:t>
            </w:r>
            <w:r>
              <w:rPr>
                <w:rFonts w:ascii="Times New Roman" w:cs="Times New Roman" w:eastAsia="Times New Roman" w:hAnsi="Times New Roman"/>
                <w:sz w:val="20"/>
                <w:szCs w:val="20"/>
                <w:b w:val="1"/>
                <w:bCs w:val="1"/>
                <w:color w:val="auto"/>
              </w:rPr>
              <w:t>Income(loss)beforetaxesonincome</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2"/>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Depreciation of property and equipment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960" w:type="dxa"/>
            <w:vAlign w:val="bottom"/>
            <w:vMerge w:val="restart"/>
          </w:tcPr>
          <w:p>
            <w:pPr>
              <w:jc w:val="right"/>
              <w:ind w:right="5321"/>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ind w:left="524"/>
              <w:spacing w:after="0"/>
              <w:rPr>
                <w:sz w:val="20"/>
                <w:szCs w:val="20"/>
                <w:color w:val="auto"/>
              </w:rPr>
            </w:pPr>
            <w:r>
              <w:rPr>
                <w:rFonts w:ascii="Times New Roman" w:cs="Times New Roman" w:eastAsia="Times New Roman" w:hAnsi="Times New Roman"/>
                <w:sz w:val="16"/>
                <w:szCs w:val="16"/>
                <w:b w:val="1"/>
                <w:bCs w:val="1"/>
                <w:color w:val="auto"/>
                <w:w w:val="99"/>
              </w:rPr>
              <w:t>Year ended December 30, 2023</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64"/>
              <w:spacing w:after="0" w:line="163" w:lineRule="exact"/>
              <w:rPr>
                <w:sz w:val="20"/>
                <w:szCs w:val="20"/>
                <w:color w:val="auto"/>
              </w:rPr>
            </w:pPr>
            <w:r>
              <w:rPr>
                <w:rFonts w:ascii="Times New Roman" w:cs="Times New Roman" w:eastAsia="Times New Roman" w:hAnsi="Times New Roman"/>
                <w:sz w:val="16"/>
                <w:szCs w:val="16"/>
                <w:b w:val="1"/>
                <w:bCs w:val="1"/>
                <w:color w:val="auto"/>
              </w:rPr>
              <w:t>Mobileye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40"/>
              <w:spacing w:after="0" w:line="163"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81"/>
              <w:spacing w:after="0" w:line="163" w:lineRule="exact"/>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60" w:type="dxa"/>
            <w:vAlign w:val="bottom"/>
          </w:tcPr>
          <w:p>
            <w:pPr>
              <w:jc w:val="right"/>
              <w:ind w:right="241"/>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.Revenues</w:t>
            </w:r>
          </w:p>
        </w:tc>
        <w:tc>
          <w:tcPr>
            <w:tcW w:w="1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2,045</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4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Cost of revenues . . . . . . . . . . . . . . . . . . . . . . . . . . . . . . . . . . . . . . . . . . . . . . . . . . . . . .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 . . . . . . .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 . . . . . . .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 . . . . . .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8"/>
              </w:rPr>
              <w:t>. . . . . . . . . . . . . . . . . . . . . . . . . . . . . . . . . . . . . . . . . . . . . . . . .</w:t>
            </w:r>
            <w:r>
              <w:rPr>
                <w:rFonts w:ascii="Times New Roman" w:cs="Times New Roman" w:eastAsia="Times New Roman" w:hAnsi="Times New Roman"/>
                <w:sz w:val="20"/>
                <w:szCs w:val="20"/>
                <w:b w:val="1"/>
                <w:bCs w:val="1"/>
                <w:color w:val="auto"/>
                <w:w w:val="98"/>
              </w:rPr>
              <w:t>Segmentperformance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710</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 . . . . . . . . . . . . . . . . . . . . . . . . . . . . . . . . . . . . . . . .Amortizationofintangibleassets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Share-based compensation . . . . . . . . . . . . . . . . . . . . . . . . . . . . . . . . . . . . . . . . . . . . . . .</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(252)</w:t>
            </w:r>
          </w:p>
        </w:tc>
        <w:tc>
          <w:tcPr>
            <w:tcW w:w="0" w:type="dxa"/>
            <w:vAlign w:val="bottom"/>
          </w:tcPr>
          <w:p>
            <w:pPr>
              <w:spacing w:after="0"/>
              <w:rPr>
                <w:sz w:val="1"/>
                <w:szCs w:val="1"/>
                <w:color w:val="auto"/>
              </w:rPr>
            </w:pPr>
          </w:p>
        </w:tc>
      </w:tr>
      <w:tr>
        <w:trPr>
          <w:trHeight w:val="251"/>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7"/>
              </w:rPr>
              <w:t>Financial income (expense), net . . . . . . . . . . . . . . . . . . . . . . . . . . . . . . . . . . . . . . . . . .</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 . . . . . . . . . . . . . . . . . . . . . . . . . . . . . . . . . . .</w:t>
            </w:r>
            <w:r>
              <w:rPr>
                <w:rFonts w:ascii="Times New Roman" w:cs="Times New Roman" w:eastAsia="Times New Roman" w:hAnsi="Times New Roman"/>
                <w:sz w:val="20"/>
                <w:szCs w:val="20"/>
                <w:b w:val="1"/>
                <w:bCs w:val="1"/>
                <w:color w:val="auto"/>
              </w:rPr>
              <w:t>Income(loss)beforetaxesonincome</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8"/>
        </w:trPr>
        <w:tc>
          <w:tcPr>
            <w:tcW w:w="69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6"/>
              </w:rPr>
              <w:t>Depreciation of property and equipment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Total revenues based on the country that the product was shipped to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55"/>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4"/>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tcPr>
          <w:p>
            <w:pPr>
              <w:jc w:val="right"/>
              <w:ind w:right="1"/>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193"/>
        </w:trPr>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6960" w:type="dxa"/>
            <w:vAlign w:val="bottom"/>
            <w:gridSpan w:val="2"/>
          </w:tcPr>
          <w:p>
            <w:pPr>
              <w:jc w:val="right"/>
              <w:ind w:right="340"/>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.China</w:t>
            </w: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640</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USA . . . . . .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r>
      <w:tr>
        <w:trPr>
          <w:trHeight w:val="229"/>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Germany . . . . . . . . . . . . . . . . . . . . . . . . . . . . . . . . . . . . . . . . . . . . . . . . . . . . . . . . . . . .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South Korea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United Kingdom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29"/>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Poland . . . . . . . . . . . . . . . . . . . . . . . . . . . . . . . . . . . . . . . . . . . . . . . . . . . . . . . . . . . . . .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Slovakia . . .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Hungary . . .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Czech Republic . . . . . . . . . . . . . . . . . . . . . . . . . . . . . . . . . . . . . . . . . . . . . . . . . . . . . . .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Thailand . .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41"/>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Rest of World . . . . . .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40"/>
        </w:trPr>
        <w:tc>
          <w:tcPr>
            <w:tcW w:w="694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6"/>
              </w:rPr>
              <w:t xml:space="preserve">Total </w:t>
            </w:r>
            <w:r>
              <w:rPr>
                <w:rFonts w:ascii="Times New Roman" w:cs="Times New Roman" w:eastAsia="Times New Roman" w:hAnsi="Times New Roman"/>
                <w:sz w:val="20"/>
                <w:szCs w:val="20"/>
                <w:color w:val="auto"/>
                <w:w w:val="96"/>
              </w:rPr>
              <w:t>.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1,894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1,654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2,079</w:t>
            </w:r>
          </w:p>
        </w:tc>
      </w:tr>
    </w:tbl>
    <w:p>
      <w:pPr>
        <w:spacing w:after="0" w:line="20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generate the majority of our revenue from the sale of our EyeQ™ SoCs to OEMs primarily through sales to Tier 1 automotive suppliers. EyeQ™ SoC sales represented approximately 91%, 86%, and 89% of our revenue for each of the years ended December 27, 2025, December 28, 2024 and December 30, 2023, respectively.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1880" w:h="15480" w:orient="portrait"/>
          <w:cols w:equalWidth="0" w:num="1">
            <w:col w:w="10800"/>
          </w:cols>
          <w:pgMar w:left="540" w:top="984" w:right="540" w:bottom="0"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Major Customers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Revenue from major customers that amount to 10% or more of total revenue: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060" w:type="dxa"/>
            <w:vAlign w:val="bottom"/>
          </w:tcPr>
          <w:p>
            <w:pPr>
              <w:spacing w:after="0"/>
              <w:rPr>
                <w:sz w:val="13"/>
                <w:szCs w:val="13"/>
                <w:color w:val="auto"/>
              </w:rPr>
            </w:pPr>
          </w:p>
        </w:tc>
        <w:tc>
          <w:tcPr>
            <w:tcW w:w="12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2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Percent of total revenues</w:t>
            </w:r>
          </w:p>
        </w:tc>
        <w:tc>
          <w:tcPr>
            <w:tcW w:w="10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Customer A . . . . . . . . . . . . . . . . . . . . . . . . . . . . . . . . . . . . . . . . . . . . . . . . . . . . . . . . . . .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30 %</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Customer B . . . . . . . . . . . . . . . . . . . . . . . . . . . . . . . . . . . . . . . . . . . . . . . . . . . . . . . . . . .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17 %</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24 %</w:t>
            </w:r>
          </w:p>
        </w:tc>
        <w:tc>
          <w:tcPr>
            <w:tcW w:w="0" w:type="dxa"/>
            <w:vAlign w:val="bottom"/>
          </w:tcPr>
          <w:p>
            <w:pPr>
              <w:spacing w:after="0"/>
              <w:rPr>
                <w:sz w:val="1"/>
                <w:szCs w:val="1"/>
                <w:color w:val="auto"/>
              </w:rPr>
            </w:pPr>
          </w:p>
        </w:tc>
      </w:tr>
      <w:tr>
        <w:trPr>
          <w:trHeight w:val="236"/>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Customer C . . . . . . . . . . . . . . . . . . . . . . . . . . . . . . . . . . . . . . . . . . . . . . . . . . . . . . . . . . .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15 %</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0" w:type="dxa"/>
            <w:vAlign w:val="bottom"/>
          </w:tcPr>
          <w:p>
            <w:pPr>
              <w:spacing w:after="0"/>
              <w:rPr>
                <w:sz w:val="1"/>
                <w:szCs w:val="1"/>
                <w:color w:val="auto"/>
              </w:rPr>
            </w:pPr>
          </w:p>
        </w:tc>
      </w:tr>
      <w:tr>
        <w:trPr>
          <w:trHeight w:val="30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Customer D . . . . . . . . . . . . . . . . . . . . . . . . . . . . . . . . . . . . . . . . . . . . . . . . . . . . . . . . . . .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 xml:space="preserve">14 </w:t>
            </w: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Customer E . . . . . . . . . . . . . . .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95885</wp:posOffset>
                </wp:positionV>
                <wp:extent cx="171386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7.55pt" to="134.9pt,7.55pt" o:allowincell="f" strokecolor="#000000" strokeweight="1.0199pt"/>
            </w:pict>
          </mc:Fallback>
        </mc:AlternateConten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*Less than 10%</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Accounts receivable balances of major customers that amount to 10% or more of total accounts receivable balance: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146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020" w:type="dxa"/>
            <w:vAlign w:val="bottom"/>
          </w:tcPr>
          <w:p>
            <w:pPr>
              <w:spacing w:after="0"/>
              <w:rPr>
                <w:sz w:val="14"/>
                <w:szCs w:val="14"/>
                <w:color w:val="auto"/>
              </w:rPr>
            </w:pPr>
          </w:p>
        </w:tc>
        <w:tc>
          <w:tcPr>
            <w:tcW w:w="1460" w:type="dxa"/>
            <w:vAlign w:val="bottom"/>
            <w:gridSpan w:val="3"/>
          </w:tcPr>
          <w:p>
            <w:pPr>
              <w:ind w:left="100"/>
              <w:spacing w:after="0" w:line="167" w:lineRule="exact"/>
              <w:rPr>
                <w:sz w:val="20"/>
                <w:szCs w:val="20"/>
                <w:color w:val="auto"/>
              </w:rPr>
            </w:pPr>
            <w:r>
              <w:rPr>
                <w:rFonts w:ascii="Times New Roman" w:cs="Times New Roman" w:eastAsia="Times New Roman" w:hAnsi="Times New Roman"/>
                <w:sz w:val="16"/>
                <w:szCs w:val="16"/>
                <w:b w:val="1"/>
                <w:bCs w:val="1"/>
                <w:color w:val="auto"/>
              </w:rPr>
              <w:t>December 27,</w:t>
            </w:r>
          </w:p>
        </w:tc>
        <w:tc>
          <w:tcPr>
            <w:tcW w:w="108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Percent of total accounts receivables balance</w:t>
            </w:r>
          </w:p>
        </w:tc>
        <w:tc>
          <w:tcPr>
            <w:tcW w:w="11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0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20"/>
                <w:szCs w:val="20"/>
                <w:color w:val="auto"/>
              </w:rPr>
              <w:t>Customer A . . . . . . . . . . . . . . . . . . . . . . . . . . . . . . . . . . . . . . . . . . . . . . . . . . . . . . . . . . . . . . . . . . . . . .</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39 %</w:t>
            </w:r>
          </w:p>
        </w:tc>
        <w:tc>
          <w:tcPr>
            <w:tcW w:w="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20"/>
                <w:szCs w:val="20"/>
                <w:color w:val="auto"/>
              </w:rPr>
              <w:t>Customer B . . . . . . . . . . . . . . . . . . . . . . . . . . . . . . . . . . . . . . . . . . . . . . . . . . . . . . . . . . . . . . . . . . . . . .</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0" w:type="dxa"/>
            <w:vAlign w:val="bottom"/>
          </w:tcPr>
          <w:p>
            <w:pPr>
              <w:spacing w:after="0"/>
              <w:rPr>
                <w:sz w:val="1"/>
                <w:szCs w:val="1"/>
                <w:color w:val="auto"/>
              </w:rPr>
            </w:pPr>
          </w:p>
        </w:tc>
      </w:tr>
      <w:tr>
        <w:trPr>
          <w:trHeight w:val="268"/>
        </w:trPr>
        <w:tc>
          <w:tcPr>
            <w:tcW w:w="8020" w:type="dxa"/>
            <w:vAlign w:val="bottom"/>
          </w:tcPr>
          <w:p>
            <w:pPr>
              <w:spacing w:after="0"/>
              <w:rPr>
                <w:sz w:val="20"/>
                <w:szCs w:val="20"/>
                <w:color w:val="auto"/>
              </w:rPr>
            </w:pPr>
            <w:r>
              <w:rPr>
                <w:rFonts w:ascii="Times New Roman" w:cs="Times New Roman" w:eastAsia="Times New Roman" w:hAnsi="Times New Roman"/>
                <w:sz w:val="20"/>
                <w:szCs w:val="20"/>
                <w:color w:val="auto"/>
              </w:rPr>
              <w:t>Customer C . . . . . . . . . . . . . . . . . . . . . . . . . . . . . . . . . . . . . . . . . . . . . . . . . . . . . . . . . . . . . . . . . . . . . .</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14 %</w:t>
            </w:r>
          </w:p>
        </w:tc>
        <w:tc>
          <w:tcPr>
            <w:tcW w:w="8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269"/>
        </w:trPr>
        <w:tc>
          <w:tcPr>
            <w:tcW w:w="8020" w:type="dxa"/>
            <w:vAlign w:val="bottom"/>
          </w:tcPr>
          <w:p>
            <w:pPr>
              <w:spacing w:after="0"/>
              <w:rPr>
                <w:sz w:val="20"/>
                <w:szCs w:val="20"/>
                <w:color w:val="auto"/>
              </w:rPr>
            </w:pPr>
            <w:r>
              <w:rPr>
                <w:rFonts w:ascii="Times New Roman" w:cs="Times New Roman" w:eastAsia="Times New Roman" w:hAnsi="Times New Roman"/>
                <w:sz w:val="20"/>
                <w:szCs w:val="20"/>
                <w:color w:val="auto"/>
              </w:rPr>
              <w:t>Customer D . . . . . . . . . . . . . . . . . . . . . . . . . . . . . . . . . . . . . . . . . . . . . . . . . . . . . . . . . . . . . . . . . . . . . .</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13 %</w:t>
            </w:r>
          </w:p>
        </w:tc>
        <w:tc>
          <w:tcPr>
            <w:tcW w:w="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95250</wp:posOffset>
                </wp:positionV>
                <wp:extent cx="171386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7.5pt" to="134.9pt,7.5pt" o:allowincell="f" strokecolor="#000000" strokeweight="1.0199pt"/>
            </w:pict>
          </mc:Fallback>
        </mc:AlternateConten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*Less than 10%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INVESTMENTS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Debt Investments</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Debt investments include U.S. government bonds and money market funds. U.S. government bonds are for original maturities of up to six months and are classified as available for sale and measured at fair value with the related unrealized gains and losses included in other comprehensive income (loss), net. Money market funds, measured at fair value, consist of institutional investors money market funds and are readily redeemable to cash.</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tables summarize the Company’s marketable debt securities: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27, 2025</w:t>
            </w:r>
          </w:p>
        </w:tc>
        <w:tc>
          <w:tcPr>
            <w:tcW w:w="1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60" w:type="dxa"/>
            <w:vAlign w:val="bottom"/>
          </w:tcPr>
          <w:p>
            <w:pPr>
              <w:spacing w:after="0"/>
              <w:rPr>
                <w:sz w:val="15"/>
                <w:szCs w:val="15"/>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Unrealized gain</w:t>
            </w:r>
          </w:p>
        </w:tc>
        <w:tc>
          <w:tcPr>
            <w:tcW w:w="160" w:type="dxa"/>
            <w:vAlign w:val="bottom"/>
          </w:tcPr>
          <w:p>
            <w:pPr>
              <w:spacing w:after="0"/>
              <w:rPr>
                <w:sz w:val="15"/>
                <w:szCs w:val="15"/>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Unrealized loss</w:t>
            </w:r>
          </w:p>
        </w:tc>
        <w:tc>
          <w:tcPr>
            <w:tcW w:w="16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580"/>
              <w:spacing w:after="0" w:line="173" w:lineRule="exact"/>
              <w:rPr>
                <w:sz w:val="20"/>
                <w:szCs w:val="20"/>
                <w:color w:val="auto"/>
              </w:rPr>
            </w:pPr>
            <w:r>
              <w:rPr>
                <w:rFonts w:ascii="Times New Roman" w:cs="Times New Roman" w:eastAsia="Times New Roman" w:hAnsi="Times New Roman"/>
                <w:sz w:val="16"/>
                <w:szCs w:val="16"/>
                <w:b w:val="1"/>
                <w:bCs w:val="1"/>
                <w:color w:val="auto"/>
              </w:rPr>
              <w:t>Reported as</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government bonds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Cash and cash equivalents</w:t>
            </w:r>
          </w:p>
        </w:tc>
        <w:tc>
          <w:tcPr>
            <w:tcW w:w="1560" w:type="dxa"/>
            <w:vAlign w:val="bottom"/>
            <w:gridSpan w:val="3"/>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w w:val="98"/>
              </w:rPr>
              <w:t>Other current assets</w:t>
            </w:r>
          </w:p>
        </w:tc>
        <w:tc>
          <w:tcPr>
            <w:tcW w:w="0" w:type="dxa"/>
            <w:vAlign w:val="bottom"/>
          </w:tcPr>
          <w:p>
            <w:pPr>
              <w:spacing w:after="0"/>
              <w:rPr>
                <w:sz w:val="1"/>
                <w:szCs w:val="1"/>
                <w:color w:val="auto"/>
              </w:rPr>
            </w:pPr>
          </w:p>
        </w:tc>
      </w:tr>
      <w:tr>
        <w:trPr>
          <w:trHeight w:val="199"/>
        </w:trPr>
        <w:tc>
          <w:tcPr>
            <w:tcW w:w="2880" w:type="dxa"/>
            <w:vAlign w:val="bottom"/>
            <w:vMerge w:val="continue"/>
          </w:tcPr>
          <w:p>
            <w:pPr>
              <w:jc w:val="right"/>
              <w:ind w:right="184"/>
              <w:spacing w:after="0" w:line="177" w:lineRule="exact"/>
              <w:rPr>
                <w:sz w:val="20"/>
                <w:szCs w:val="20"/>
                <w:color w:val="auto"/>
              </w:rPr>
            </w:pPr>
            <w:r>
              <w:rPr>
                <w:rFonts w:ascii="Times New Roman" w:cs="Times New Roman" w:eastAsia="Times New Roman" w:hAnsi="Times New Roman"/>
                <w:sz w:val="20"/>
                <w:szCs w:val="20"/>
                <w:color w:val="auto"/>
              </w:rPr>
              <w:t>. . . . . . .</w:t>
            </w:r>
          </w:p>
        </w:tc>
        <w:tc>
          <w:tcPr>
            <w:tcW w:w="32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55</w:t>
            </w:r>
          </w:p>
        </w:tc>
        <w:tc>
          <w:tcPr>
            <w:tcW w:w="160" w:type="dxa"/>
            <w:vAlign w:val="bottom"/>
          </w:tcPr>
          <w:p>
            <w:pPr>
              <w:spacing w:after="0"/>
              <w:rPr>
                <w:sz w:val="17"/>
                <w:szCs w:val="17"/>
                <w:color w:val="auto"/>
              </w:rPr>
            </w:pPr>
          </w:p>
        </w:tc>
        <w:tc>
          <w:tcPr>
            <w:tcW w:w="4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tcBorders>
          </w:tcPr>
          <w:p>
            <w:pPr>
              <w:ind w:left="360"/>
              <w:spacing w:after="0" w:line="19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tcBorders>
          </w:tcPr>
          <w:p>
            <w:pPr>
              <w:ind w:left="340"/>
              <w:spacing w:after="0" w:line="19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55</w:t>
            </w:r>
          </w:p>
        </w:tc>
        <w:tc>
          <w:tcPr>
            <w:tcW w:w="160" w:type="dxa"/>
            <w:vAlign w:val="bottom"/>
          </w:tcPr>
          <w:p>
            <w:pPr>
              <w:spacing w:after="0"/>
              <w:rPr>
                <w:sz w:val="17"/>
                <w:szCs w:val="17"/>
                <w:color w:val="auto"/>
              </w:rPr>
            </w:pPr>
          </w:p>
        </w:tc>
        <w:tc>
          <w:tcPr>
            <w:tcW w:w="68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64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41"/>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 . . . . . . . . . .</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1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w:t>
            </w: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6"/>
        </w:trPr>
        <w:tc>
          <w:tcPr>
            <w:tcW w:w="288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w w:val="98"/>
              </w:rPr>
              <w:t>. . . . . . . . . . . . . . . . . . . . . .</w:t>
            </w:r>
            <w:r>
              <w:rPr>
                <w:rFonts w:ascii="Times New Roman" w:cs="Times New Roman" w:eastAsia="Times New Roman" w:hAnsi="Times New Roman"/>
                <w:sz w:val="20"/>
                <w:szCs w:val="20"/>
                <w:b w:val="1"/>
                <w:bCs w:val="1"/>
                <w:color w:val="auto"/>
                <w:w w:val="98"/>
              </w:rPr>
              <w:t>Total</w:t>
            </w:r>
          </w:p>
        </w:tc>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1,071</w:t>
            </w:r>
          </w:p>
        </w:tc>
        <w:tc>
          <w:tcPr>
            <w:tcW w:w="160" w:type="dxa"/>
            <w:vAlign w:val="bottom"/>
          </w:tcPr>
          <w:p>
            <w:pPr>
              <w:spacing w:after="0"/>
              <w:rPr>
                <w:sz w:val="23"/>
                <w:szCs w:val="2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1,071</w:t>
            </w:r>
          </w:p>
        </w:tc>
        <w:tc>
          <w:tcPr>
            <w:tcW w:w="16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1,016</w:t>
            </w:r>
          </w:p>
        </w:tc>
        <w:tc>
          <w:tcPr>
            <w:tcW w:w="160" w:type="dxa"/>
            <w:vAlign w:val="bottom"/>
          </w:tcPr>
          <w:p>
            <w:pPr>
              <w:spacing w:after="0"/>
              <w:rPr>
                <w:sz w:val="23"/>
                <w:szCs w:val="2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w:t>
            </w:r>
          </w:p>
        </w:tc>
        <w:tc>
          <w:tcPr>
            <w:tcW w:w="0" w:type="dxa"/>
            <w:vAlign w:val="bottom"/>
          </w:tcPr>
          <w:p>
            <w:pPr>
              <w:spacing w:after="0"/>
              <w:rPr>
                <w:sz w:val="1"/>
                <w:szCs w:val="1"/>
                <w:color w:val="auto"/>
              </w:rPr>
            </w:pPr>
          </w:p>
        </w:tc>
      </w:tr>
      <w:tr>
        <w:trPr>
          <w:trHeight w:val="388"/>
        </w:trPr>
        <w:tc>
          <w:tcPr>
            <w:tcW w:w="2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60" w:type="dxa"/>
            <w:vAlign w:val="bottom"/>
          </w:tcPr>
          <w:p>
            <w:pPr>
              <w:spacing w:after="0"/>
              <w:rPr>
                <w:sz w:val="15"/>
                <w:szCs w:val="15"/>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Unrealized gain</w:t>
            </w:r>
          </w:p>
        </w:tc>
        <w:tc>
          <w:tcPr>
            <w:tcW w:w="160" w:type="dxa"/>
            <w:vAlign w:val="bottom"/>
          </w:tcPr>
          <w:p>
            <w:pPr>
              <w:spacing w:after="0"/>
              <w:rPr>
                <w:sz w:val="15"/>
                <w:szCs w:val="15"/>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Unrealized loss</w:t>
            </w:r>
          </w:p>
        </w:tc>
        <w:tc>
          <w:tcPr>
            <w:tcW w:w="16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580"/>
              <w:spacing w:after="0" w:line="175" w:lineRule="exact"/>
              <w:rPr>
                <w:sz w:val="20"/>
                <w:szCs w:val="20"/>
                <w:color w:val="auto"/>
              </w:rPr>
            </w:pPr>
            <w:r>
              <w:rPr>
                <w:rFonts w:ascii="Times New Roman" w:cs="Times New Roman" w:eastAsia="Times New Roman" w:hAnsi="Times New Roman"/>
                <w:sz w:val="16"/>
                <w:szCs w:val="16"/>
                <w:b w:val="1"/>
                <w:bCs w:val="1"/>
                <w:color w:val="auto"/>
              </w:rPr>
              <w:t>Reported as</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government bonds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Cash and cash equivalents</w:t>
            </w:r>
          </w:p>
        </w:tc>
        <w:tc>
          <w:tcPr>
            <w:tcW w:w="1560" w:type="dxa"/>
            <w:vAlign w:val="bottom"/>
            <w:gridSpan w:val="3"/>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w w:val="98"/>
              </w:rPr>
              <w:t>Other current assets</w:t>
            </w:r>
          </w:p>
        </w:tc>
        <w:tc>
          <w:tcPr>
            <w:tcW w:w="0" w:type="dxa"/>
            <w:vAlign w:val="bottom"/>
          </w:tcPr>
          <w:p>
            <w:pPr>
              <w:spacing w:after="0"/>
              <w:rPr>
                <w:sz w:val="1"/>
                <w:szCs w:val="1"/>
                <w:color w:val="auto"/>
              </w:rPr>
            </w:pPr>
          </w:p>
        </w:tc>
      </w:tr>
      <w:tr>
        <w:trPr>
          <w:trHeight w:val="198"/>
        </w:trPr>
        <w:tc>
          <w:tcPr>
            <w:tcW w:w="2880" w:type="dxa"/>
            <w:vAlign w:val="bottom"/>
            <w:vMerge w:val="continue"/>
          </w:tcPr>
          <w:p>
            <w:pPr>
              <w:jc w:val="right"/>
              <w:ind w:right="184"/>
              <w:spacing w:after="0" w:line="177" w:lineRule="exact"/>
              <w:rPr>
                <w:sz w:val="20"/>
                <w:szCs w:val="20"/>
                <w:color w:val="auto"/>
              </w:rPr>
            </w:pPr>
            <w:r>
              <w:rPr>
                <w:rFonts w:ascii="Times New Roman" w:cs="Times New Roman" w:eastAsia="Times New Roman" w:hAnsi="Times New Roman"/>
                <w:sz w:val="20"/>
                <w:szCs w:val="20"/>
                <w:color w:val="auto"/>
              </w:rPr>
              <w:t>. . . . . . .</w:t>
            </w:r>
          </w:p>
        </w:tc>
        <w:tc>
          <w:tcPr>
            <w:tcW w:w="3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33</w:t>
            </w:r>
          </w:p>
        </w:tc>
        <w:tc>
          <w:tcPr>
            <w:tcW w:w="160" w:type="dxa"/>
            <w:vAlign w:val="bottom"/>
          </w:tcPr>
          <w:p>
            <w:pPr>
              <w:spacing w:after="0"/>
              <w:rPr>
                <w:sz w:val="17"/>
                <w:szCs w:val="17"/>
                <w:color w:val="auto"/>
              </w:rPr>
            </w:pPr>
          </w:p>
        </w:tc>
        <w:tc>
          <w:tcPr>
            <w:tcW w:w="4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tcBorders>
          </w:tcPr>
          <w:p>
            <w:pPr>
              <w:ind w:left="360"/>
              <w:spacing w:after="0" w:line="19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tcBorders>
          </w:tcPr>
          <w:p>
            <w:pPr>
              <w:ind w:left="340"/>
              <w:spacing w:after="0" w:line="19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33</w:t>
            </w:r>
          </w:p>
        </w:tc>
        <w:tc>
          <w:tcPr>
            <w:tcW w:w="160" w:type="dxa"/>
            <w:vAlign w:val="bottom"/>
          </w:tcPr>
          <w:p>
            <w:pPr>
              <w:spacing w:after="0"/>
              <w:rPr>
                <w:sz w:val="17"/>
                <w:szCs w:val="17"/>
                <w:color w:val="auto"/>
              </w:rPr>
            </w:pPr>
          </w:p>
        </w:tc>
        <w:tc>
          <w:tcPr>
            <w:tcW w:w="6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6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61"/>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 . . . . . . . . . .</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w:t>
            </w:r>
          </w:p>
        </w:tc>
        <w:tc>
          <w:tcPr>
            <w:tcW w:w="1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w:t>
            </w:r>
          </w:p>
        </w:tc>
        <w:tc>
          <w:tcPr>
            <w:tcW w:w="16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w:t>
            </w:r>
          </w:p>
        </w:tc>
        <w:tc>
          <w:tcPr>
            <w:tcW w:w="16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2880" w:type="dxa"/>
            <w:vAlign w:val="bottom"/>
          </w:tcPr>
          <w:p>
            <w:pPr>
              <w:jc w:val="right"/>
              <w:ind w:right="184"/>
              <w:spacing w:after="0"/>
              <w:rPr>
                <w:sz w:val="20"/>
                <w:szCs w:val="20"/>
                <w:color w:val="auto"/>
              </w:rPr>
            </w:pPr>
            <w:r>
              <w:rPr>
                <w:rFonts w:ascii="Times New Roman" w:cs="Times New Roman" w:eastAsia="Times New Roman" w:hAnsi="Times New Roman"/>
                <w:sz w:val="20"/>
                <w:szCs w:val="20"/>
                <w:color w:val="auto"/>
                <w:w w:val="98"/>
              </w:rPr>
              <w:t>. . . . . . . . . . . . . . . . . . . . . .</w:t>
            </w:r>
            <w:r>
              <w:rPr>
                <w:rFonts w:ascii="Times New Roman" w:cs="Times New Roman" w:eastAsia="Times New Roman" w:hAnsi="Times New Roman"/>
                <w:sz w:val="20"/>
                <w:szCs w:val="20"/>
                <w:b w:val="1"/>
                <w:bCs w:val="1"/>
                <w:color w:val="auto"/>
                <w:w w:val="98"/>
              </w:rPr>
              <w:t>Total</w:t>
            </w:r>
          </w:p>
        </w:tc>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984</w:t>
            </w:r>
          </w:p>
        </w:tc>
        <w:tc>
          <w:tcPr>
            <w:tcW w:w="160" w:type="dxa"/>
            <w:vAlign w:val="bottom"/>
          </w:tcPr>
          <w:p>
            <w:pPr>
              <w:spacing w:after="0"/>
              <w:rPr>
                <w:sz w:val="22"/>
                <w:szCs w:val="2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2"/>
                <w:szCs w:val="22"/>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984</w:t>
            </w:r>
          </w:p>
        </w:tc>
        <w:tc>
          <w:tcPr>
            <w:tcW w:w="16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951</w:t>
            </w:r>
          </w:p>
        </w:tc>
        <w:tc>
          <w:tcPr>
            <w:tcW w:w="160" w:type="dxa"/>
            <w:vAlign w:val="bottom"/>
          </w:tcPr>
          <w:p>
            <w:pPr>
              <w:spacing w:after="0"/>
              <w:rPr>
                <w:sz w:val="22"/>
                <w:szCs w:val="22"/>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ectPr>
          <w:pgSz w:w="11880" w:h="15480" w:orient="portrait"/>
          <w:cols w:equalWidth="0" w:num="1">
            <w:col w:w="10800"/>
          </w:cols>
          <w:pgMar w:left="540" w:top="984" w:right="540" w:bottom="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Equity Investments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Marketable equity securities</w:t>
      </w:r>
    </w:p>
    <w:p>
      <w:pPr>
        <w:spacing w:after="0" w:line="17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color w:val="auto"/>
        </w:rPr>
        <w:t>During the second quarter of 2024, we purchased marketable equity investments in the amount of $10 million, which were classified within other current assets and measured at fair value. During the fourth quarter of 2024, we sold all of the marketable equity investments. Realized gains recorded in financial income (expense), net for the year ended December 28, 2024 amounted to $3 million.</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Non-marketable equity securities</w:t>
      </w:r>
    </w:p>
    <w:p>
      <w:pPr>
        <w:spacing w:after="0" w:line="17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2024, the Company entered into a series of investment agreements with a privately held company, pursuant to which the Company agreed to purchase up to $25 million of preferred stock. In October 2024, the Company purchased $10 million of preferred stock in the privately held company. The Company no longer has an obligation to purchase additional preferred stock pursuant to the terms of the applicable preferred stock investment agreements.</w:t>
      </w:r>
    </w:p>
    <w:p>
      <w:pPr>
        <w:spacing w:after="0" w:line="13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In July 2025, the privately held company entered into an agreement and plan of merger, pursuant to which a buyer agreed to acquire the privately held company and merge the foregoing with a wholly-owned subsidiary of the buyer, subject to satisfaction by the parties of certain closing conditions. Upon closing of the merger in August 2025, the Company received consideration in the amount of $10.3 million for its shares of preferred stock. In February 2026, the Company received additional consideration in the amount of $0.2 million, following the release of additional amounts that were held in escrow pursuant to the terms of the agreement and plan of merger. In connection with the agreement and plan of merger, the Company entered into an amendment of certain preferred stock investment agreements pursuant to which the Company had the option but not the obligation, to purchase additional preferred stock prior to the closing of the agreement and plan of merger. With the closing of the merger, the Company no longer has this option.</w:t>
      </w:r>
    </w:p>
    <w:p>
      <w:pPr>
        <w:spacing w:after="0" w:line="127"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investment did not provide the Company the ability to control or have significant influence over the operations of the privately held company. We have accounted for the investment using the measurement alternative because the securities are not publicly traded and do not have a readily determinable fair value. Under the measurement alternative, the equity investment is initially recorded at its cost, but the carrying value may be adjusted through earnings upon an impairment or when there is an observable price change involving the same or a similar investment with the same issuer. Upon closing of the merger and the sale of our investment, the Company recognized financing income of $0.3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CONTINGENCIES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Class Action</w:t>
      </w:r>
    </w:p>
    <w:p>
      <w:pPr>
        <w:spacing w:after="0" w:line="177"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1:24 - CV - 01390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On August 15, 2025, Mobileye and the named defendants filed their opposition brief, and on September 5, 2025, the appellants filed their reply brief in further support of the appeal. Oral argument was held on December 4, 2025. On December 16, 2025, the Second Circuit issued a summary order affirming the Court’s dismissal of the second amended complaint in full. The lead plaintiff has ninety days from the</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1880" w:h="15480" w:orient="portrait"/>
          <w:cols w:equalWidth="0" w:num="1">
            <w:col w:w="10800"/>
          </w:cols>
          <w:pgMar w:left="540" w:top="984" w:right="540" w:bottom="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date of the summary order to file a writ of certiorari with the U.S. Supreme Court. We intend to defend the matter vigorously. No provision was recorded in the consolidated financial statements as of December 27, 2025.</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Derivative Action - U.S. District Court for the Southern District of New York</w:t>
      </w:r>
    </w:p>
    <w:p>
      <w:pPr>
        <w:spacing w:after="0" w:line="236"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pacing w:after="0" w:line="20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 2024, this derivative action was consolidated with the derivative action originally filed on April 12, 2024 and the consolidated derivative action was stayed by the court pending resolution of the anticipated motion to dismiss in the consolidated securities action. Following dismissal of the consolidated securities action, the Court ordered the parties to jointly propose a schedule for further proceedings by April 24, 2025. On April 25, 2025, the Court entered a stipulation and order of voluntary dismissal without prejudice. In the event the plaintiffs refile this lawsuit, we intend to continue defending the matter vigorously. No provision was recorded in the consolidated financial statements as of December 27, 2025.</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Derivative Action - State of Delaware</w:t>
      </w:r>
    </w:p>
    <w:p>
      <w:pPr>
        <w:spacing w:after="0" w:line="23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On May 6, 2025, a derivative lawsuit captioned Levitan et al. vs. Shashua et al. was filed in the State of Delaware’s Court of Chancery against certain current and former members of the Mobileye Board of Directors and against Intel Corporation, in its capacity as Mobileye’s controlling shareholder. Mobileye was also named as a nominal defendant. The complaint principally asserts claims for breach of fiduciary duty against the named director defendants and breach of fiduciary duty and unjust enrichment against Intel, alleging that the named director defendants and Intel should not have authorized Mobileye’s June 5, 2023 secondary offering given their purported knowledge of the alleged challenges facing the Company concerning customer demand and the buildup of excess inventory by Mobileye’s Tier 1 customers. The complaint seeks unspecified damages and other relief. On September 8, 2025, Mobileye, Intel Corporation and the named director defendants filed a motion to dismiss the complaint. Plaintiffs thereafter informed defendants that, rather than opposing the motion, they intended to file an amended complaint. The parties stipulated and the court ordered that the plaintiffs’ amended complaint was due on January 23, 2026. On January 28, 2026, the Court entered a stipulation and order of voluntary dismissal with prejudice. No provision was recorded in the consolidated financial statements as of December 27, 2025.</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134</w:t>
      </w:r>
    </w:p>
    <w:p>
      <w:pPr>
        <w:sectPr>
          <w:pgSz w:w="11880" w:h="15480" w:orient="portrait"/>
          <w:cols w:equalWidth="0" w:num="1">
            <w:col w:w="10800"/>
          </w:cols>
          <w:pgMar w:left="540" w:top="984" w:right="540" w:bottom="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Patent Litigation</w:t>
      </w:r>
    </w:p>
    <w:p>
      <w:pPr>
        <w:spacing w:after="0" w:line="236"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On November 4, 2024, Mobileye filed a motion to dismiss asserting improper venue, which the court dismissed without prejudice to refile in view of an amended complaint filed by Facet, adding Mobileye Vision Technologies Ltd. and Mobileye Inc., each wholly-owned indirect subsidiaries of Mobileye Global Inc., as additional defendants. On November 7, 2024, Mobileye Vision Technologies Ltd. and Mobileye Inc., sued Facet Technology Corp. in the U.S. District Court of Minnesota seeking a declaratory judgment that the Mobileye plaintiffs do not infringe either patent. On March 5, 2025, the Patent Trial and Appeal Board (“PTAB”) of the US Patent and Trademark Office instituted two Inter Parte Review (IPR) proceedings filed by Mobileye Vision Technologies Ltd. against the patents asserted by Facet. On March 15, 2025, the parties agreed and the relevant courts entered orders staying all litigation pending the outcome of the both IPRs. On January 23, 2026, the PTAB issued final written decisions in both IPRs, finding some claims unpatentable and permitting some claims to survive. For the claims asserted against Mobileye in district court, the PTAB ruled in Mobileye’s favor on all claims except a single claim of one patent. Both parties have until February 23, 2026 to request Director Review. If no request for Director Review is filed, the parties have until March 27, 2026 to file a notice of appeal with the Court of Appeals for the Federal Circuit. We intend to defend the matter vigorously. No provision was recorded in the consolidated financial statements as of December 27,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SUBSEQUENT EVENTS</w:t>
      </w: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Share-based compensation</w:t>
      </w:r>
    </w:p>
    <w:p>
      <w:pPr>
        <w:spacing w:after="0" w:line="236"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January 2026, the Company’s Chief Executive Officer approved, pursuant to the authority delegated by the compensation committee, the issuance of restricted stock units to be issued under our 2022 Plan. The total aggregate fair value of RSUs granted was $15.0 million, which constituted 1,299 thousand RSUs, which will vest over a service period of three years.</w:t>
      </w:r>
    </w:p>
    <w:p>
      <w:pPr>
        <w:spacing w:after="0" w:line="186"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i w:val="1"/>
          <w:iCs w:val="1"/>
          <w:color w:val="auto"/>
        </w:rPr>
        <w:t>Share Purchase Agreement signed between Mobileye Global and Mobileye Vision for the acquisition of 100% of Mentee Robotics shares</w:t>
      </w:r>
    </w:p>
    <w:p>
      <w:pPr>
        <w:spacing w:after="0" w:line="165"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On February 3, 2026, the Company and Mobileye Vision Technologies Ltd. (a wholly-owned indirect subsidiary of the Company) acquired 100% of the issued and outstanding stock of Mentee Robotics, pursuant to the Share Purchase Agreement.</w:t>
      </w:r>
    </w:p>
    <w:p>
      <w:pPr>
        <w:spacing w:after="0" w:line="164"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Acquisition was approved by the Board, acting on the recommendation of a strategic transaction committee consisting of four disinterested directors (two of whom are independent). The Audit Committee of the Board also approved the Acquisition pursuant to the Company’s Related Persons Transaction Policy. Intel, as the sole beneficial holder of the Company’s issued and outstanding Class B common stock, also approved the Acquisition pursuant to the Company’s Amended and Restated Certificate of Incorporation. Prof. Shashua recused himself from the Board’s consideration and approval of the Acquisition. Prof. Amnon Shashua, President and CEO of the Company, is the Chairman, Co-Founder and a significant shareholder of Mentee Robotics, and Prof. Shai Shalev-Shwartz, Chief Technology Officer of the Company, is Co-Founder and a significant shareholder of Mentee Robotics (Prof. Shalev-Shwartz, together with Prof. Shashua and Prof. Lior Wolf, the Chief Executive Officer and a Co-Founder of Mentee Robotics, the “Mentee Founders”). In addition, Prof. Amnon Shashua’s son and son-in-law, are both employees of Mentee Robotics and each held vested and unvested options issued pursuant to Mentee Robotics’s employee incentive plan and therefore receive some consideration pursuant to the terms of the Share Purchase Agreement.</w:t>
      </w:r>
    </w:p>
    <w:p>
      <w:pPr>
        <w:spacing w:after="0" w:line="19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Share Purchase Agreement provided for an aggregate purchase price of $900 million, which consisted of (i) approximately $612 million in cash (subject to certain adjustments,) and (ii) 26,279,824 shares of Class A common stock of the Company. The entirety of such Class A common stock was allocated to the Mentee Founders (the “Aggregate Stock Consideration”). 10% of the Aggregate Stock Consideration is subject to a six month lock-up period pursuant to a Lock-Up Agreement. The remaining 90% of the Aggregate Stock Consideration was deposited with a deferred consideration trustee and will be released in equal portions twenty-four and forty-eight months after the closing date on February 3, 2026, subject to continued employment, or under certain circumstances affiliation, with the Company and its subsidiaries. Prof. Amnon Shashua received 37.83% of the total consideration, valued at approximately $341 million, to be paid evenly in cash and Class A Stock, and Prof. Shai Shalev-Shwartz received 13.07% of the total consideration, valued at approximately $118 million, to be paid evenly in cash and the Company’s Class A common stock.</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135</w:t>
      </w:r>
    </w:p>
    <w:p>
      <w:pPr>
        <w:sectPr>
          <w:pgSz w:w="11880" w:h="15480" w:orient="portrait"/>
          <w:cols w:equalWidth="0" w:num="1">
            <w:col w:w="10800"/>
          </w:cols>
          <w:pgMar w:left="540" w:top="984" w:right="540" w:bottom="0"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At the closing, $95 million of the purchase price was deposited with an escrow agent (provided that with respect to Mentee Founders, 50% of their pro rata portion of the escrow was deposited in the form of Class A common stock) to secure the post-closing purchase price adjustments and certain indemnification obligations of the shareholders of Mentee Robotics.</w:t>
      </w:r>
    </w:p>
    <w:p>
      <w:pPr>
        <w:spacing w:after="0" w:line="186"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Pursuant to the Share Purchase Agreement, (i) all vested options to acquire shares of Mentee Robotics (each option, a “Mentee Option”) and 20% of unvested Mentee Options were cancelled and converted into the right to receive a portion of the cash consideration based on the intrinsic value of such Mentee Options at the purchase price and (ii) all remaining unvested Mentee Options were cancelled and converted into the right to receive a number of unvested RSUs of the Company calculated based on the volume weighted average of the closing sale prices for the Company’s Class A common stock over the thirty (30) Trading Days ending immediately prior to February 3, 2026 and with a value equal to the intrinsic value of such Mentee Options at the purchase price.</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Share Purchase Agreement contains customary representations, warranties and covenants of the Company, Mobileye Vision Technologies Ltd. and Mentee Robotics, certain of which (except for the representations and warranties of the Company) shall survive the closing of the Acquisition. The shareholders of Mentee Robotics have agreed to indemnify the Company and Mobileye Vision Technologies Ltd. for certain breaches of representations, warranties and covenants.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136</w:t>
      </w:r>
    </w:p>
    <w:p>
      <w:pPr>
        <w:sectPr>
          <w:pgSz w:w="11880" w:h="15480" w:orient="portrait"/>
          <w:cols w:equalWidth="0" w:num="1">
            <w:col w:w="10800"/>
          </w:cols>
          <w:pgMar w:left="540" w:top="984" w:right="54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23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There were no changes in the Company’s internal control over financial reporting that occurred during the quarter ended December 27, 2025 that have materially affected, or are reasonably likely to materially affect, our internal control over financial reporting.</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Limitations on the Effectiveness of Controls</w:t>
      </w:r>
    </w:p>
    <w:p>
      <w:pPr>
        <w:spacing w:after="0" w:line="23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Our disclosure controls and procedures and internal control over financial reporting are designed to provide reasonable assurance of achieving their objectives as specified above. Because of its inherent limitations, disclosure controls and procedures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conceived and operated, can provide only reasonable, not absolute, assurance that the objectives of the control system will be attained. Further, no evaluation of controls can provide absolute assurance that misstatements due to error or fraud will not occur or that all control issues and instances of fraud, if any, within the Company have been detected.</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Management assessed our internal control over financial reporting as of December 27, 2025.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Based on this assessment, management has concluded that our internal control over financial reporting was effective as of December 27, 2025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137</w:t>
      </w:r>
    </w:p>
    <w:p>
      <w:pPr>
        <w:sectPr>
          <w:pgSz w:w="11880" w:h="15480" w:orient="portrait"/>
          <w:cols w:equalWidth="0" w:num="1">
            <w:col w:w="10800"/>
          </w:cols>
          <w:pgMar w:left="540" w:top="1345" w:right="540" w:bottom="0" w:gutter="0" w:footer="0" w:header="0"/>
          <w:type w:val="continuous"/>
        </w:sectPr>
      </w:pPr>
    </w:p>
    <w:bookmarkStart w:id="141" w:name="page142"/>
    <w:bookmarkEnd w:id="141"/>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December 27, 2025 has been audited by Kesselman &amp; Kesselman, Certified Public Accountants (Isr.), a member firm of PricewaterhouseCoopers International Limited, an independent registered public accounting firm, as stated in their report which appears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During the three months ended December 27, 2025, none of our directors or executive officers adopted or terminated any contract, instruction or written plan for the purchase or sale of Mobileye securities that was intended to satisfy the affirmative defense conditions of Rule 10b5-1(c) or any “non-Rule 10b5-1” trading arrangement. Further, during the three months ended December 27, 2025, the Company did not adopt or terminate any contract, instruction or written plan for the purchase or sale of Mobileye securities that was intended to satisfy the affirmative defense conditions of Rule 10b5-1(c) or any “non-Rule 10b5-1 trading arrangement.”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ectPr>
          <w:pgSz w:w="11880" w:h="15480" w:orient="portrait"/>
          <w:cols w:equalWidth="0" w:num="1">
            <w:col w:w="10800"/>
          </w:cols>
          <w:pgMar w:left="540" w:top="1347" w:right="540" w:bottom="0" w:gutter="0" w:footer="0" w:header="0"/>
          <w:type w:val="continuous"/>
        </w:sectPr>
      </w:pPr>
    </w:p>
    <w:bookmarkStart w:id="142" w:name="page143"/>
    <w:bookmarkEnd w:id="142"/>
    <w:p>
      <w:pPr>
        <w:jc w:val="right"/>
        <w:ind w:right="50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jc w:val="right"/>
        <w:ind w:right="5140"/>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255"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2026 Proxy Statement, which we expect to file with the SEC within 120 days after the end of our fiscal year ended December 27, 2025.</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A copy of our insider trading policy is filed as exhibit 19.1 to our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2026 Proxy Statement, which we expect to file with the SEC within 120 days after the end of our fiscal year ended December 27,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2026 Proxy Statement, which we expect to file with the SEC within 120 days after the end of our fiscal year ended December 27,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2026 Proxy Statement, which we expect to file with the SEC within 120 days after the end of our fiscal year ended December 27,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2026 Proxy Statement, which we expect to file with the SEC within 120 days after the end of our fiscal year ended December 27, 2025.</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ectPr>
          <w:pgSz w:w="11880" w:h="15480" w:orient="portrait"/>
          <w:cols w:equalWidth="0" w:num="1">
            <w:col w:w="10800"/>
          </w:cols>
          <w:pgMar w:left="540" w:top="1345" w:right="540" w:bottom="0" w:gutter="0" w:footer="0" w:header="0"/>
          <w:type w:val="continuous"/>
        </w:sectPr>
      </w:pPr>
    </w:p>
    <w:bookmarkStart w:id="143" w:name="page144"/>
    <w:bookmarkEnd w:id="143"/>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The following documents are filed as a part of this report:</w:t>
      </w:r>
    </w:p>
    <w:p>
      <w:pPr>
        <w:spacing w:after="0" w:line="240" w:lineRule="exact"/>
        <w:rPr>
          <w:sz w:val="20"/>
          <w:szCs w:val="20"/>
          <w:color w:val="auto"/>
        </w:rPr>
      </w:pPr>
    </w:p>
    <w:p>
      <w:pPr>
        <w:ind w:left="640" w:hanging="280"/>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 See Part II, Item 8. “Financial Statements and Supplementary Data” of this report.</w:t>
      </w:r>
    </w:p>
    <w:p>
      <w:pPr>
        <w:spacing w:after="0" w:line="239" w:lineRule="exact"/>
        <w:rPr>
          <w:rFonts w:ascii="Times New Roman" w:cs="Times New Roman" w:eastAsia="Times New Roman" w:hAnsi="Times New Roman"/>
          <w:sz w:val="20"/>
          <w:szCs w:val="20"/>
          <w:color w:val="auto"/>
        </w:rPr>
      </w:pPr>
    </w:p>
    <w:p>
      <w:pPr>
        <w:ind w:firstLine="360"/>
        <w:spacing w:after="0" w:line="280" w:lineRule="auto"/>
        <w:tabs>
          <w:tab w:leader="none" w:pos="64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 All financial statement schedules are omitted because they are not applicable or the required information is shown in the financial statements or the notes thereto.</w:t>
      </w:r>
    </w:p>
    <w:p>
      <w:pPr>
        <w:spacing w:after="0" w:line="162" w:lineRule="exact"/>
        <w:rPr>
          <w:rFonts w:ascii="Times New Roman" w:cs="Times New Roman" w:eastAsia="Times New Roman" w:hAnsi="Times New Roman"/>
          <w:sz w:val="20"/>
          <w:szCs w:val="20"/>
          <w:color w:val="auto"/>
        </w:rPr>
      </w:pPr>
    </w:p>
    <w:p>
      <w:pPr>
        <w:ind w:firstLine="360"/>
        <w:spacing w:after="0" w:line="280" w:lineRule="auto"/>
        <w:tabs>
          <w:tab w:leader="none" w:pos="64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 The following is a list of exhibits filed or furnished as part of this report or incorporated by reference herein to exhibits previously filed with the Securities and Exchange Commission.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80" w:type="dxa"/>
            <w:vAlign w:val="bottom"/>
          </w:tcPr>
          <w:p>
            <w:pPr>
              <w:spacing w:after="0"/>
              <w:rPr>
                <w:sz w:val="16"/>
                <w:szCs w:val="16"/>
                <w:color w:val="auto"/>
              </w:rPr>
            </w:pPr>
          </w:p>
        </w:tc>
        <w:tc>
          <w:tcPr>
            <w:tcW w:w="9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9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No.</w:t>
            </w:r>
          </w:p>
        </w:tc>
        <w:tc>
          <w:tcPr>
            <w:tcW w:w="280" w:type="dxa"/>
            <w:vAlign w:val="bottom"/>
          </w:tcPr>
          <w:p>
            <w:pPr>
              <w:spacing w:after="0"/>
              <w:rPr>
                <w:sz w:val="17"/>
                <w:szCs w:val="17"/>
                <w:color w:val="auto"/>
              </w:rPr>
            </w:pPr>
          </w:p>
        </w:tc>
        <w:tc>
          <w:tcPr>
            <w:tcW w:w="9560" w:type="dxa"/>
            <w:vAlign w:val="bottom"/>
            <w:gridSpan w:val="2"/>
          </w:tcPr>
          <w:p>
            <w:pPr>
              <w:ind w:left="43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9"/>
        </w:trPr>
        <w:tc>
          <w:tcPr>
            <w:tcW w:w="98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2.1+</w:t>
            </w:r>
          </w:p>
        </w:tc>
        <w:tc>
          <w:tcPr>
            <w:tcW w:w="280" w:type="dxa"/>
            <w:vAlign w:val="bottom"/>
          </w:tcPr>
          <w:p>
            <w:pPr>
              <w:spacing w:after="0"/>
              <w:rPr>
                <w:sz w:val="17"/>
                <w:szCs w:val="17"/>
                <w:color w:val="auto"/>
              </w:rPr>
            </w:pPr>
          </w:p>
        </w:tc>
        <w:tc>
          <w:tcPr>
            <w:tcW w:w="954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w w:val="99"/>
              </w:rPr>
              <w:t>Share Purchase Agreement, dated January 5, 2026, by and among Mobileye Global Inc., Mobileye Vision Technologies</w:t>
            </w:r>
          </w:p>
        </w:tc>
        <w:tc>
          <w:tcPr>
            <w:tcW w:w="20" w:type="dxa"/>
            <w:vAlign w:val="bottom"/>
          </w:tcPr>
          <w:p>
            <w:pPr>
              <w:spacing w:after="0"/>
              <w:rPr>
                <w:sz w:val="17"/>
                <w:szCs w:val="17"/>
                <w:color w:val="auto"/>
              </w:rPr>
            </w:pP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Ltd., Mentee Robotics Ltd., the Company Shareholders listed on Exhibit A thereto, and Shareholder Representative</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Services LLC, as the exclusive representative of the Company Shareholders (incorporated by reference to the Company’s</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8-K filed on January 6, 2026)</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Amended and Restated Certificate of Incorporation of the Registrant (incorporated by reference to Exhibit 3.1 to the</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Company’s Form 8-K filed on October 28,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Amended and Restated Bylaws of the Registrant (incorporated by reference to Exhibit 3.2 to the Company’s Form 8-K</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filed on October 28, 2022)</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28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Securities Registered Pursuant to Section 12 of the Securities Exchange Act of 1934, As Amended</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(incorporated by reference to Exhibit 4.1 to the Company’s Form 10-K filed on March 9, 2023)</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Form of Director and Officer Indemnification Agreement (incorporated by reference to Exhibit 10.1 to Amendment</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 1 to the Company’s registration statement on Form S-1 filed on October 18,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98"/>
              </w:rPr>
              <w:t>Master Transaction Agreement between the Registrant and Intel Corporation, dated as of October 25, 2022 (incorporated</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reference to Exhibit 10.2 to the Company’s Form 10-K filed on March 9, 2023)</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Administrative Services Agreement between the Registrant and Intel Corporation, dated as of October 25, 2022</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(incorporated by reference to Exhibit 10.3 to the Company’s Form 10-K filed on March 9, 2023)</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99"/>
              </w:rPr>
              <w:t>Employee Matters Agreement between the Registrant and Intel Corporation, dated as of October 25, 2022 (incorporated</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reference to Exhibit 10.4 to the Company’s Form 10-K filed on March 9, 2023)</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Technology and Services Agreement between the Registrant and Intel Corporation, dated as of October 25, 2022</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(incorporated by reference to Exhibit 10.5 to the Company’s Form 10-K filed on March 9, 2023)</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Amended and Restated Tax Sharing Agreement between the Registrant and Intel Corporation, dated as of August 14,</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2024 (incorporated by reference to Exhibit 10.7 to the Company’s Form 10-Q filed on October 31, 2024)</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Contribution and Subscription Agreement among the Registrant, Cyclops Holding Corporation and Intel Overseas</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Funding Corporation, dated as of October 25, 2022 (incorporated by reference to Exhibit 10.8 to Amendment No. 1 to</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Company’s registration statement on Form S-1 filed on October 18, 2022)</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Amended and Restated Mobileye Global Inc. 2022 Equity Incentive Plan (incorporated by reference to Exhibit 10.9 to</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Company’s Form 10-Q filed on July 24, 2025)</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Form of Restricted Stock Unit Agreement, as amended on May 16, 2024 (incorporated by reference to the Company’s</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10-K filed on February 13, 2025)</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Option Agreement (incorporated by reference to Exhibit 10.11 to Amendment No. 1 to the Company’s</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 statement on Form S-1 filed on October 18, 2022)</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99"/>
              </w:rPr>
              <w:t>Employment Agreement between the Registrant and Amnon Shashua, dated July 24, 2014 (incorporated by reference to</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10.12 to Amendment No. 1 to the Company’s registration statement on Form S-1 filed on October 18,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98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Employment Letter Agreement between Amnon Shashua and Intel, dated June 1, 2022 (incorporated by reference to</w:t>
            </w:r>
          </w:p>
        </w:tc>
      </w:tr>
      <w:tr>
        <w:trPr>
          <w:trHeight w:val="268"/>
        </w:trPr>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10.13 to Amendment No. 1 to the Company’s registration statement on Form S-1 filed on October 18, 2022)</w:t>
            </w:r>
          </w:p>
        </w:tc>
      </w:tr>
    </w:tbl>
    <w:p>
      <w:pPr>
        <w:spacing w:after="0" w:line="200" w:lineRule="exact"/>
        <w:rPr>
          <w:sz w:val="20"/>
          <w:szCs w:val="20"/>
          <w:color w:val="auto"/>
        </w:rPr>
      </w:pP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140</w:t>
      </w:r>
    </w:p>
    <w:p>
      <w:pPr>
        <w:sectPr>
          <w:pgSz w:w="11880" w:h="15480" w:orient="portrait"/>
          <w:cols w:equalWidth="0" w:num="1">
            <w:col w:w="10800"/>
          </w:cols>
          <w:pgMar w:left="540" w:top="1345" w:right="540" w:bottom="0" w:gutter="0" w:footer="0" w:header="0"/>
          <w:type w:val="continuous"/>
        </w:sectPr>
      </w:pPr>
    </w:p>
    <w:bookmarkStart w:id="144" w:name="page145"/>
    <w:bookmarkEnd w:id="144"/>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Employment Agreement between the Registrant and Boaz Ouriel, dated as of April 1, 2022 (incorporated by reference</w:t>
            </w:r>
          </w:p>
        </w:tc>
      </w:tr>
      <w:tr>
        <w:trPr>
          <w:trHeight w:val="229"/>
        </w:trPr>
        <w:tc>
          <w:tcPr>
            <w:tcW w:w="90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 Exhibit 10.14 to the Company’s Form 10-K filed on February 13, 2025)</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Employment Agreement between the Registrant and Shai Shalev-Shwartz, dated August 2, 2010 (incorporated by</w:t>
            </w:r>
          </w:p>
        </w:tc>
      </w:tr>
      <w:tr>
        <w:trPr>
          <w:trHeight w:val="230"/>
        </w:trPr>
        <w:tc>
          <w:tcPr>
            <w:tcW w:w="900" w:type="dxa"/>
            <w:vAlign w:val="bottom"/>
          </w:tcPr>
          <w:p>
            <w:pPr>
              <w:spacing w:after="0"/>
              <w:rPr>
                <w:sz w:val="20"/>
                <w:szCs w:val="20"/>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reference to Exhibit 10.17 to Amendment No. 1 to the Company’s registration statement on Form S-1 filed on</w:t>
            </w:r>
          </w:p>
        </w:tc>
      </w:tr>
      <w:tr>
        <w:trPr>
          <w:trHeight w:val="229"/>
        </w:trPr>
        <w:tc>
          <w:tcPr>
            <w:tcW w:w="90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October 18, 2022)</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9"/>
              </w:rPr>
              <w:t>Employment Agreement between the Registrant and Nimrod Nehushtan, dated May 2, 2017 (incorporated by reference</w:t>
            </w:r>
          </w:p>
        </w:tc>
      </w:tr>
      <w:tr>
        <w:trPr>
          <w:trHeight w:val="230"/>
        </w:trPr>
        <w:tc>
          <w:tcPr>
            <w:tcW w:w="900" w:type="dxa"/>
            <w:vAlign w:val="bottom"/>
          </w:tcPr>
          <w:p>
            <w:pPr>
              <w:spacing w:after="0"/>
              <w:rPr>
                <w:sz w:val="20"/>
                <w:szCs w:val="20"/>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 Exhibit 10.18 to the Company’s Form 10-K filed on March 9, 2023)</w:t>
            </w: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Stock Compensation Recharge Agreement, dated August 8, 2017, between Mobileye B.V. and its subsidiaries, on the</w:t>
            </w:r>
          </w:p>
        </w:tc>
      </w:tr>
      <w:tr>
        <w:trPr>
          <w:trHeight w:val="230"/>
        </w:trPr>
        <w:tc>
          <w:tcPr>
            <w:tcW w:w="900" w:type="dxa"/>
            <w:vAlign w:val="bottom"/>
          </w:tcPr>
          <w:p>
            <w:pPr>
              <w:spacing w:after="0"/>
              <w:rPr>
                <w:sz w:val="20"/>
                <w:szCs w:val="20"/>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one hand, and Intel, on the other hand (incorporated by reference to Exhibit 10.18 to Amendment No. 1 to the Company’s</w:t>
            </w:r>
          </w:p>
        </w:tc>
      </w:tr>
      <w:tr>
        <w:trPr>
          <w:trHeight w:val="229"/>
        </w:trPr>
        <w:tc>
          <w:tcPr>
            <w:tcW w:w="90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registration statement on Form S-1 filed on October 18, 2022)</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Loan Agreement, dated April 21, 2022, between Cyclops Holdings Corporation and Intel Overseas Funding Corporation.</w:t>
            </w:r>
          </w:p>
        </w:tc>
      </w:tr>
      <w:tr>
        <w:trPr>
          <w:trHeight w:val="230"/>
        </w:trPr>
        <w:tc>
          <w:tcPr>
            <w:tcW w:w="900" w:type="dxa"/>
            <w:vAlign w:val="bottom"/>
          </w:tcPr>
          <w:p>
            <w:pPr>
              <w:spacing w:after="0"/>
              <w:rPr>
                <w:sz w:val="20"/>
                <w:szCs w:val="20"/>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(incorporated by reference to Exhibit 10.19 to Amendment No. 19 to the Company’s registration statement on Form S-</w:t>
            </w:r>
          </w:p>
        </w:tc>
      </w:tr>
      <w:tr>
        <w:trPr>
          <w:trHeight w:val="229"/>
        </w:trPr>
        <w:tc>
          <w:tcPr>
            <w:tcW w:w="90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1 filed on October 18, 2022)</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Memorandum of Understanding, dated October 17, 2006, between STMicroelectronics N.V. and Mobileye Technologies</w:t>
            </w:r>
          </w:p>
        </w:tc>
      </w:tr>
      <w:tr>
        <w:trPr>
          <w:trHeight w:val="230"/>
        </w:trPr>
        <w:tc>
          <w:tcPr>
            <w:tcW w:w="900" w:type="dxa"/>
            <w:vAlign w:val="bottom"/>
          </w:tcPr>
          <w:p>
            <w:pPr>
              <w:spacing w:after="0"/>
              <w:rPr>
                <w:sz w:val="20"/>
                <w:szCs w:val="20"/>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Limited, as amended (incorporated by reference to Exhibit 10.20 to Amendment No. 1 to the Company’s registration</w:t>
            </w:r>
          </w:p>
        </w:tc>
      </w:tr>
      <w:tr>
        <w:trPr>
          <w:trHeight w:val="229"/>
        </w:trPr>
        <w:tc>
          <w:tcPr>
            <w:tcW w:w="90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statement on Form S-1 filed on October 18, 2022)</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Agreement between Intel Corporation and Intel Subsidiaries, dated August 8, 2017, between Mobileye B.V. and its</w:t>
            </w:r>
          </w:p>
        </w:tc>
      </w:tr>
      <w:tr>
        <w:trPr>
          <w:trHeight w:val="230"/>
        </w:trPr>
        <w:tc>
          <w:tcPr>
            <w:tcW w:w="900" w:type="dxa"/>
            <w:vAlign w:val="bottom"/>
          </w:tcPr>
          <w:p>
            <w:pPr>
              <w:spacing w:after="0"/>
              <w:rPr>
                <w:sz w:val="20"/>
                <w:szCs w:val="20"/>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subsidiaries, on the one hand, and Intel, on the other hand, which we refer to herein as the Cross-License Agreement</w:t>
            </w:r>
          </w:p>
        </w:tc>
      </w:tr>
      <w:tr>
        <w:trPr>
          <w:trHeight w:val="229"/>
        </w:trPr>
        <w:tc>
          <w:tcPr>
            <w:tcW w:w="90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(incorporated by reference to Exhibit 10.21 to Amendment No. 1 to the Company’s registration statement on Form S-1</w:t>
            </w:r>
          </w:p>
        </w:tc>
      </w:tr>
      <w:tr>
        <w:trPr>
          <w:trHeight w:val="230"/>
        </w:trPr>
        <w:tc>
          <w:tcPr>
            <w:tcW w:w="900" w:type="dxa"/>
            <w:vAlign w:val="bottom"/>
          </w:tcPr>
          <w:p>
            <w:pPr>
              <w:spacing w:after="0"/>
              <w:rPr>
                <w:sz w:val="20"/>
                <w:szCs w:val="20"/>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filed on October 18, 2022)</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Share &amp; Note Sale and Purchase Agreement, dated May 31, 2022, between Intel Finance B.V. and Mobileye B.V.</w:t>
            </w:r>
          </w:p>
        </w:tc>
      </w:tr>
      <w:tr>
        <w:trPr>
          <w:trHeight w:val="229"/>
        </w:trPr>
        <w:tc>
          <w:tcPr>
            <w:tcW w:w="90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(incorporated by reference to Exhibit 10.22 to Amendment No. 1 to the Company’s registration statement on Form S-1</w:t>
            </w:r>
          </w:p>
        </w:tc>
      </w:tr>
      <w:tr>
        <w:trPr>
          <w:trHeight w:val="230"/>
        </w:trPr>
        <w:tc>
          <w:tcPr>
            <w:tcW w:w="900" w:type="dxa"/>
            <w:vAlign w:val="bottom"/>
          </w:tcPr>
          <w:p>
            <w:pPr>
              <w:spacing w:after="0"/>
              <w:rPr>
                <w:sz w:val="20"/>
                <w:szCs w:val="20"/>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filed on October 18, 2022)</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Share Repurchase Agreement, dated July 7, 2025, by and between Mobileye Global Inc. and Intel Overseas Funding</w:t>
            </w:r>
          </w:p>
        </w:tc>
      </w:tr>
      <w:tr>
        <w:trPr>
          <w:trHeight w:val="229"/>
        </w:trPr>
        <w:tc>
          <w:tcPr>
            <w:tcW w:w="90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Corporation (incorporated by reference to Exhibit 10.1 to the Company’s Form 8-K filed on July 8, 2025)</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Securities Trading Policy adopted on March 16, 2023</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List of Subsidiaries of the Registrant</w:t>
            </w: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Consent of Kesselman &amp; Kesselman, Certified Public Accountants (Isr.), a member firm of PricewaterhouseCoopers</w:t>
            </w:r>
          </w:p>
        </w:tc>
      </w:tr>
      <w:tr>
        <w:trPr>
          <w:trHeight w:val="230"/>
        </w:trPr>
        <w:tc>
          <w:tcPr>
            <w:tcW w:w="900" w:type="dxa"/>
            <w:vAlign w:val="bottom"/>
          </w:tcPr>
          <w:p>
            <w:pPr>
              <w:spacing w:after="0"/>
              <w:rPr>
                <w:sz w:val="20"/>
                <w:szCs w:val="20"/>
                <w:color w:val="auto"/>
              </w:rPr>
            </w:pP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International Limited, an independent registered public accounting firm.</w:t>
            </w:r>
          </w:p>
        </w:tc>
      </w:t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302 of the Sarbanes-Oxley Act of 2002.</w:t>
            </w:r>
          </w:p>
        </w:tc>
      </w:tr>
      <w:tr>
        <w:trPr>
          <w:trHeight w:val="27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302 of the Sarbanes-Oxley Act of 2002.</w:t>
            </w:r>
          </w:p>
        </w:tc>
      </w:tr>
      <w:tr>
        <w:trPr>
          <w:trHeight w:val="27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906 of the Sarbanes-Oxley Act of 2002.</w:t>
            </w:r>
          </w:p>
        </w:tc>
      </w:tr>
      <w:tr>
        <w:trPr>
          <w:trHeight w:val="276"/>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9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906 of the Sarbanes-Oxley Act of 2002.</w:t>
            </w:r>
          </w:p>
        </w:tc>
      </w:tr>
    </w:tbl>
    <w:p>
      <w:pPr>
        <w:spacing w:after="0" w:line="8" w:lineRule="exact"/>
        <w:rPr>
          <w:sz w:val="20"/>
          <w:szCs w:val="20"/>
          <w:color w:val="auto"/>
        </w:rPr>
      </w:pPr>
    </w:p>
    <w:p>
      <w:pPr>
        <w:ind w:left="1260" w:hanging="1260"/>
        <w:spacing w:after="0" w:line="239" w:lineRule="auto"/>
        <w:tabs>
          <w:tab w:leader="none" w:pos="125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Policy Relating to Recovery of Erroneously Awarded Compensation (incorporated by reference to Exhibit 97 to the Company’s Form 10-K filed on February 23,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4"/>
              </w:rPr>
              <w:t>101*</w:t>
            </w:r>
          </w:p>
        </w:tc>
        <w:tc>
          <w:tcPr>
            <w:tcW w:w="9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The following financial statements from Mobileye Global Inc.’s Annual Report on Form 10-K for the year ended</w:t>
            </w:r>
          </w:p>
        </w:tc>
      </w:tr>
      <w:tr>
        <w:trPr>
          <w:trHeight w:val="229"/>
        </w:trPr>
        <w:tc>
          <w:tcPr>
            <w:tcW w:w="820" w:type="dxa"/>
            <w:vAlign w:val="bottom"/>
          </w:tcPr>
          <w:p>
            <w:pPr>
              <w:spacing w:after="0"/>
              <w:rPr>
                <w:sz w:val="19"/>
                <w:szCs w:val="19"/>
                <w:color w:val="auto"/>
              </w:rPr>
            </w:pPr>
          </w:p>
        </w:tc>
        <w:tc>
          <w:tcPr>
            <w:tcW w:w="9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December 27, 2025, filed with the Securities and Exchange Commission on February 12, 2026, formatted in iXBRL</w:t>
            </w:r>
          </w:p>
        </w:tc>
      </w:tr>
      <w:tr>
        <w:trPr>
          <w:trHeight w:val="230"/>
        </w:trPr>
        <w:tc>
          <w:tcPr>
            <w:tcW w:w="820" w:type="dxa"/>
            <w:vAlign w:val="bottom"/>
          </w:tcPr>
          <w:p>
            <w:pPr>
              <w:spacing w:after="0"/>
              <w:rPr>
                <w:sz w:val="20"/>
                <w:szCs w:val="20"/>
                <w:color w:val="auto"/>
              </w:rPr>
            </w:pPr>
          </w:p>
        </w:tc>
        <w:tc>
          <w:tcPr>
            <w:tcW w:w="998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9"/>
              </w:rPr>
              <w:t>(Inline eXtensible Business Reporting Language): (i) the Consolidated Balance Sheets, (ii) the Consolidated Statements</w:t>
            </w:r>
          </w:p>
        </w:tc>
      </w:tr>
      <w:tr>
        <w:trPr>
          <w:trHeight w:val="230"/>
        </w:trPr>
        <w:tc>
          <w:tcPr>
            <w:tcW w:w="820" w:type="dxa"/>
            <w:vAlign w:val="bottom"/>
          </w:tcPr>
          <w:p>
            <w:pPr>
              <w:spacing w:after="0"/>
              <w:rPr>
                <w:sz w:val="20"/>
                <w:szCs w:val="20"/>
                <w:color w:val="auto"/>
              </w:rPr>
            </w:pPr>
          </w:p>
        </w:tc>
        <w:tc>
          <w:tcPr>
            <w:tcW w:w="9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of Operations and Comprehensive Income (Loss), (iii) the Consolidated Statements of Changes in Equity, (iv) the</w:t>
            </w:r>
          </w:p>
        </w:tc>
      </w:tr>
      <w:tr>
        <w:trPr>
          <w:trHeight w:val="229"/>
        </w:trPr>
        <w:tc>
          <w:tcPr>
            <w:tcW w:w="820" w:type="dxa"/>
            <w:vAlign w:val="bottom"/>
          </w:tcPr>
          <w:p>
            <w:pPr>
              <w:spacing w:after="0"/>
              <w:rPr>
                <w:sz w:val="19"/>
                <w:szCs w:val="19"/>
                <w:color w:val="auto"/>
              </w:rPr>
            </w:pPr>
          </w:p>
        </w:tc>
        <w:tc>
          <w:tcPr>
            <w:tcW w:w="9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Consolidated Statements of Cash Flows, and (v) the Notes to Consolidated Financial Statements.</w:t>
            </w:r>
          </w:p>
        </w:tc>
      </w:tr>
      <w:tr>
        <w:trPr>
          <w:trHeight w:val="270"/>
        </w:trPr>
        <w:tc>
          <w:tcPr>
            <w:tcW w:w="82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4"/>
              </w:rPr>
              <w:t>104*</w:t>
            </w:r>
          </w:p>
        </w:tc>
        <w:tc>
          <w:tcPr>
            <w:tcW w:w="99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Cover Page Interactive Data File (embedded with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168275</wp:posOffset>
                </wp:positionV>
                <wp:extent cx="171386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25pt" to="134.9pt,13.25pt" o:allowincell="f" strokecolor="#000000" strokeweight="1.0199pt"/>
            </w:pict>
          </mc:Fallback>
        </mc:AlternateContent>
      </w:r>
    </w:p>
    <w:p>
      <w:pPr>
        <w:spacing w:after="0" w:line="285" w:lineRule="exact"/>
        <w:rPr>
          <w:sz w:val="20"/>
          <w:szCs w:val="20"/>
          <w:color w:val="auto"/>
        </w:rPr>
      </w:pPr>
    </w:p>
    <w:p>
      <w:pPr>
        <w:ind w:left="360" w:hanging="360"/>
        <w:spacing w:after="0"/>
        <w:tabs>
          <w:tab w:leader="none" w:pos="3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or furnished herewith.</w:t>
      </w:r>
    </w:p>
    <w:p>
      <w:pPr>
        <w:ind w:left="360" w:hanging="360"/>
        <w:spacing w:after="0"/>
        <w:tabs>
          <w:tab w:leader="none" w:pos="3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or arrangement.</w:t>
      </w:r>
    </w:p>
    <w:p>
      <w:pPr>
        <w:ind w:left="360" w:hanging="360"/>
        <w:spacing w:after="0" w:line="280" w:lineRule="auto"/>
        <w:tabs>
          <w:tab w:leader="none" w:pos="3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schedules and exhibits have been omitted pursuant to Item 601(a)(5) of Regulation S-K. The Registrant agrees to furnish supplementally a copy of any omitted schedule or exhibit to the SEC upon its request.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880" w:h="15480" w:orient="portrait"/>
          <w:cols w:equalWidth="0" w:num="1">
            <w:col w:w="10800"/>
          </w:cols>
          <w:pgMar w:left="540" w:top="1440" w:right="540" w:bottom="0" w:gutter="0" w:footer="0" w:header="0"/>
        </w:sectPr>
      </w:pPr>
    </w:p>
    <w:bookmarkStart w:id="145" w:name="page146"/>
    <w:bookmarkEnd w:id="145"/>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3"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Mobileye Global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Professor Amnon Shashua</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Name: Professor Amnon Shashua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-134620</wp:posOffset>
                </wp:positionV>
                <wp:extent cx="348678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867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0.5999pt" to="292.55pt,-10.5999pt" o:allowincell="f" strokecolor="#000000" strokeweight="0.4799pt"/>
            </w:pict>
          </mc:Fallback>
        </mc:AlternateContent>
      </w:r>
    </w:p>
    <w:p>
      <w:pPr>
        <w:ind w:left="360"/>
        <w:spacing w:after="0"/>
        <w:tabs>
          <w:tab w:leader="none" w:pos="980" w:val="left"/>
        </w:tabs>
        <w:rPr>
          <w:sz w:val="20"/>
          <w:szCs w:val="20"/>
          <w:color w:val="auto"/>
        </w:rPr>
      </w:pPr>
      <w:r>
        <w:rPr>
          <w:rFonts w:ascii="Times New Roman" w:cs="Times New Roman" w:eastAsia="Times New Roman" w:hAnsi="Times New Roman"/>
          <w:sz w:val="20"/>
          <w:szCs w:val="20"/>
          <w:color w:val="auto"/>
        </w:rPr>
        <w:t>Title:</w:t>
        <w:tab/>
        <w:t>Chief Executive Officer and President</w:t>
      </w:r>
    </w:p>
    <w:p>
      <w:pPr>
        <w:ind w:left="1000"/>
        <w:spacing w:after="0"/>
        <w:rPr>
          <w:sz w:val="20"/>
          <w:szCs w:val="20"/>
          <w:color w:val="auto"/>
        </w:rPr>
      </w:pPr>
      <w:r>
        <w:rPr>
          <w:rFonts w:ascii="Times New Roman" w:cs="Times New Roman" w:eastAsia="Times New Roman" w:hAnsi="Times New Roman"/>
          <w:sz w:val="20"/>
          <w:szCs w:val="20"/>
          <w:color w:val="auto"/>
        </w:rPr>
        <w:t>(As Principal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Moran Shemesh Rojansky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Name: Moran Shemesh Rojansky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229235</wp:posOffset>
                </wp:positionH>
                <wp:positionV relativeFrom="paragraph">
                  <wp:posOffset>-134620</wp:posOffset>
                </wp:positionV>
                <wp:extent cx="347535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7535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5pt,-10.5999pt" to="291.7pt,-10.5999pt" o:allowincell="f" strokecolor="#000000" strokeweight="0.4809pt"/>
            </w:pict>
          </mc:Fallback>
        </mc:AlternateContent>
      </w:r>
    </w:p>
    <w:p>
      <w:pPr>
        <w:ind w:left="360"/>
        <w:spacing w:after="0"/>
        <w:tabs>
          <w:tab w:leader="none" w:pos="980" w:val="left"/>
        </w:tabs>
        <w:rPr>
          <w:sz w:val="20"/>
          <w:szCs w:val="20"/>
          <w:color w:val="auto"/>
        </w:rPr>
      </w:pPr>
      <w:r>
        <w:rPr>
          <w:rFonts w:ascii="Times New Roman" w:cs="Times New Roman" w:eastAsia="Times New Roman" w:hAnsi="Times New Roman"/>
          <w:sz w:val="20"/>
          <w:szCs w:val="20"/>
          <w:color w:val="auto"/>
        </w:rPr>
        <w:t>Title:</w:t>
        <w:tab/>
        <w:t>Chief Financial Officer</w:t>
      </w:r>
    </w:p>
    <w:p>
      <w:pPr>
        <w:ind w:left="1000"/>
        <w:spacing w:after="0"/>
        <w:rPr>
          <w:sz w:val="20"/>
          <w:szCs w:val="20"/>
          <w:color w:val="auto"/>
        </w:rPr>
      </w:pPr>
      <w:r>
        <w:rPr>
          <w:rFonts w:ascii="Times New Roman" w:cs="Times New Roman" w:eastAsia="Times New Roman" w:hAnsi="Times New Roman"/>
          <w:sz w:val="20"/>
          <w:szCs w:val="20"/>
          <w:color w:val="auto"/>
        </w:rPr>
        <w:t>(As Principal Financial and Accounting Officer)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Date: February 12, 2026</w:t>
      </w:r>
    </w:p>
    <w:p>
      <w:pPr>
        <w:spacing w:after="0" w:line="240"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320" w:type="dxa"/>
            <w:vAlign w:val="bottom"/>
          </w:tcPr>
          <w:p>
            <w:pPr>
              <w:spacing w:after="0"/>
              <w:rPr>
                <w:sz w:val="22"/>
                <w:szCs w:val="22"/>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320" w:type="dxa"/>
            <w:vAlign w:val="bottom"/>
          </w:tcPr>
          <w:p>
            <w:pPr>
              <w:spacing w:after="0"/>
              <w:rPr>
                <w:sz w:val="22"/>
                <w:szCs w:val="22"/>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0" w:type="dxa"/>
            <w:vAlign w:val="bottom"/>
          </w:tcPr>
          <w:p>
            <w:pPr>
              <w:spacing w:after="0"/>
              <w:rPr>
                <w:sz w:val="1"/>
                <w:szCs w:val="1"/>
                <w:color w:val="auto"/>
              </w:rPr>
            </w:pPr>
          </w:p>
        </w:tc>
      </w:tr>
      <w:tr>
        <w:trPr>
          <w:trHeight w:val="439"/>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Professor Amnon Shashua</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Executive Officer, President and Director</w:t>
            </w:r>
          </w:p>
        </w:tc>
        <w:tc>
          <w:tcPr>
            <w:tcW w:w="32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February 12, 2026</w:t>
            </w:r>
          </w:p>
        </w:tc>
        <w:tc>
          <w:tcPr>
            <w:tcW w:w="0" w:type="dxa"/>
            <w:vAlign w:val="bottom"/>
          </w:tcPr>
          <w:p>
            <w:pPr>
              <w:spacing w:after="0"/>
              <w:rPr>
                <w:sz w:val="1"/>
                <w:szCs w:val="1"/>
                <w:color w:val="auto"/>
              </w:rPr>
            </w:pPr>
          </w:p>
        </w:tc>
      </w:tr>
      <w:tr>
        <w:trPr>
          <w:trHeight w:val="26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Professor Amnon Shashua</w:t>
            </w:r>
          </w:p>
        </w:tc>
        <w:tc>
          <w:tcPr>
            <w:tcW w:w="320" w:type="dxa"/>
            <w:vAlign w:val="bottom"/>
          </w:tcPr>
          <w:p>
            <w:pPr>
              <w:spacing w:after="0"/>
              <w:rPr>
                <w:sz w:val="23"/>
                <w:szCs w:val="23"/>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320" w:type="dxa"/>
            <w:vAlign w:val="bottom"/>
          </w:tcPr>
          <w:p>
            <w:pPr>
              <w:spacing w:after="0"/>
              <w:rPr>
                <w:sz w:val="23"/>
                <w:szCs w:val="23"/>
                <w:color w:val="auto"/>
              </w:rPr>
            </w:pPr>
          </w:p>
        </w:tc>
        <w:tc>
          <w:tcPr>
            <w:tcW w:w="2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1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Moran Shemesh Rojansky</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Moran Shemesh Rojansky</w:t>
            </w:r>
          </w:p>
        </w:tc>
        <w:tc>
          <w:tcPr>
            <w:tcW w:w="320" w:type="dxa"/>
            <w:vAlign w:val="bottom"/>
          </w:tcPr>
          <w:p>
            <w:pPr>
              <w:spacing w:after="0"/>
              <w:rPr>
                <w:sz w:val="23"/>
                <w:szCs w:val="23"/>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Officer and Principal Accounting Officer)</w:t>
            </w:r>
          </w:p>
        </w:tc>
        <w:tc>
          <w:tcPr>
            <w:tcW w:w="32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12, 2026</w:t>
            </w: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Safroadu Yeboah-Amankwah</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 of the Board of Directors</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12, 2026</w:t>
            </w:r>
          </w:p>
        </w:tc>
        <w:tc>
          <w:tcPr>
            <w:tcW w:w="0" w:type="dxa"/>
            <w:vAlign w:val="bottom"/>
          </w:tcPr>
          <w:p>
            <w:pPr>
              <w:spacing w:after="0"/>
              <w:rPr>
                <w:sz w:val="1"/>
                <w:szCs w:val="1"/>
                <w:color w:val="auto"/>
              </w:rPr>
            </w:pPr>
          </w:p>
        </w:tc>
      </w:tr>
      <w:tr>
        <w:trPr>
          <w:trHeight w:val="450"/>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Patrick Bombach</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12, 2026</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Patrick Bombach</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/s/ Nag a Chandrasekaran</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12, 2026</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Naga Chandrasekaran</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Elaine L. Chao</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12, 2026</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Elaine L. Chao</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Eyal Desheh</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12, 2026</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Eyal Desheh</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Claire C. McCaskill</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12, 2026</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Claire C. McCaskill</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/s/ Frank D. Year y</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12, 2026</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Frank D. Yeary</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David Zinsner</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12, 2026</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David Zinsner</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142</w:t>
      </w:r>
    </w:p>
    <w:p>
      <w:pPr>
        <w:sectPr>
          <w:pgSz w:w="11880" w:h="15480" w:orient="portrait"/>
          <w:cols w:equalWidth="0" w:num="1">
            <w:col w:w="10800"/>
          </w:cols>
          <w:pgMar w:left="540" w:top="1345" w:right="540" w:bottom="0" w:gutter="0" w:footer="0" w:header="0"/>
          <w:type w:val="continuous"/>
        </w:sectPr>
      </w:pPr>
    </w:p>
    <w:bookmarkStart w:id="146" w:name="page147"/>
    <w:bookmarkEnd w:id="14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2853690</wp:posOffset>
            </wp:positionH>
            <wp:positionV relativeFrom="page">
              <wp:posOffset>2127250</wp:posOffset>
            </wp:positionV>
            <wp:extent cx="1835785" cy="278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9">
                      <a:extLst>
                        <a:ext uri="{28A0092B-C50C-407E-A947-70E740481C1C}"/>
                      </a:extLst>
                    </a:blip>
                    <a:srcRect/>
                    <a:stretch>
                      <a:fillRect/>
                    </a:stretch>
                  </pic:blipFill>
                  <pic:spPr bwMode="auto">
                    <a:xfrm>
                      <a:off x="0" y="0"/>
                      <a:ext cx="1835785" cy="278130"/>
                    </a:xfrm>
                    <a:prstGeom prst="rect">
                      <a:avLst/>
                    </a:prstGeom>
                    <a:noFill/>
                  </pic:spPr>
                </pic:pic>
              </a:graphicData>
            </a:graphic>
          </wp:anchor>
        </w:drawing>
        <w:drawing>
          <wp:anchor simplePos="0" relativeHeight="251657728" behindDoc="1" locked="0" layoutInCell="0" allowOverlap="1">
            <wp:simplePos x="0" y="0"/>
            <wp:positionH relativeFrom="page">
              <wp:posOffset>603885</wp:posOffset>
            </wp:positionH>
            <wp:positionV relativeFrom="page">
              <wp:posOffset>8921750</wp:posOffset>
            </wp:positionV>
            <wp:extent cx="2823210" cy="342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0">
                      <a:extLst>
                        <a:ext uri="{28A0092B-C50C-407E-A947-70E740481C1C}"/>
                      </a:extLst>
                    </a:blip>
                    <a:srcRect/>
                    <a:stretch>
                      <a:fillRect/>
                    </a:stretch>
                  </pic:blipFill>
                  <pic:spPr bwMode="auto">
                    <a:xfrm>
                      <a:off x="0" y="0"/>
                      <a:ext cx="2823210" cy="342265"/>
                    </a:xfrm>
                    <a:prstGeom prst="rect">
                      <a:avLst/>
                    </a:prstGeom>
                    <a:noFill/>
                  </pic:spPr>
                </pic:pic>
              </a:graphicData>
            </a:graphic>
          </wp:anchor>
        </w:drawing>
        <w:drawing>
          <wp:anchor simplePos="0" relativeHeight="251657728" behindDoc="1" locked="0" layoutInCell="0" allowOverlap="1">
            <wp:simplePos x="0" y="0"/>
            <wp:positionH relativeFrom="page">
              <wp:posOffset>6039485</wp:posOffset>
            </wp:positionH>
            <wp:positionV relativeFrom="page">
              <wp:posOffset>9104630</wp:posOffset>
            </wp:positionV>
            <wp:extent cx="903605" cy="159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1">
                      <a:extLst>
                        <a:ext uri="{28A0092B-C50C-407E-A947-70E740481C1C}"/>
                      </a:extLst>
                    </a:blip>
                    <a:srcRect/>
                    <a:stretch>
                      <a:fillRect/>
                    </a:stretch>
                  </pic:blipFill>
                  <pic:spPr bwMode="auto">
                    <a:xfrm>
                      <a:off x="0" y="0"/>
                      <a:ext cx="903605" cy="159385"/>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5"/>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14">
    <w:nsid w:val="3006C83E"/>
    <w:multiLevelType w:val="hybridMultilevel"/>
    <w:lvl w:ilvl="0">
      <w:lvlJc w:val="left"/>
      <w:lvlText w:val="(%1)"/>
      <w:numFmt w:val="decimal"/>
      <w:start w:val="4"/>
    </w:lvl>
    <w:lvl w:ilvl="1">
      <w:lvlJc w:val="left"/>
      <w:lvlText w:val="%2"/>
      <w:numFmt w:val="decimal"/>
      <w:start w:val="1"/>
    </w:lvl>
    <w:lvl w:ilvl="2">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lvl w:ilvl="1">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lowerRoman"/>
      <w:start w:val="2"/>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lowerRoman"/>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lowerRoman"/>
      <w:start w:val="1"/>
    </w:lvl>
  </w:abstractNum>
  <w:abstractNum w:abstractNumId="31">
    <w:nsid w:val="70A64E2A"/>
    <w:multiLevelType w:val="hybridMultilevel"/>
    <w:lvl w:ilvl="0">
      <w:lvlJc w:val="left"/>
      <w:lvlText w:val="(%1)"/>
      <w:numFmt w:val="lowerRoman"/>
      <w:start w:val="3"/>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lowerRoman"/>
      <w:start w:val="2"/>
    </w:lvl>
    <w:lvl w:ilvl="1">
      <w:lvlJc w:val="left"/>
      <w:lvlText w:val="%2"/>
      <w:numFmt w:val="lowerRoman"/>
      <w:start w:val="1"/>
    </w:lvl>
  </w:abstractNum>
  <w:abstractNum w:abstractNumId="35">
    <w:nsid w:val="725A06FB"/>
    <w:multiLevelType w:val="hybridMultilevel"/>
    <w:lvl w:ilvl="0">
      <w:lvlJc w:val="left"/>
      <w:lvlText w:val="(%1)"/>
      <w:numFmt w:val="lowerRoman"/>
      <w:start w:val="1"/>
    </w:lvl>
    <w:lvl w:ilvl="1">
      <w:lvlJc w:val="left"/>
      <w:lvlText w:val="%2"/>
      <w:numFmt w:val="lowerRoman"/>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lvl w:ilvl="1">
      <w:lvlJc w:val="left"/>
      <w:lvlText w:val="%2"/>
      <w:numFmt w:val="decimal"/>
      <w:start w:val="1"/>
    </w:lvl>
  </w:abstractNum>
  <w:abstractNum w:abstractNumId="41">
    <w:nsid w:val="6DE91B18"/>
    <w:multiLevelType w:val="hybridMultilevel"/>
    <w:lvl w:ilvl="0">
      <w:lvlJc w:val="left"/>
      <w:lvlText w:val="(%1)"/>
      <w:numFmt w:val="decimal"/>
      <w:start w:val="3"/>
    </w:lvl>
    <w:lvl w:ilvl="1">
      <w:lvlJc w:val="left"/>
      <w:lvlText w:val="%2"/>
      <w:numFmt w:val="decimal"/>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2"/>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97"/>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2026-04-24T21:19:20Z</dcterms:created>
  <dcterms:modified xsi:type="dcterms:W3CDTF">2026-04-24T21:19:20Z</dcterms:modified>
</cp:coreProperties>
</file>