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420463d1_8k.htm"/>
      <w:bookmarkStart w:id="1" w:name="kstm242046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A_edei--DocumentType_c20240801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August 1,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E_edei--EntityRegistrantName_c2024"/>
      <w:bookmarkEnd w:id="4"/>
      <w:r>
        <w:rPr>
          <w:rFonts w:ascii="Times New Roman;Times;Serif" w:hAnsi="Times New Roman;Times;Serif"/>
          <w:b/>
          <w:i w:val="false"/>
          <w:caps w:val="false"/>
          <w:smallCaps w:val="false"/>
          <w:sz w:val="28"/>
        </w:rPr>
        <w:t>Mobileye Global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(Exact </w:t>
      </w:r>
      <w:r>
        <w:rPr>
          <w:rFonts w:ascii="Times New Roman;Times;Serif" w:hAnsi="Times New Roman;Times;Serif"/>
          <w:b w:val="false"/>
          <w:i w:val="false"/>
          <w:caps/>
          <w:sz w:val="20"/>
        </w:rPr>
        <w:t>n</w:t>
      </w:r>
      <w:r>
        <w:rPr>
          <w:rFonts w:ascii="Times New Roman;Times;Serif" w:hAnsi="Times New Roman;Times;Serif"/>
          <w:b w:val="false"/>
          <w:i w:val="false"/>
          <w:caps w:val="false"/>
          <w:smallCaps w:val="false"/>
          <w:sz w:val="20"/>
        </w:rPr>
        <w:t xml:space="preserve">ame of the </w:t>
      </w:r>
      <w:r>
        <w:rPr>
          <w:rFonts w:ascii="Times New Roman;Times;Serif" w:hAnsi="Times New Roman;Times;Serif"/>
          <w:b w:val="false"/>
          <w:i w:val="false"/>
          <w:caps/>
          <w:sz w:val="20"/>
        </w:rPr>
        <w:t>r</w:t>
      </w:r>
      <w:r>
        <w:rPr>
          <w:rFonts w:ascii="Times New Roman;Times;Serif" w:hAnsi="Times New Roman;Times;Serif"/>
          <w:b w:val="false"/>
          <w:i w:val="false"/>
          <w:caps w:val="false"/>
          <w:smallCaps w:val="false"/>
          <w:sz w:val="20"/>
        </w:rPr>
        <w:t xml:space="preserve">egistrant as </w:t>
      </w:r>
      <w:r>
        <w:rPr>
          <w:rFonts w:ascii="Times New Roman;Times;Serif" w:hAnsi="Times New Roman;Times;Serif"/>
          <w:b w:val="false"/>
          <w:i w:val="false"/>
          <w:caps/>
          <w:sz w:val="20"/>
        </w:rPr>
        <w:t>s</w:t>
      </w:r>
      <w:r>
        <w:rPr>
          <w:rFonts w:ascii="Times New Roman;Times;Serif" w:hAnsi="Times New Roman;Times;Serif"/>
          <w:b w:val="false"/>
          <w:i w:val="false"/>
          <w:caps w:val="false"/>
          <w:smallCaps w:val="false"/>
          <w:sz w:val="20"/>
        </w:rPr>
        <w:t xml:space="preserve">pecified in </w:t>
      </w:r>
      <w:r>
        <w:rPr>
          <w:rFonts w:ascii="Times New Roman;Times;Serif" w:hAnsi="Times New Roman;Times;Serif"/>
          <w:b w:val="false"/>
          <w:i w:val="false"/>
          <w:caps/>
          <w:sz w:val="20"/>
        </w:rPr>
        <w:t>c</w:t>
      </w:r>
      <w:r>
        <w:rPr>
          <w:rFonts w:ascii="Times New Roman;Times;Serif" w:hAnsi="Times New Roman;Times;Serif"/>
          <w:b w:val="false"/>
          <w:i w:val="false"/>
          <w:caps w:val="false"/>
          <w:smallCaps w:val="false"/>
          <w:sz w:val="20"/>
        </w:rPr>
        <w:t>harter)</w:t>
      </w:r>
    </w:p>
    <w:p>
      <w:pPr>
        <w:pStyle w:val="TextBody"/>
        <w:bidi w:val="0"/>
        <w:spacing w:before="0" w:after="0"/>
        <w:jc w:val="center"/>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2405"/>
        <w:gridCol w:w="60"/>
        <w:gridCol w:w="1175"/>
        <w:gridCol w:w="60"/>
        <w:gridCol w:w="1880"/>
      </w:tblGrid>
      <w:tr>
        <w:trPr/>
        <w:tc>
          <w:tcPr>
            <w:tcW w:w="2405" w:type="dxa"/>
            <w:tcBorders/>
            <w:vAlign w:val="center"/>
          </w:tcPr>
          <w:p>
            <w:pPr>
              <w:pStyle w:val="TableContents"/>
              <w:bidi w:val="0"/>
              <w:spacing w:before="0" w:after="283"/>
              <w:jc w:val="center"/>
              <w:rPr>
                <w:b/>
                <w:sz w:val="20"/>
              </w:rPr>
            </w:pPr>
            <w:bookmarkStart w:id="5" w:name="xdx_90B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b/>
                <w:sz w:val="20"/>
              </w:rPr>
            </w:pPr>
            <w:bookmarkStart w:id="6" w:name="xdx_907_edei--EntityFileNumber_c20240801"/>
            <w:bookmarkEnd w:id="6"/>
            <w:r>
              <w:rPr>
                <w:b/>
                <w:sz w:val="20"/>
              </w:rPr>
              <w:t>001-41541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sz w:val="20"/>
              </w:rPr>
            </w:pPr>
            <w:bookmarkStart w:id="7" w:name="xdx_902_edei--EntityTaxIdentificationNum"/>
            <w:bookmarkEnd w:id="7"/>
            <w:r>
              <w:rPr>
                <w:b/>
                <w:sz w:val="20"/>
              </w:rPr>
              <w:t>88-0666433</w:t>
            </w:r>
          </w:p>
        </w:tc>
      </w:tr>
      <w:tr>
        <w:trPr/>
        <w:tc>
          <w:tcPr>
            <w:tcW w:w="240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b/>
                <w:sz w:val="20"/>
              </w:rPr>
            </w:pPr>
            <w:r>
              <w:rPr>
                <w:b/>
                <w:sz w:val="20"/>
              </w:rPr>
              <w:t xml:space="preserve">(Commission </w:t>
              <w:br/>
              <w:t>File Number)</w:t>
            </w:r>
          </w:p>
        </w:tc>
        <w:tc>
          <w:tcPr>
            <w:tcW w:w="60" w:type="dxa"/>
            <w:tcBorders/>
            <w:vAlign w:val="center"/>
          </w:tcPr>
          <w:p>
            <w:pPr>
              <w:pStyle w:val="TableContents"/>
              <w:bidi w:val="0"/>
              <w:spacing w:before="0" w:after="283"/>
              <w:jc w:val="center"/>
              <w:rPr/>
            </w:pPr>
            <w:r>
              <w:rPr/>
              <w:t> </w:t>
            </w:r>
          </w:p>
        </w:tc>
        <w:tc>
          <w:tcPr>
            <w:tcW w:w="1880" w:type="dxa"/>
            <w:tcBorders/>
            <w:vAlign w:val="center"/>
          </w:tcPr>
          <w:p>
            <w:pPr>
              <w:pStyle w:val="TableContents"/>
              <w:bidi w:val="0"/>
              <w:spacing w:before="0" w:after="283"/>
              <w:jc w:val="center"/>
              <w:rPr>
                <w:b/>
              </w:rPr>
            </w:pPr>
            <w:r>
              <w:rPr>
                <w:b/>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4670"/>
        <w:gridCol w:w="60"/>
        <w:gridCol w:w="1145"/>
      </w:tblGrid>
      <w:tr>
        <w:trPr/>
        <w:tc>
          <w:tcPr>
            <w:tcW w:w="4670" w:type="dxa"/>
            <w:tcBorders/>
            <w:vAlign w:val="center"/>
          </w:tcPr>
          <w:p>
            <w:pPr>
              <w:pStyle w:val="TableContents"/>
              <w:bidi w:val="0"/>
              <w:spacing w:before="0" w:after="283"/>
              <w:jc w:val="center"/>
              <w:rPr>
                <w:b/>
              </w:rPr>
            </w:pPr>
            <w:bookmarkStart w:id="8" w:name="xdx_908_edei--EntityAddressAddressLine1_"/>
            <w:bookmarkEnd w:id="8"/>
            <w:r>
              <w:rPr>
                <w:b/>
              </w:rPr>
              <w:t>c/o Mobileye B.V.</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pPr>
            <w:r>
              <w:rPr/>
              <w:t> </w:t>
            </w:r>
          </w:p>
        </w:tc>
      </w:tr>
      <w:tr>
        <w:trPr/>
        <w:tc>
          <w:tcPr>
            <w:tcW w:w="4670" w:type="dxa"/>
            <w:tcBorders/>
            <w:vAlign w:val="center"/>
          </w:tcPr>
          <w:p>
            <w:pPr>
              <w:pStyle w:val="TableContents"/>
              <w:bidi w:val="0"/>
              <w:spacing w:before="0" w:after="283"/>
              <w:jc w:val="center"/>
              <w:rPr>
                <w:b/>
              </w:rPr>
            </w:pPr>
            <w:bookmarkStart w:id="9" w:name="xdx_90C_edei--EntityAddressAddressLine2_"/>
            <w:bookmarkEnd w:id="9"/>
            <w:r>
              <w:rPr>
                <w:b/>
              </w:rPr>
              <w:t xml:space="preserve">Har Hotzvim, 1 Shlomo Momo HaLevi Street </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pPr>
            <w:r>
              <w:rPr/>
              <w:t> </w:t>
            </w:r>
          </w:p>
        </w:tc>
      </w:tr>
      <w:tr>
        <w:trPr/>
        <w:tc>
          <w:tcPr>
            <w:tcW w:w="4670" w:type="dxa"/>
            <w:tcBorders/>
            <w:vAlign w:val="center"/>
          </w:tcPr>
          <w:p>
            <w:pPr>
              <w:pStyle w:val="TableContents"/>
              <w:bidi w:val="0"/>
              <w:spacing w:before="0" w:after="283"/>
              <w:jc w:val="center"/>
              <w:rPr>
                <w:b/>
              </w:rPr>
            </w:pPr>
            <w:bookmarkStart w:id="10" w:name="xdx_904_edei--EntityAddressCityOrTown_c2"/>
            <w:bookmarkEnd w:id="10"/>
            <w:r>
              <w:rPr>
                <w:b/>
              </w:rPr>
              <w:t xml:space="preserve">Jerusalem, </w:t>
            </w:r>
            <w:bookmarkStart w:id="11" w:name="xdx_905_edei--EntityAddressCountry_c2024"/>
            <w:bookmarkEnd w:id="11"/>
            <w:r>
              <w:rPr>
                <w:b/>
              </w:rPr>
              <w:t>Israel</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rPr>
            </w:pPr>
            <w:bookmarkStart w:id="12" w:name="xdx_90F_edei--EntityAddressPostalZipCode"/>
            <w:bookmarkEnd w:id="12"/>
            <w:r>
              <w:rPr>
                <w:b/>
              </w:rPr>
              <w:t>9777015</w:t>
            </w:r>
          </w:p>
        </w:tc>
      </w:tr>
      <w:tr>
        <w:trPr/>
        <w:tc>
          <w:tcPr>
            <w:tcW w:w="46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B_edei--CityAreaCode_c20240801__20"/>
      <w:bookmarkEnd w:id="13"/>
      <w:r>
        <w:rPr>
          <w:rFonts w:ascii="Times New Roman;Times;Serif" w:hAnsi="Times New Roman;Times;Serif"/>
          <w:b/>
          <w:i w:val="false"/>
          <w:caps w:val="false"/>
          <w:smallCaps w:val="false"/>
          <w:sz w:val="20"/>
        </w:rPr>
        <w:t>972-</w:t>
      </w:r>
      <w:bookmarkStart w:id="14" w:name="xdx_903_edei--LocalPhoneNumber_c20240801"/>
      <w:bookmarkEnd w:id="14"/>
      <w:r>
        <w:rPr>
          <w:rFonts w:ascii="Times New Roman;Times;Serif" w:hAnsi="Times New Roman;Times;Serif"/>
          <w:b/>
          <w:i w:val="false"/>
          <w:caps w:val="false"/>
          <w:smallCaps w:val="false"/>
          <w:sz w:val="20"/>
        </w:rPr>
        <w:t>2-541-7333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 Applicable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w:t>
      </w:r>
      <w:r>
        <w:rPr>
          <w:rFonts w:ascii="Times New Roman;Times;Serif" w:hAnsi="Times New Roman;Times;Serif"/>
          <w:b w:val="false"/>
          <w:i w:val="false"/>
          <w:caps/>
          <w:sz w:val="20"/>
        </w:rPr>
        <w:t>n</w:t>
      </w:r>
      <w:r>
        <w:rPr>
          <w:rFonts w:ascii="Times New Roman;Times;Serif" w:hAnsi="Times New Roman;Times;Serif"/>
          <w:b w:val="false"/>
          <w:i w:val="false"/>
          <w:caps w:val="false"/>
          <w:smallCaps w:val="false"/>
          <w:sz w:val="20"/>
        </w:rPr>
        <w:t xml:space="preserve">ame or </w:t>
      </w:r>
      <w:r>
        <w:rPr>
          <w:rFonts w:ascii="Times New Roman;Times;Serif" w:hAnsi="Times New Roman;Times;Serif"/>
          <w:b w:val="false"/>
          <w:i w:val="false"/>
          <w:caps/>
          <w:sz w:val="20"/>
        </w:rPr>
        <w:t>f</w:t>
      </w:r>
      <w:r>
        <w:rPr>
          <w:rFonts w:ascii="Times New Roman;Times;Serif" w:hAnsi="Times New Roman;Times;Serif"/>
          <w:b w:val="false"/>
          <w:i w:val="false"/>
          <w:caps w:val="false"/>
          <w:smallCaps w:val="false"/>
          <w:sz w:val="20"/>
        </w:rPr>
        <w:t xml:space="preserve">ormer </w:t>
      </w:r>
      <w:r>
        <w:rPr>
          <w:rFonts w:ascii="Times New Roman;Times;Serif" w:hAnsi="Times New Roman;Times;Serif"/>
          <w:b w:val="false"/>
          <w:i w:val="false"/>
          <w:caps/>
          <w:sz w:val="20"/>
        </w:rPr>
        <w:t>a</w:t>
      </w:r>
      <w:r>
        <w:rPr>
          <w:rFonts w:ascii="Times New Roman;Times;Serif" w:hAnsi="Times New Roman;Times;Serif"/>
          <w:b w:val="false"/>
          <w:i w:val="false"/>
          <w:caps w:val="false"/>
          <w:smallCaps w:val="false"/>
          <w:sz w:val="20"/>
        </w:rPr>
        <w:t xml:space="preserve">ddress, if </w:t>
      </w:r>
      <w:r>
        <w:rPr>
          <w:rFonts w:ascii="Times New Roman;Times;Serif" w:hAnsi="Times New Roman;Times;Serif"/>
          <w:b w:val="false"/>
          <w:i w:val="false"/>
          <w:caps/>
          <w:sz w:val="20"/>
        </w:rPr>
        <w:t>c</w:t>
      </w:r>
      <w:r>
        <w:rPr>
          <w:rFonts w:ascii="Times New Roman;Times;Serif" w:hAnsi="Times New Roman;Times;Serif"/>
          <w:b w:val="false"/>
          <w:i w:val="false"/>
          <w:caps w:val="false"/>
          <w:smallCaps w:val="false"/>
          <w:sz w:val="20"/>
        </w:rPr>
        <w:t xml:space="preserve">hanged </w:t>
      </w:r>
      <w:r>
        <w:rPr>
          <w:rFonts w:ascii="Times New Roman;Times;Serif" w:hAnsi="Times New Roman;Times;Serif"/>
          <w:b w:val="false"/>
          <w:i w:val="false"/>
          <w:caps/>
          <w:sz w:val="20"/>
        </w:rPr>
        <w:t>s</w:t>
      </w:r>
      <w:r>
        <w:rPr>
          <w:rFonts w:ascii="Times New Roman;Times;Serif" w:hAnsi="Times New Roman;Times;Serif"/>
          <w:b w:val="false"/>
          <w:i w:val="false"/>
          <w:caps w:val="false"/>
          <w:smallCaps w:val="false"/>
          <w:sz w:val="20"/>
        </w:rPr>
        <w:t xml:space="preserve">ince </w:t>
      </w:r>
      <w:r>
        <w:rPr>
          <w:rFonts w:ascii="Times New Roman;Times;Serif" w:hAnsi="Times New Roman;Times;Serif"/>
          <w:b w:val="false"/>
          <w:i w:val="false"/>
          <w:caps/>
          <w:sz w:val="20"/>
        </w:rPr>
        <w:t>l</w:t>
      </w:r>
      <w:r>
        <w:rPr>
          <w:rFonts w:ascii="Times New Roman;Times;Serif" w:hAnsi="Times New Roman;Times;Serif"/>
          <w:b w:val="false"/>
          <w:i w:val="false"/>
          <w:caps w:val="false"/>
          <w:smallCaps w:val="false"/>
          <w:sz w:val="20"/>
        </w:rPr>
        <w:t xml:space="preserve">ast </w:t>
      </w:r>
      <w:r>
        <w:rPr>
          <w:rFonts w:ascii="Times New Roman;Times;Serif" w:hAnsi="Times New Roman;Times;Serif"/>
          <w:b w:val="false"/>
          <w:i w:val="false"/>
          <w:caps/>
          <w:sz w:val="20"/>
        </w:rPr>
        <w:t>r</w:t>
      </w:r>
      <w:r>
        <w:rPr>
          <w:rFonts w:ascii="Times New Roman;Times;Serif" w:hAnsi="Times New Roman;Times;Serif"/>
          <w:b w:val="false"/>
          <w:i w:val="false"/>
          <w:caps w:val="false"/>
          <w:smallCaps w:val="false"/>
          <w:sz w:val="20"/>
        </w:rPr>
        <w:t>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B_edei--SolicitingMaterial_c202408"/>
            <w:bookmarkEnd w:id="16"/>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5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8" w:name="xdx_900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10" w:type="dxa"/>
        <w:tblLayout w:type="fixed"/>
        <w:tblCellMar>
          <w:top w:w="30" w:type="dxa"/>
          <w:left w:w="30" w:type="dxa"/>
          <w:bottom w:w="0" w:type="dxa"/>
          <w:right w:w="0" w:type="dxa"/>
        </w:tblCellMar>
      </w:tblPr>
      <w:tblGrid>
        <w:gridCol w:w="3230"/>
        <w:gridCol w:w="1580"/>
        <w:gridCol w:w="2420"/>
      </w:tblGrid>
      <w:tr>
        <w:trPr/>
        <w:tc>
          <w:tcPr>
            <w:tcW w:w="3230"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Title of each class:</w:t>
            </w:r>
          </w:p>
        </w:tc>
        <w:tc>
          <w:tcPr>
            <w:tcW w:w="1580"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Trading symbol(s)</w:t>
            </w:r>
          </w:p>
        </w:tc>
        <w:tc>
          <w:tcPr>
            <w:tcW w:w="2420" w:type="dxa"/>
            <w:tcBorders>
              <w:top w:val="single" w:sz="8" w:space="0" w:color="000000"/>
              <w:left w:val="single" w:sz="8" w:space="0" w:color="000000"/>
              <w:right w:val="single" w:sz="8" w:space="0" w:color="000000"/>
            </w:tcBorders>
            <w:tcMar>
              <w:right w:w="30" w:type="dxa"/>
            </w:tcMar>
            <w:vAlign w:val="center"/>
          </w:tcPr>
          <w:p>
            <w:pPr>
              <w:pStyle w:val="TableContents"/>
              <w:bidi w:val="0"/>
              <w:spacing w:before="0" w:after="283"/>
              <w:jc w:val="center"/>
              <w:rPr>
                <w:b/>
                <w:sz w:val="20"/>
              </w:rPr>
            </w:pPr>
            <w:r>
              <w:rPr>
                <w:b/>
                <w:sz w:val="20"/>
              </w:rPr>
              <w:t xml:space="preserve">Name of exchange on which </w:t>
              <w:br/>
              <w:t>registered</w:t>
            </w:r>
          </w:p>
        </w:tc>
      </w:tr>
      <w:tr>
        <w:trPr/>
        <w:tc>
          <w:tcPr>
            <w:tcW w:w="3230"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19" w:name="xdx_906_edei--Security12bTitle_c20240801"/>
            <w:bookmarkEnd w:id="19"/>
            <w:r>
              <w:rPr>
                <w:sz w:val="20"/>
              </w:rPr>
              <w:t>Class A common stock, $0.01 par value</w:t>
            </w:r>
          </w:p>
        </w:tc>
        <w:tc>
          <w:tcPr>
            <w:tcW w:w="1580"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20" w:name="xdx_90F_edei--TradingSymbol_c20240801__2"/>
            <w:bookmarkEnd w:id="20"/>
            <w:r>
              <w:rPr>
                <w:sz w:val="20"/>
              </w:rPr>
              <w:t>MBLY</w:t>
            </w:r>
          </w:p>
        </w:tc>
        <w:tc>
          <w:tcPr>
            <w:tcW w:w="2420" w:type="dxa"/>
            <w:tcBorders>
              <w:top w:val="single" w:sz="8" w:space="0" w:color="000000"/>
              <w:left w:val="single" w:sz="8" w:space="0" w:color="000000"/>
              <w:bottom w:val="single" w:sz="8" w:space="0" w:color="000000"/>
              <w:right w:val="single" w:sz="8" w:space="0" w:color="000000"/>
            </w:tcBorders>
            <w:tcMar>
              <w:bottom w:w="30" w:type="dxa"/>
              <w:right w:w="30" w:type="dxa"/>
            </w:tcMar>
            <w:vAlign w:val="center"/>
          </w:tcPr>
          <w:p>
            <w:pPr>
              <w:pStyle w:val="TableContents"/>
              <w:bidi w:val="0"/>
              <w:spacing w:before="0" w:after="283"/>
              <w:jc w:val="center"/>
              <w:rPr>
                <w:sz w:val="20"/>
              </w:rPr>
            </w:pPr>
            <w:bookmarkStart w:id="21" w:name="xdx_908_edei--SecurityExchangeName_c2024"/>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2024 Mobileye Global Inc. issued a press release announcing its financial results for the quarter ended June 29, 2024.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1205"/>
        <w:gridCol w:w="7610"/>
      </w:tblGrid>
      <w:tr>
        <w:trPr/>
        <w:tc>
          <w:tcPr>
            <w:tcW w:w="1205" w:type="dxa"/>
            <w:tcBorders/>
            <w:vAlign w:val="center"/>
          </w:tcPr>
          <w:p>
            <w:pPr>
              <w:pStyle w:val="TableContents"/>
              <w:bidi w:val="0"/>
              <w:spacing w:before="0" w:after="283"/>
              <w:jc w:val="left"/>
              <w:rPr>
                <w:b/>
              </w:rPr>
            </w:pPr>
            <w:r>
              <w:rPr>
                <w:b/>
              </w:rPr>
              <w:t>Exhibit No.</w:t>
            </w:r>
          </w:p>
        </w:tc>
        <w:tc>
          <w:tcPr>
            <w:tcW w:w="7610" w:type="dxa"/>
            <w:tcBorders/>
            <w:vAlign w:val="center"/>
          </w:tcPr>
          <w:p>
            <w:pPr>
              <w:pStyle w:val="TableContents"/>
              <w:bidi w:val="0"/>
              <w:spacing w:before="0" w:after="283"/>
              <w:jc w:val="center"/>
              <w:rPr>
                <w:b/>
              </w:rPr>
            </w:pPr>
            <w:r>
              <w:rPr>
                <w:b/>
              </w:rPr>
              <w:t>Description</w:t>
            </w:r>
          </w:p>
        </w:tc>
      </w:tr>
      <w:tr>
        <w:trPr/>
        <w:tc>
          <w:tcPr>
            <w:tcW w:w="1205"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hyperlink w:anchor="tm2420463d1_ex99-1.htm">
              <w:r>
                <w:rPr>
                  <w:rStyle w:val="InternetLink"/>
                </w:rPr>
                <w:t>99.1</w:t>
              </w:r>
            </w:hyperlink>
          </w:p>
        </w:tc>
        <w:tc>
          <w:tcPr>
            <w:tcW w:w="7610" w:type="dxa"/>
            <w:tcBorders/>
            <w:vAlign w:val="center"/>
          </w:tcPr>
          <w:p>
            <w:pPr>
              <w:pStyle w:val="TableContents"/>
              <w:bidi w:val="0"/>
              <w:spacing w:before="0" w:after="283"/>
              <w:jc w:val="left"/>
              <w:rPr/>
            </w:pPr>
            <w:hyperlink w:anchor="tm2420463d1_ex99-1.htm">
              <w:r>
                <w:rPr>
                  <w:rStyle w:val="InternetLink"/>
                </w:rPr>
                <w:t>Press release issued by Mobileye Global Inc. on August 1, 2024</w:t>
              </w:r>
            </w:hyperlink>
          </w:p>
        </w:tc>
      </w:tr>
      <w:tr>
        <w:trPr/>
        <w:tc>
          <w:tcPr>
            <w:tcW w:w="1205"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104</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105" w:type="dxa"/>
        <w:jc w:val="left"/>
        <w:tblInd w:w="0" w:type="dxa"/>
        <w:tblLayout w:type="fixed"/>
        <w:tblCellMar>
          <w:top w:w="0" w:type="dxa"/>
          <w:left w:w="0" w:type="dxa"/>
          <w:bottom w:w="0" w:type="dxa"/>
          <w:right w:w="0" w:type="dxa"/>
        </w:tblCellMar>
      </w:tblPr>
      <w:tblGrid>
        <w:gridCol w:w="75"/>
        <w:gridCol w:w="320"/>
        <w:gridCol w:w="545"/>
        <w:gridCol w:w="2165"/>
      </w:tblGrid>
      <w:tr>
        <w:trPr/>
        <w:tc>
          <w:tcPr>
            <w:tcW w:w="75" w:type="dxa"/>
            <w:tcBorders/>
            <w:vAlign w:val="center"/>
          </w:tcPr>
          <w:p>
            <w:pPr>
              <w:pStyle w:val="TableContents"/>
              <w:bidi w:val="0"/>
              <w:spacing w:before="0" w:after="283"/>
              <w:jc w:val="left"/>
              <w:rPr/>
            </w:pPr>
            <w:r>
              <w:rPr/>
              <w:t> </w:t>
            </w:r>
          </w:p>
        </w:tc>
        <w:tc>
          <w:tcPr>
            <w:tcW w:w="3030" w:type="dxa"/>
            <w:gridSpan w:val="3"/>
            <w:tcBorders/>
            <w:vAlign w:val="center"/>
          </w:tcPr>
          <w:p>
            <w:pPr>
              <w:pStyle w:val="TableContents"/>
              <w:bidi w:val="0"/>
              <w:spacing w:before="0" w:after="283"/>
              <w:jc w:val="left"/>
              <w:rPr>
                <w:b/>
                <w:sz w:val="20"/>
              </w:rPr>
            </w:pPr>
            <w:r>
              <w:rPr>
                <w:b/>
                <w:sz w:val="20"/>
              </w:rPr>
              <w:t>MOBILEYE GLOBAL INC.</w:t>
            </w:r>
          </w:p>
        </w:tc>
      </w:tr>
      <w:tr>
        <w:trPr/>
        <w:tc>
          <w:tcPr>
            <w:tcW w:w="75" w:type="dxa"/>
            <w:tcBorders/>
            <w:vAlign w:val="center"/>
          </w:tcPr>
          <w:p>
            <w:pPr>
              <w:pStyle w:val="TableContents"/>
              <w:bidi w:val="0"/>
              <w:spacing w:before="0" w:after="283"/>
              <w:jc w:val="left"/>
              <w:rPr/>
            </w:pPr>
            <w:r>
              <w:rPr/>
              <w:t> </w:t>
            </w:r>
          </w:p>
        </w:tc>
        <w:tc>
          <w:tcPr>
            <w:tcW w:w="30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71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Moran Shemesh Rojansky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165" w:type="dxa"/>
            <w:tcBorders/>
            <w:vAlign w:val="center"/>
          </w:tcPr>
          <w:p>
            <w:pPr>
              <w:pStyle w:val="TableContents"/>
              <w:bidi w:val="0"/>
              <w:spacing w:before="0" w:after="283"/>
              <w:jc w:val="left"/>
              <w:rPr>
                <w:sz w:val="20"/>
              </w:rPr>
            </w:pPr>
            <w:r>
              <w:rPr>
                <w:sz w:val="20"/>
              </w:rPr>
              <w:t>Moran Shemesh Rojansky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 xml:space="preserve">Title: </w:t>
            </w:r>
          </w:p>
        </w:tc>
        <w:tc>
          <w:tcPr>
            <w:tcW w:w="216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3" w:name="tm2420463d1_ex99-1.htm"/>
      <w:bookmarkStart w:id="24" w:name="kstm2420463d1_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Releases Second Quarter 2024 Results, Updates Guidance and Provides Business Overview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Revenue decreased 3% year over year to $439 million in the second quarter. Revenue increased 84% versus the first quarter of 2024 due to reduced consumption of excess inventory at Tier 1 customers compared to the first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More than 110% increase in number of systems shipped as compared to the first quarter of 2024 led to significant improvement in Operating Loss and Adjusted Operating Profit.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While we believe inventory of EyeQ</w:t>
            </w:r>
            <w:r>
              <w:rPr>
                <w:position w:val="7"/>
                <w:sz w:val="16"/>
                <w:sz w:val="20"/>
              </w:rPr>
              <w:t>TM</w:t>
            </w:r>
            <w:r>
              <w:rPr>
                <w:sz w:val="20"/>
              </w:rPr>
              <w:t xml:space="preserve"> chips at our Tier 1 customers has almost fully normalized as of the end of the second quarter of 2024, we have reduced our expectation for second half volume and revenue, primarily due to China-related macro factors.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We remain optimistic on the medium-term growth environment given continued SuperVision</w:t>
            </w:r>
            <w:r>
              <w:rPr>
                <w:position w:val="7"/>
                <w:sz w:val="16"/>
                <w:sz w:val="20"/>
              </w:rPr>
              <w:t>TM</w:t>
            </w:r>
            <w:r>
              <w:rPr>
                <w:sz w:val="20"/>
              </w:rPr>
              <w:t xml:space="preserve"> / Chauffeur</w:t>
            </w:r>
            <w:r>
              <w:rPr>
                <w:position w:val="7"/>
                <w:sz w:val="16"/>
                <w:sz w:val="20"/>
              </w:rPr>
              <w:t>TM</w:t>
            </w:r>
            <w:r>
              <w:rPr>
                <w:sz w:val="20"/>
              </w:rPr>
              <w:t xml:space="preserve"> progress, a broadened relationship with Zeekr and Geely Group, and emerging traction for a high-ASP product serving mid-priced, high-volume segments.</w:t>
            </w:r>
          </w:p>
        </w:tc>
      </w:tr>
    </w:tbl>
    <w:p>
      <w:pPr>
        <w:pStyle w:val="TextBody"/>
        <w:bidi w:val="0"/>
        <w:spacing w:before="0" w:after="0"/>
        <w:ind w:left="0" w:right="0" w:hanging="0"/>
        <w:jc w:val="left"/>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95"/>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230" w:type="dxa"/>
            <w:tcBorders/>
            <w:vAlign w:val="center"/>
          </w:tcPr>
          <w:p>
            <w:pPr>
              <w:pStyle w:val="TableContents"/>
              <w:bidi w:val="0"/>
              <w:spacing w:before="0" w:after="283"/>
              <w:jc w:val="both"/>
              <w:rPr>
                <w:sz w:val="20"/>
              </w:rPr>
            </w:pPr>
            <w:r>
              <w:rPr>
                <w:sz w:val="20"/>
              </w:rPr>
              <w:t>Diluted EPS (GAAP) was $(0.11) and Adjusted Diluted EPS (Non-GAAP) was $0.09 in the second quarter of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101820"/>
          <w:sz w:val="20"/>
        </w:rPr>
      </w:pPr>
      <w:r>
        <w:rPr>
          <w:rFonts w:ascii="Times New Roman;Times;Serif" w:hAnsi="Times New Roman;Times;Serif"/>
          <w:b w:val="false"/>
          <w:i w:val="false"/>
          <w:caps w:val="false"/>
          <w:smallCaps w:val="false"/>
          <w:color w:val="101820"/>
          <w:sz w:val="20"/>
        </w:rPr>
        <w:t>JERUSALEM – August 1, 2024 – Mobileye Global Inc. (Nasdaq: MBLY) (“Mobileye”) today released its financial results for the three months ended 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101820"/>
        </w:rPr>
      </w:pPr>
      <w:r>
        <w:rPr>
          <w:caps w:val="false"/>
          <w:smallCaps w:val="false"/>
          <w:color w:val="101820"/>
        </w:rPr>
        <w:t>“</w:t>
      </w:r>
      <w:r>
        <w:rPr>
          <w:rFonts w:ascii="Times New Roman;Times;Serif" w:hAnsi="Times New Roman;Times;Serif"/>
          <w:b w:val="false"/>
          <w:i w:val="false"/>
          <w:caps w:val="false"/>
          <w:smallCaps w:val="false"/>
          <w:color w:val="101820"/>
          <w:sz w:val="20"/>
        </w:rPr>
        <w:t>We are glad to report that the excess inventory at Tier 1 customers that meaningfully impacted our business in the first half of 2024 appears to be almost fully behind us, but a more significant than anticipated softening of business conditions in China (affecting the industry as a whole) is expected to lead to challenges in the second half. While the conditions in China are highly volatile at the moment, we continue to invest in China for the mid and long term as we see the potential of a lucrative market over time, particularly in light of new initiatives that we believe will strengthen our positioning,” said Mobileye President and CEO Prof. Amnon Shashua. “In global markets we continue to make steady progress on the full product portfolio line from base ADAS to L4 autonomy. Moreover, we believe that our scalable portfolio is well-positioned to capitalize on a recent, rapidly-developing OEM trend towards advanced, higher-content ADAS for the mid-priced high volume segments. Our main focus for the remainder of 2024 is to successfully execute our current advanced programs and to convert the unprecedented opportunity set we are currently pursuing into series production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2024 Business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 xml:space="preserve">On the business development front, our activities remain robust and we are tracking towards similar projected future volume and higher projected future revenue from design wins as compared to 2023, based on year-to-date program wins and the current customer engagements we are pursuing. SuperVision / Chauffeur development programs have progressed and we believe we remain on-track for significant wins in the second half of 2024. </w:t>
            </w:r>
            <w:r>
              <w:rPr>
                <w:position w:val="7"/>
                <w:sz w:val="16"/>
                <w:sz w:val="20"/>
              </w:rPr>
              <w:t>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color w:val="101820"/>
                <w:sz w:val="20"/>
              </w:rPr>
            </w:pPr>
            <w:r>
              <w:rPr>
                <w:rFonts w:ascii="Symbol" w:hAnsi="Symbol"/>
                <w:color w:val="101820"/>
                <w:sz w:val="20"/>
              </w:rPr>
              <w:t>·</w:t>
            </w:r>
          </w:p>
        </w:tc>
        <w:tc>
          <w:tcPr>
            <w:tcW w:w="10072" w:type="dxa"/>
            <w:tcBorders/>
            <w:vAlign w:val="center"/>
          </w:tcPr>
          <w:p>
            <w:pPr>
              <w:pStyle w:val="TableContents"/>
              <w:bidi w:val="0"/>
              <w:spacing w:before="0" w:after="283"/>
              <w:jc w:val="both"/>
              <w:rPr>
                <w:sz w:val="20"/>
              </w:rPr>
            </w:pPr>
            <w:r>
              <w:rPr>
                <w:sz w:val="20"/>
              </w:rPr>
              <w:t>In addition to SuperVision / Chauffeur traction for high-end vehicle segments, we have seen increased clarity on OEM plans for the next generation of Level 2+ ADAS systems for mid-priced, high-volume vehicle segments. The stated goal of this new category is to reduce complexity, drive cost-efficiency, and assure compliance with heightened future safety rating criteria. We believe that the versatility and compute-efficiency of our portfolio positions us well to serve this market with a multi-camera, multi-radar, REM</w:t>
            </w:r>
            <w:r>
              <w:rPr>
                <w:color w:val="101820"/>
                <w:position w:val="7"/>
                <w:sz w:val="16"/>
                <w:sz w:val="20"/>
              </w:rPr>
              <w:t>TM</w:t>
            </w:r>
            <w:r>
              <w:rPr>
                <w:sz w:val="20"/>
              </w:rPr>
              <w:t xml:space="preserve"> mapping setup, processed by a single EyeQ6 High chip. We are now pursuing multiple high-volume RFQ’s in this area. We further believe that success would lead to a significant increase in visibility of ASP growth in the single-chip ADAS segment.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While the drivers of medium-term growth have continued to strengthen, the near-term environment has recently become more challenging, and according to our analysis, it is primarily related to China. First, we’ve seen meaningful reductions to 2nd half 2024 production estimates for multiple global OEM customers which have factored into our own expectations. Second, a decline in orders for the 2nd half of 2024 from Chinese OEMs compared to what these customers were indicating as of our last update. Finally, the delay of a high-volume ADAS launch outside of China is an additional headwind. As a result of these factors, we have reduced by approximately 3.5 million units our EyeQ volume expectation for the 2nd half of 2024, which in turn is affecting our guidance for the remainder of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SuperVision volume expectations for 2024 have also been reduced, primarily as a result of new tariffs in the US and Europe, which are expected to impact the delivery ramp-up of SuperVision-equipped vehicles into those markets, and reduced expectations for volume in China itself due to uncertainties around market dynamics and reduced forecasts from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We are on-track with initiatives to bolster our medium- and long-term prospects in China. In particular, the expanded collaboration with Zeekr announced today is expected to accelerate SuperVision enhancements and adaptation to the China market through DXP, secure SuperVision on the next-generation of Zeekr models domestic and globally, and pave a path for Robotaxi collaboration, all of which we believe will accelerate deployments with other customers in China.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We are announcing that Mobileye Capital Markets Day will take place on December 9th and 10th, 2024 in Munich. We are looking forward to providing market landscape updates, illustrating new AI-based software developments integrated into the EyeQ6 High platform (as well as DXP), providing demonstration rides inside production vehicles, and more. Significant portions will be webcast on December 9th for investors and analysts who cannot attend in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2024 Financial Summary and Key Highlights (Unaudited)</w:t>
      </w:r>
    </w:p>
    <w:p>
      <w:pPr>
        <w:pStyle w:val="TextBody"/>
        <w:bidi w:val="0"/>
        <w:spacing w:before="0" w:after="0"/>
        <w:ind w:left="0" w:right="0" w:hanging="0"/>
        <w:jc w:val="left"/>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2030"/>
        <w:gridCol w:w="60"/>
        <w:gridCol w:w="163"/>
        <w:gridCol w:w="576"/>
        <w:gridCol w:w="245"/>
        <w:gridCol w:w="60"/>
        <w:gridCol w:w="163"/>
        <w:gridCol w:w="576"/>
        <w:gridCol w:w="245"/>
        <w:gridCol w:w="60"/>
        <w:gridCol w:w="60"/>
        <w:gridCol w:w="545"/>
        <w:gridCol w:w="380"/>
      </w:tblGrid>
      <w:tr>
        <w:trPr/>
        <w:tc>
          <w:tcPr>
            <w:tcW w:w="2030" w:type="dxa"/>
            <w:tcBorders/>
            <w:vAlign w:val="center"/>
          </w:tcPr>
          <w:p>
            <w:pPr>
              <w:pStyle w:val="TableContents"/>
              <w:bidi w:val="0"/>
              <w:spacing w:before="0" w:after="283"/>
              <w:jc w:val="left"/>
              <w:rPr>
                <w:b/>
                <w:sz w:val="20"/>
              </w:rPr>
            </w:pPr>
            <w:r>
              <w:rPr>
                <w:b/>
                <w:sz w:val="20"/>
              </w:rPr>
              <w:t>GAAP</w:t>
            </w:r>
          </w:p>
        </w:tc>
        <w:tc>
          <w:tcPr>
            <w:tcW w:w="6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r>
      <w:tr>
        <w:trPr/>
        <w:tc>
          <w:tcPr>
            <w:tcW w:w="203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U.S. dollars in millions</w:t>
            </w:r>
          </w:p>
        </w:tc>
        <w:tc>
          <w:tcPr>
            <w:tcW w:w="6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2024</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2023</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Y/Y</w:t>
            </w:r>
          </w:p>
        </w:tc>
        <w:tc>
          <w:tcPr>
            <w:tcW w:w="380"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30" w:type="dxa"/>
            <w:tcBorders/>
            <w:shd w:fill="FFFFFF" w:val="clear"/>
            <w:vAlign w:val="center"/>
          </w:tcPr>
          <w:p>
            <w:pPr>
              <w:pStyle w:val="TableContents"/>
              <w:bidi w:val="0"/>
              <w:spacing w:before="0" w:after="283"/>
              <w:jc w:val="left"/>
              <w:rPr>
                <w:sz w:val="20"/>
              </w:rPr>
            </w:pPr>
            <w:r>
              <w:rPr>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30" w:type="dxa"/>
            <w:tcBorders/>
            <w:shd w:fill="CCEEFF" w:val="clear"/>
            <w:vAlign w:val="center"/>
          </w:tcPr>
          <w:p>
            <w:pPr>
              <w:pStyle w:val="TableContents"/>
              <w:bidi w:val="0"/>
              <w:spacing w:before="0" w:after="283"/>
              <w:jc w:val="left"/>
              <w:rPr>
                <w:sz w:val="20"/>
              </w:rPr>
            </w:pPr>
            <w:r>
              <w:rPr>
                <w:sz w:val="20"/>
              </w:rPr>
              <w:t>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2030" w:type="dxa"/>
            <w:tcBorders/>
            <w:shd w:fill="FFFFFF" w:val="clear"/>
            <w:vAlign w:val="center"/>
          </w:tcPr>
          <w:p>
            <w:pPr>
              <w:pStyle w:val="TableContents"/>
              <w:bidi w:val="0"/>
              <w:spacing w:before="0" w:after="283"/>
              <w:jc w:val="left"/>
              <w:rPr>
                <w:sz w:val="20"/>
              </w:rPr>
            </w:pPr>
            <w:r>
              <w:rPr>
                <w:sz w:val="20"/>
              </w:rPr>
              <w:t>Operating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30" w:type="dxa"/>
            <w:tcBorders/>
            <w:shd w:fill="CCEEFF" w:val="clear"/>
            <w:vAlign w:val="center"/>
          </w:tcPr>
          <w:p>
            <w:pPr>
              <w:pStyle w:val="TableContents"/>
              <w:bidi w:val="0"/>
              <w:spacing w:before="0" w:after="283"/>
              <w:jc w:val="left"/>
              <w:rPr>
                <w:sz w:val="20"/>
              </w:rPr>
            </w:pPr>
            <w:r>
              <w:rPr>
                <w:sz w:val="20"/>
              </w:rPr>
              <w:t>Operating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2030" w:type="dxa"/>
            <w:tcBorders/>
            <w:shd w:fill="FFFFFF" w:val="clear"/>
            <w:vAlign w:val="center"/>
          </w:tcPr>
          <w:p>
            <w:pPr>
              <w:pStyle w:val="TableContents"/>
              <w:bidi w:val="0"/>
              <w:spacing w:before="0" w:after="283"/>
              <w:jc w:val="left"/>
              <w:rPr>
                <w:sz w:val="20"/>
              </w:rPr>
            </w:pPr>
            <w:r>
              <w:rPr>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30" w:type="dxa"/>
            <w:tcBorders/>
            <w:shd w:fill="CCEEFF" w:val="clear"/>
            <w:vAlign w:val="center"/>
          </w:tcPr>
          <w:p>
            <w:pPr>
              <w:pStyle w:val="TableContents"/>
              <w:bidi w:val="0"/>
              <w:spacing w:before="0" w:after="283"/>
              <w:jc w:val="left"/>
              <w:rPr>
                <w:sz w:val="20"/>
              </w:rPr>
            </w:pPr>
            <w:r>
              <w:rPr>
                <w:sz w:val="20"/>
              </w:rPr>
              <w:t>EPS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30" w:type="dxa"/>
            <w:tcBorders/>
            <w:shd w:fill="FFFFFF" w:val="clear"/>
            <w:vAlign w:val="center"/>
          </w:tcPr>
          <w:p>
            <w:pPr>
              <w:pStyle w:val="TableContents"/>
              <w:bidi w:val="0"/>
              <w:spacing w:before="0" w:after="283"/>
              <w:jc w:val="left"/>
              <w:rPr>
                <w:sz w:val="20"/>
              </w:rPr>
            </w:pPr>
            <w:r>
              <w:rPr>
                <w:sz w:val="20"/>
              </w:rPr>
              <w:t>EPS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2270"/>
        <w:gridCol w:w="60"/>
        <w:gridCol w:w="183"/>
        <w:gridCol w:w="556"/>
        <w:gridCol w:w="185"/>
        <w:gridCol w:w="60"/>
        <w:gridCol w:w="183"/>
        <w:gridCol w:w="556"/>
        <w:gridCol w:w="185"/>
        <w:gridCol w:w="60"/>
        <w:gridCol w:w="60"/>
        <w:gridCol w:w="545"/>
        <w:gridCol w:w="380"/>
      </w:tblGrid>
      <w:tr>
        <w:trPr/>
        <w:tc>
          <w:tcPr>
            <w:tcW w:w="2270" w:type="dxa"/>
            <w:tcBorders/>
            <w:vAlign w:val="center"/>
          </w:tcPr>
          <w:p>
            <w:pPr>
              <w:pStyle w:val="TableContents"/>
              <w:bidi w:val="0"/>
              <w:spacing w:before="0" w:after="283"/>
              <w:jc w:val="left"/>
              <w:rPr>
                <w:b/>
                <w:sz w:val="20"/>
              </w:rPr>
            </w:pPr>
            <w:r>
              <w:rPr>
                <w:b/>
                <w:sz w:val="20"/>
              </w:rPr>
              <w:t>Non-GAAP</w:t>
            </w:r>
          </w:p>
        </w:tc>
        <w:tc>
          <w:tcPr>
            <w:tcW w:w="6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r>
      <w:tr>
        <w:trPr/>
        <w:tc>
          <w:tcPr>
            <w:tcW w:w="227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U.S. dollars in millions</w:t>
            </w:r>
          </w:p>
        </w:tc>
        <w:tc>
          <w:tcPr>
            <w:tcW w:w="6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Y/Y</w:t>
            </w:r>
          </w:p>
        </w:tc>
        <w:tc>
          <w:tcPr>
            <w:tcW w:w="380"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FFFFFF" w:val="clear"/>
            <w:vAlign w:val="center"/>
          </w:tcPr>
          <w:p>
            <w:pPr>
              <w:pStyle w:val="TableContents"/>
              <w:bidi w:val="0"/>
              <w:spacing w:before="0" w:after="283"/>
              <w:jc w:val="left"/>
              <w:rPr>
                <w:sz w:val="20"/>
              </w:rPr>
            </w:pPr>
            <w:r>
              <w:rPr>
                <w:sz w:val="20"/>
              </w:rPr>
              <w:t>Adjusted 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CCEEFF" w:val="clear"/>
            <w:vAlign w:val="center"/>
          </w:tcPr>
          <w:p>
            <w:pPr>
              <w:pStyle w:val="TableContents"/>
              <w:bidi w:val="0"/>
              <w:spacing w:before="0" w:after="283"/>
              <w:jc w:val="left"/>
              <w:rPr>
                <w:sz w:val="20"/>
              </w:rPr>
            </w:pPr>
            <w:r>
              <w:rPr>
                <w:sz w:val="20"/>
              </w:rPr>
              <w:t>Adjusted 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2270" w:type="dxa"/>
            <w:tcBorders/>
            <w:shd w:fill="FFFFFF" w:val="clear"/>
            <w:vAlign w:val="center"/>
          </w:tcPr>
          <w:p>
            <w:pPr>
              <w:pStyle w:val="TableContents"/>
              <w:bidi w:val="0"/>
              <w:spacing w:before="0" w:after="283"/>
              <w:jc w:val="left"/>
              <w:rPr>
                <w:sz w:val="20"/>
              </w:rPr>
            </w:pPr>
            <w:r>
              <w:rPr>
                <w:sz w:val="20"/>
              </w:rPr>
              <w:t>Adjusted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CCEEFF" w:val="clear"/>
            <w:vAlign w:val="center"/>
          </w:tcPr>
          <w:p>
            <w:pPr>
              <w:pStyle w:val="TableContents"/>
              <w:bidi w:val="0"/>
              <w:spacing w:before="0" w:after="283"/>
              <w:jc w:val="left"/>
              <w:rPr>
                <w:sz w:val="20"/>
              </w:rPr>
            </w:pPr>
            <w:r>
              <w:rPr>
                <w:sz w:val="20"/>
              </w:rPr>
              <w:t>Adjusted Operating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(1,284</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2270" w:type="dxa"/>
            <w:tcBorders/>
            <w:shd w:fill="FFFFFF" w:val="clear"/>
            <w:vAlign w:val="center"/>
          </w:tcPr>
          <w:p>
            <w:pPr>
              <w:pStyle w:val="TableContents"/>
              <w:bidi w:val="0"/>
              <w:spacing w:before="0" w:after="283"/>
              <w:jc w:val="left"/>
              <w:rPr>
                <w:sz w:val="20"/>
              </w:rPr>
            </w:pPr>
            <w:r>
              <w:rPr>
                <w:sz w:val="20"/>
              </w:rPr>
              <w:t>Adjusted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CCEEFF" w:val="clear"/>
            <w:vAlign w:val="center"/>
          </w:tcPr>
          <w:p>
            <w:pPr>
              <w:pStyle w:val="TableContents"/>
              <w:bidi w:val="0"/>
              <w:spacing w:before="0" w:after="283"/>
              <w:jc w:val="left"/>
              <w:rPr>
                <w:sz w:val="20"/>
              </w:rPr>
            </w:pPr>
            <w:r>
              <w:rPr>
                <w:sz w:val="20"/>
              </w:rPr>
              <w:t>Adjusted EPS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FFFFFF" w:val="clear"/>
            <w:vAlign w:val="center"/>
          </w:tcPr>
          <w:p>
            <w:pPr>
              <w:pStyle w:val="TableContents"/>
              <w:bidi w:val="0"/>
              <w:spacing w:before="0" w:after="283"/>
              <w:jc w:val="left"/>
              <w:rPr>
                <w:sz w:val="20"/>
              </w:rPr>
            </w:pPr>
            <w:r>
              <w:rPr>
                <w:sz w:val="20"/>
              </w:rPr>
              <w:t>Adjusted EPS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color w:val="101820"/>
                <w:sz w:val="20"/>
              </w:rPr>
            </w:pPr>
            <w:r>
              <w:rPr>
                <w:rFonts w:ascii="Symbol" w:hAnsi="Symbol"/>
                <w:color w:val="101820"/>
                <w:sz w:val="20"/>
              </w:rPr>
              <w:t>·</w:t>
            </w:r>
          </w:p>
        </w:tc>
        <w:tc>
          <w:tcPr>
            <w:tcW w:w="10072" w:type="dxa"/>
            <w:tcBorders/>
            <w:vAlign w:val="center"/>
          </w:tcPr>
          <w:p>
            <w:pPr>
              <w:pStyle w:val="TableContents"/>
              <w:bidi w:val="0"/>
              <w:spacing w:before="0" w:after="283"/>
              <w:jc w:val="both"/>
              <w:rPr>
                <w:sz w:val="20"/>
              </w:rPr>
            </w:pPr>
            <w:r>
              <w:rPr>
                <w:sz w:val="20"/>
              </w:rPr>
              <w:t xml:space="preserve">Revenue of $439 million decreased by 3% compared to the second quarter of 2023, </w:t>
            </w:r>
            <w:r>
              <w:rPr>
                <w:color w:val="101820"/>
                <w:sz w:val="20"/>
              </w:rPr>
              <w:t xml:space="preserve">due to a </w:t>
            </w:r>
            <w:r>
              <w:rPr>
                <w:sz w:val="20"/>
              </w:rPr>
              <w:t xml:space="preserve">10% </w:t>
            </w:r>
            <w:r>
              <w:rPr>
                <w:color w:val="101820"/>
                <w:sz w:val="20"/>
              </w:rPr>
              <w:t>decrease in EyeQ SoC-related revenue. This was primarily attributable to usage of the remaining excess inventory at our Tier 1 customers to satisfy demand in Q2 of 2024. Most of this decrease was offset by a significant increase in SuperVision related revenue on a year-over-year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Average System Price</w:t>
            </w:r>
            <w:r>
              <w:rPr>
                <w:position w:val="7"/>
                <w:sz w:val="16"/>
                <w:sz w:val="20"/>
              </w:rPr>
              <w:t>2</w:t>
            </w:r>
            <w:r>
              <w:rPr>
                <w:sz w:val="20"/>
              </w:rPr>
              <w:t xml:space="preserve"> was $54.4 in the second quarter of 2024 as compared to $51.7 in the prior year period primarily due to the higher percentage of SuperVision-related revenue as compared to the second quarter of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color w:val="101820"/>
                <w:sz w:val="20"/>
              </w:rPr>
              <w:t xml:space="preserve">Gross Margin declined by nearly </w:t>
            </w:r>
            <w:r>
              <w:rPr>
                <w:sz w:val="20"/>
              </w:rPr>
              <w:t xml:space="preserve">2 </w:t>
            </w:r>
            <w:r>
              <w:rPr>
                <w:color w:val="101820"/>
                <w:sz w:val="20"/>
              </w:rPr>
              <w:t>percentage points in the second quarter of 2024 as compared to the prior year period. The decrease was primarily due to the increase in percentage of revenue attributable to SuperVision, partially offset by the impact of the lower cost attributable to amortization of intangible assets as a percentage of revenue.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color w:val="101820"/>
                <w:sz w:val="20"/>
              </w:rPr>
              <w:t xml:space="preserve">Adjusted Gross Margin declined by nearly </w:t>
            </w:r>
            <w:r>
              <w:rPr>
                <w:sz w:val="20"/>
              </w:rPr>
              <w:t xml:space="preserve">3 </w:t>
            </w:r>
            <w:r>
              <w:rPr>
                <w:color w:val="101820"/>
                <w:sz w:val="20"/>
              </w:rPr>
              <w:t>percentage points in the second quarter of 2024 as compared to the prior year period. The decrease was primarily due to the increase in percentage of revenue attributable to SuperVision.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color w:val="101820"/>
                <w:sz w:val="20"/>
              </w:rPr>
            </w:pPr>
            <w:r>
              <w:rPr>
                <w:rFonts w:ascii="Symbol" w:hAnsi="Symbol"/>
                <w:color w:val="101820"/>
                <w:sz w:val="20"/>
              </w:rPr>
              <w:t>·</w:t>
            </w:r>
          </w:p>
        </w:tc>
        <w:tc>
          <w:tcPr>
            <w:tcW w:w="10072" w:type="dxa"/>
            <w:tcBorders/>
            <w:vAlign w:val="center"/>
          </w:tcPr>
          <w:p>
            <w:pPr>
              <w:pStyle w:val="TableContents"/>
              <w:bidi w:val="0"/>
              <w:spacing w:before="0" w:after="283"/>
              <w:jc w:val="both"/>
              <w:rPr>
                <w:sz w:val="20"/>
              </w:rPr>
            </w:pPr>
            <w:r>
              <w:rPr>
                <w:color w:val="101820"/>
                <w:sz w:val="20"/>
              </w:rPr>
              <w:t xml:space="preserve">Operating Margin declined by </w:t>
            </w:r>
            <w:r>
              <w:rPr>
                <w:sz w:val="20"/>
              </w:rPr>
              <w:t xml:space="preserve">14 </w:t>
            </w:r>
            <w:r>
              <w:rPr>
                <w:color w:val="101820"/>
                <w:sz w:val="20"/>
              </w:rPr>
              <w:t>percentage points in the second quarter of 2024 as compared to th</w:t>
            </w:r>
            <w:r>
              <w:rPr>
                <w:color w:val="101820"/>
                <w:sz w:val="20"/>
                <w:shd w:fill="FFFFFF" w:val="clear"/>
              </w:rPr>
              <w:t>e prior year period. The decrease was primarily due to higher operating expenses in second quarter of 2024 on a similar revenue base, in addition to the lower Gross Margin.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color w:val="101820"/>
                <w:sz w:val="20"/>
                <w:shd w:fill="FFFFFF" w:val="clear"/>
              </w:rPr>
            </w:pPr>
            <w:r>
              <w:rPr>
                <w:rFonts w:ascii="Symbol" w:hAnsi="Symbol"/>
                <w:color w:val="101820"/>
                <w:sz w:val="20"/>
                <w:shd w:fill="FFFFFF" w:val="clear"/>
              </w:rPr>
              <w:t>·</w:t>
            </w:r>
          </w:p>
        </w:tc>
        <w:tc>
          <w:tcPr>
            <w:tcW w:w="10072" w:type="dxa"/>
            <w:tcBorders/>
            <w:vAlign w:val="center"/>
          </w:tcPr>
          <w:p>
            <w:pPr>
              <w:pStyle w:val="TableContents"/>
              <w:bidi w:val="0"/>
              <w:spacing w:before="0" w:after="283"/>
              <w:jc w:val="both"/>
              <w:rPr>
                <w:sz w:val="20"/>
              </w:rPr>
            </w:pPr>
            <w:r>
              <w:rPr>
                <w:color w:val="101820"/>
                <w:sz w:val="20"/>
                <w:shd w:fill="FFFFFF" w:val="clear"/>
              </w:rPr>
              <w:t xml:space="preserve">Adjusted Operating Margin declined by </w:t>
            </w:r>
            <w:r>
              <w:rPr>
                <w:sz w:val="20"/>
              </w:rPr>
              <w:t xml:space="preserve">13 </w:t>
            </w:r>
            <w:r>
              <w:rPr>
                <w:color w:val="101820"/>
                <w:sz w:val="20"/>
              </w:rPr>
              <w:t xml:space="preserve">percentage points </w:t>
            </w:r>
            <w:r>
              <w:rPr>
                <w:color w:val="101820"/>
                <w:sz w:val="20"/>
                <w:shd w:fill="FFFFFF" w:val="clear"/>
              </w:rPr>
              <w:t>in the second quarter of 2024 as compared to the prior year period. The decrease was primarily due to higher operating expenses on a similar revenue base, in addition to the lower Adjusted Gross Margin.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Operating cash flow for the six months ended June 29, 2024 was $70 million. Cash used in purchases of property and equipment was $46 million for that same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color w:val="101820"/>
          <w:sz w:val="20"/>
        </w:rPr>
        <w:t>Mobileye’s revenue for the periods presented represent estimated volumes based on projections of future production volumes that were provided by our current and prospective OEMs at the time of sourcing the design wins for the models related to those design wins. Further, achievement of a design win is subject to multiple factors, many of which are outside of Mobileye's control. Any statement on the timing of design wins is an estimate only and subject to change. See the disclaimer under the heading “Forward-Looking Statements” below for important limitations applicable to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color w:val="101820"/>
          <w:sz w:val="20"/>
        </w:rPr>
        <w:t>Average System Price is calculated as the sum of revenue related to EyeQ</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01820"/>
          <w:sz w:val="20"/>
        </w:rPr>
        <w:t>and SuperVision systems, divided by the number of systems shipped.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Updated Financial Guidance for the 2024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updating our guidance for the 2024 fiscal year that we last provided on April 25, 2024:</w:t>
      </w:r>
    </w:p>
    <w:p>
      <w:pPr>
        <w:pStyle w:val="TextBody"/>
        <w:bidi w:val="0"/>
        <w:spacing w:before="0" w:after="0"/>
        <w:ind w:left="0" w:right="0" w:hanging="0"/>
        <w:jc w:val="left"/>
        <w:rPr>
          <w:caps w:val="false"/>
          <w:smallCaps w:val="false"/>
        </w:rPr>
      </w:pPr>
      <w:r>
        <w:rPr>
          <w:caps w:val="false"/>
          <w:smallCaps w:val="false"/>
        </w:rPr>
        <w:t> </w:t>
      </w:r>
    </w:p>
    <w:tbl>
      <w:tblPr>
        <w:tblW w:w="6947" w:type="dxa"/>
        <w:jc w:val="left"/>
        <w:tblInd w:w="0" w:type="dxa"/>
        <w:tblLayout w:type="fixed"/>
        <w:tblCellMar>
          <w:top w:w="0" w:type="dxa"/>
          <w:left w:w="0" w:type="dxa"/>
          <w:bottom w:w="0" w:type="dxa"/>
          <w:right w:w="0" w:type="dxa"/>
        </w:tblCellMar>
      </w:tblPr>
      <w:tblGrid>
        <w:gridCol w:w="3470"/>
        <w:gridCol w:w="60"/>
        <w:gridCol w:w="145"/>
        <w:gridCol w:w="563"/>
        <w:gridCol w:w="92"/>
        <w:gridCol w:w="69"/>
        <w:gridCol w:w="145"/>
        <w:gridCol w:w="563"/>
        <w:gridCol w:w="80"/>
        <w:gridCol w:w="60"/>
        <w:gridCol w:w="1625"/>
        <w:gridCol w:w="7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Updated Guidance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Previous Guidance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U.S. dollars in millions</w:t>
            </w:r>
          </w:p>
        </w:tc>
        <w:tc>
          <w:tcPr>
            <w:tcW w:w="60" w:type="dxa"/>
            <w:tcBorders/>
            <w:vAlign w:val="center"/>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Low</w:t>
            </w:r>
          </w:p>
        </w:tc>
        <w:tc>
          <w:tcPr>
            <w:tcW w:w="9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High</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Range</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b/>
                <w:sz w:val="20"/>
              </w:rPr>
            </w:pPr>
            <w:r>
              <w:rPr>
                <w:b/>
                <w:sz w:val="20"/>
              </w:rPr>
              <w:t>Revenue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56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1,600</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56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5" w:type="dxa"/>
            <w:tcBorders>
              <w:bottom w:val="single" w:sz="8" w:space="0" w:color="000000"/>
            </w:tcBorders>
            <w:shd w:fill="CCEEFF" w:val="clear"/>
            <w:tcMar>
              <w:bottom w:w="28" w:type="dxa"/>
            </w:tcMar>
            <w:vAlign w:val="center"/>
          </w:tcPr>
          <w:p>
            <w:pPr>
              <w:pStyle w:val="TableContents"/>
              <w:bidi w:val="0"/>
              <w:spacing w:before="0" w:after="283"/>
              <w:jc w:val="center"/>
              <w:rPr>
                <w:b/>
                <w:sz w:val="20"/>
              </w:rPr>
            </w:pPr>
            <w:r>
              <w:rPr>
                <w:b/>
                <w:sz w:val="20"/>
              </w:rPr>
              <w:t>$1,830 - 1,960</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b/>
                <w:sz w:val="20"/>
              </w:rPr>
            </w:pPr>
            <w:r>
              <w:rPr>
                <w:b/>
                <w:sz w:val="20"/>
              </w:rPr>
              <w:t>Operating Loss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sz w:val="20"/>
              </w:rPr>
            </w:pPr>
            <w:r>
              <w:rPr>
                <w:sz w:val="20"/>
              </w:rPr>
              <w:t>$</w:t>
            </w:r>
          </w:p>
        </w:tc>
        <w:tc>
          <w:tcPr>
            <w:tcW w:w="563" w:type="dxa"/>
            <w:tcBorders/>
            <w:shd w:fill="FFFFFF" w:val="clear"/>
            <w:vAlign w:val="center"/>
          </w:tcPr>
          <w:p>
            <w:pPr>
              <w:pStyle w:val="TableContents"/>
              <w:bidi w:val="0"/>
              <w:spacing w:before="0" w:after="283"/>
              <w:jc w:val="right"/>
              <w:rPr>
                <w:sz w:val="20"/>
              </w:rPr>
            </w:pPr>
            <w:r>
              <w:rPr>
                <w:sz w:val="20"/>
              </w:rPr>
              <w:t>(580</w:t>
            </w:r>
          </w:p>
        </w:tc>
        <w:tc>
          <w:tcPr>
            <w:tcW w:w="92" w:type="dxa"/>
            <w:tcBorders/>
            <w:shd w:fill="FFFFFF" w:val="clear"/>
            <w:vAlign w:val="center"/>
          </w:tcPr>
          <w:p>
            <w:pPr>
              <w:pStyle w:val="TableContents"/>
              <w:bidi w:val="0"/>
              <w:spacing w:before="0" w:after="283"/>
              <w:jc w:val="left"/>
              <w:rPr>
                <w:sz w:val="20"/>
              </w:rPr>
            </w:pPr>
            <w:r>
              <w:rPr>
                <w:sz w:val="20"/>
              </w:rPr>
              <w:t>)</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sz w:val="20"/>
              </w:rPr>
            </w:pPr>
            <w:r>
              <w:rPr>
                <w:sz w:val="20"/>
              </w:rPr>
              <w:t>$</w:t>
            </w:r>
          </w:p>
        </w:tc>
        <w:tc>
          <w:tcPr>
            <w:tcW w:w="563" w:type="dxa"/>
            <w:tcBorders/>
            <w:shd w:fill="FFFFFF" w:val="clear"/>
            <w:vAlign w:val="center"/>
          </w:tcPr>
          <w:p>
            <w:pPr>
              <w:pStyle w:val="TableContents"/>
              <w:bidi w:val="0"/>
              <w:spacing w:before="0" w:after="283"/>
              <w:jc w:val="right"/>
              <w:rPr>
                <w:sz w:val="20"/>
              </w:rPr>
            </w:pPr>
            <w:r>
              <w:rPr>
                <w:sz w:val="20"/>
              </w:rPr>
              <w:t>(531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sz w:val="20"/>
              </w:rPr>
            </w:pPr>
            <w:r>
              <w:rPr>
                <w:sz w:val="20"/>
              </w:rPr>
              <w:t>$(468) - (378)</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sz w:val="20"/>
              </w:rPr>
            </w:pPr>
            <w:r>
              <w:rPr>
                <w:sz w:val="20"/>
              </w:rPr>
              <w:t>Amortization of acquired intangible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20"/>
              </w:rPr>
            </w:pPr>
            <w:r>
              <w:rPr>
                <w:sz w:val="20"/>
              </w:rPr>
              <w:t>$</w:t>
            </w:r>
          </w:p>
        </w:tc>
        <w:tc>
          <w:tcPr>
            <w:tcW w:w="563" w:type="dxa"/>
            <w:tcBorders/>
            <w:shd w:fill="CCEEFF" w:val="clear"/>
            <w:vAlign w:val="center"/>
          </w:tcPr>
          <w:p>
            <w:pPr>
              <w:pStyle w:val="TableContents"/>
              <w:bidi w:val="0"/>
              <w:spacing w:before="0" w:after="283"/>
              <w:jc w:val="right"/>
              <w:rPr>
                <w:sz w:val="20"/>
              </w:rPr>
            </w:pPr>
            <w:r>
              <w:rPr>
                <w:sz w:val="20"/>
              </w:rPr>
              <w:t>444</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20"/>
              </w:rPr>
            </w:pPr>
            <w:r>
              <w:rPr>
                <w:sz w:val="20"/>
              </w:rPr>
              <w:t>$</w:t>
            </w:r>
          </w:p>
        </w:tc>
        <w:tc>
          <w:tcPr>
            <w:tcW w:w="563" w:type="dxa"/>
            <w:tcBorders/>
            <w:shd w:fill="CCEEFF" w:val="clear"/>
            <w:vAlign w:val="center"/>
          </w:tcPr>
          <w:p>
            <w:pPr>
              <w:pStyle w:val="TableContents"/>
              <w:bidi w:val="0"/>
              <w:spacing w:before="0" w:after="283"/>
              <w:jc w:val="right"/>
              <w:rPr>
                <w:sz w:val="20"/>
              </w:rPr>
            </w:pPr>
            <w:r>
              <w:rPr>
                <w:sz w:val="20"/>
              </w:rPr>
              <w:t>444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sz w:val="20"/>
              </w:rPr>
            </w:pPr>
            <w:r>
              <w:rPr>
                <w:sz w:val="20"/>
              </w:rPr>
              <w:t>$444</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sz w:val="20"/>
              </w:rPr>
            </w:pPr>
            <w:r>
              <w:rPr>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288</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5"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$294</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b/>
                <w:sz w:val="20"/>
              </w:rPr>
            </w:pPr>
            <w:r>
              <w:rPr>
                <w:b/>
                <w:sz w:val="20"/>
              </w:rPr>
              <w:t>Adjusted Operating Income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sz w:val="20"/>
              </w:rPr>
            </w:pPr>
            <w:r>
              <w:rPr>
                <w:b/>
                <w:sz w:val="20"/>
              </w:rPr>
              <w:t>$</w:t>
            </w:r>
          </w:p>
        </w:tc>
        <w:tc>
          <w:tcPr>
            <w:tcW w:w="563" w:type="dxa"/>
            <w:tcBorders/>
            <w:shd w:fill="CCEEFF" w:val="clear"/>
            <w:vAlign w:val="center"/>
          </w:tcPr>
          <w:p>
            <w:pPr>
              <w:pStyle w:val="TableContents"/>
              <w:bidi w:val="0"/>
              <w:spacing w:before="0" w:after="283"/>
              <w:jc w:val="right"/>
              <w:rPr>
                <w:b/>
                <w:sz w:val="20"/>
              </w:rPr>
            </w:pPr>
            <w:r>
              <w:rPr>
                <w:b/>
                <w:sz w:val="20"/>
              </w:rPr>
              <w:t>152</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sz w:val="20"/>
              </w:rPr>
            </w:pPr>
            <w:r>
              <w:rPr>
                <w:b/>
                <w:sz w:val="20"/>
              </w:rPr>
              <w:t>$</w:t>
            </w:r>
          </w:p>
        </w:tc>
        <w:tc>
          <w:tcPr>
            <w:tcW w:w="563" w:type="dxa"/>
            <w:tcBorders/>
            <w:shd w:fill="CCEEFF" w:val="clear"/>
            <w:vAlign w:val="center"/>
          </w:tcPr>
          <w:p>
            <w:pPr>
              <w:pStyle w:val="TableContents"/>
              <w:bidi w:val="0"/>
              <w:spacing w:before="0" w:after="283"/>
              <w:jc w:val="right"/>
              <w:rPr>
                <w:b/>
                <w:sz w:val="20"/>
              </w:rPr>
            </w:pPr>
            <w:r>
              <w:rPr>
                <w:b/>
                <w:sz w:val="20"/>
              </w:rPr>
              <w:t>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b/>
                <w:sz w:val="20"/>
              </w:rPr>
            </w:pPr>
            <w:r>
              <w:rPr>
                <w:b/>
                <w:sz w:val="20"/>
              </w:rPr>
              <w:t>$270 - 360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updated guidance reflects a 13% reduction in expected Revenue, at the midpoint, due to reductions in the outlook for both EyeQ and SuperVision shipments for the remainder of 2024 as a result of the previously discussed factors affecting our expectations for the second half of 2024. Our updated guidance also reflects an increase in Operating Loss (GAAP) and a reduction in Adjusted Operating Income (Non-GAAP), at the midpoint, of 31% and 44%, respectively, due to the decremental margin on lower revenue, partially offset by modestly lower than expected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101820"/>
          <w:sz w:val="20"/>
        </w:rPr>
      </w:pPr>
      <w:r>
        <w:rPr>
          <w:rFonts w:ascii="Times New Roman;Times;Serif" w:hAnsi="Times New Roman;Times;Serif"/>
          <w:b w:val="false"/>
          <w:i w:val="false"/>
          <w:caps w:val="false"/>
          <w:smallCaps w:val="false"/>
          <w:color w:val="101820"/>
          <w:sz w:val="20"/>
        </w:rPr>
        <w:t>The following information reflects Mobileye’s expectations for Revenue, Operating Loss and Adjusted Operating Income results for the year ending December 28, 2024. We believe Adjusted Operating Income (a non-GAAP metric) is an appropriate metric as it excludes significant non-cash expenses including: 1) Amortization charges related to intangible assets consisting of developed technology, customer relationships, and brands as a result of Intel’s acquisition of Mobileye in 2017 and the acquisition of Moovit in 2020; and, 2) Share-based compensation expense. These statements represent forward-looking information and may not represent a financial outlook, and actual results may vary. Please see the risks and assumptions referred to in the Forward-Looking Statements section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Conference Call Webcast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will host a conference call today, August 1, 2024, at 8:00am ET (3:00pm IT) to review its results and provide a general business update. The conference call will be accessible live via a webcast on Mobileye’s investor relations site, which can be found at ir.mobileye.com, and a replay of the webcast will be made available shortly after the event’s conclusion.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Adjusted Gross Profit and Margin, Adjusted Operating Income and Margin, Adjusted Net Income and Adjusted EPS,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(Loss) as operating loss presented in accordance with GAAP, adjusted to exclude amortization of acquisition related intangibles, share-based compensation expenses. Operating margin is calculated as Operating Income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Adjusted Basic EPS is calculated by dividing Adjusted Net Income for the period by the weighted-average number of common shares outstanding during the period. Adjusted Diluted EPS is calculated by dividing Adjusted Net Income (Loss) by the weighted-average number of common shares outstanding during the period, while giving effect to all potentially dilutive common shares to the extent they are 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Mobileye Global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(Nasdaq: MBLY) leads the mobility revolution with its autonomous driving and driver-assistance technologies, harnessing world-renowned expertise in computer vision, artificial intelligence, mapping, and data analysis. Since its founding in 1999, Mobileye has pioneered such groundbreaking technologies as REM™ crowdsourced mapping, True Redundancy™ sensing, and Responsibility Sensitive Safety (RSS). These technologies are driving the ADAS and AV fields towards the future of mobility – enabling self-driving vehicles and mobility solutions, powering industry-leading advanced driver-assistance systems and delivering valuable intelligence to optimize mobility infrastructure. To date, approximately 180 million vehicles worldwide have been built with Mobileye technology inside. In 2022 Mobileye listed as an independent company separate from Intel (Nasdaq: INTC), which retains majority ownership. For more information, visit https://www.mobileye.com.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Mobileye,” the Mobileye logo and Mobileye product names are registered trademarks of Mobileye Global. All other marks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62626"/>
          <w:sz w:val="20"/>
        </w:rPr>
      </w:pPr>
      <w:r>
        <w:rPr>
          <w:rFonts w:ascii="Times New Roman;Times;Serif" w:hAnsi="Times New Roman;Times;Serif"/>
          <w:b w:val="false"/>
          <w:i w:val="false"/>
          <w:caps w:val="false"/>
          <w:smallCaps w:val="false"/>
          <w:color w:val="262626"/>
          <w:sz w:val="20"/>
        </w:rPr>
        <w:t>Mobileye’s business outlook, guidance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2024 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Important factors that may materially affect such forward-looking statements and projections include the following: </w:t>
      </w:r>
      <w:r>
        <w:rPr>
          <w:rFonts w:ascii="Times New Roman;Times;Serif" w:hAnsi="Times New Roman;Times;Serif"/>
          <w:b w:val="false"/>
          <w:i w:val="false"/>
          <w:caps w:val="false"/>
          <w:smallCaps w:val="false"/>
          <w:sz w:val="20"/>
        </w:rPr>
        <w:t>future business, social and 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including expectations about excess inventory utilization by customers; our ability to effectively compete in the markets in which we operate; future products and technology, and the expected availability and benefits of such products and technology; development of regulatory frameworks for current and future technology; changes in regulation and trade policy, including increased tariffs, in regions in which we operate, including the US, Europe and China;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effects of the COVID-19 pandemic and responses to future pandemics; adverse conditions in Israel, including as a result of war and geopolitical conflict, which may affect our operations and may limit our ability to produce and sell our solutions; any disruption in our operations by the obligations of our personnel to perform military service as a result of current or future military actions involving Israel; availability, uses, sufficiency and cost of capital and capital resources, including expected returns to stockholders such as dividends, and the expected timing of future dividends; tax- and accounting-related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101820"/>
          <w:sz w:val="20"/>
        </w:rPr>
      </w:pPr>
      <w:r>
        <w:rPr>
          <w:rFonts w:ascii="Times New Roman;Times;Serif" w:hAnsi="Times New Roman;Times;Serif"/>
          <w:b w:val="false"/>
          <w:i w:val="false"/>
          <w:caps w:val="false"/>
          <w:smallCaps w:val="false"/>
          <w:color w:val="101820"/>
          <w:sz w:val="20"/>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Detailed information regarding these and other factors that could affect Mobileye’s business and results is included in Mobileye’s SEC filings, including the company’s Annual Report on Form 10-K for the year ended December 30, 2023, particularly in the section entitled “Item 1A. Risk Factors”. Copies of these filings may be obtained by visiting our Investor Relations website at </w:t>
      </w:r>
      <w:r>
        <w:rPr>
          <w:rFonts w:ascii="Times New Roman;Times;Serif" w:hAnsi="Times New Roman;Times;Serif"/>
          <w:b w:val="false"/>
          <w:i w:val="false"/>
          <w:caps w:val="false"/>
          <w:smallCaps w:val="false"/>
          <w:sz w:val="20"/>
        </w:rPr>
        <w:t xml:space="preserve">ir.mobileye.com </w:t>
      </w:r>
      <w:r>
        <w:rPr>
          <w:rFonts w:ascii="Times New Roman;Times;Serif" w:hAnsi="Times New Roman;Times;Serif"/>
          <w:b w:val="false"/>
          <w:i w:val="false"/>
          <w:caps w:val="false"/>
          <w:smallCaps w:val="false"/>
          <w:color w:val="262626"/>
          <w:sz w:val="20"/>
        </w:rPr>
        <w:t xml:space="preserve">or the SEC’s website at </w:t>
      </w:r>
      <w:r>
        <w:rPr>
          <w:rFonts w:ascii="Times New Roman;Times;Serif" w:hAnsi="Times New Roman;Times;Serif"/>
          <w:b w:val="false"/>
          <w:i w:val="false"/>
          <w:caps w:val="false"/>
          <w:smallCaps w:val="false"/>
          <w:sz w:val="20"/>
        </w:rPr>
        <w:t>www.sec.gov</w:t>
      </w:r>
      <w:r>
        <w:rPr>
          <w:rFonts w:ascii="Times New Roman;Times;Serif" w:hAnsi="Times New Roman;Times;Serif"/>
          <w:b w:val="false"/>
          <w:i w:val="false"/>
          <w:caps w:val="false"/>
          <w:smallCaps w:val="false"/>
          <w:color w:val="262626"/>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2024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Statements of Operations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82"/>
        <w:gridCol w:w="60"/>
        <w:gridCol w:w="230"/>
        <w:gridCol w:w="785"/>
        <w:gridCol w:w="100"/>
        <w:gridCol w:w="75"/>
        <w:gridCol w:w="202"/>
        <w:gridCol w:w="679"/>
        <w:gridCol w:w="80"/>
        <w:gridCol w:w="60"/>
        <w:gridCol w:w="223"/>
        <w:gridCol w:w="792"/>
        <w:gridCol w:w="90"/>
        <w:gridCol w:w="67"/>
        <w:gridCol w:w="202"/>
        <w:gridCol w:w="679"/>
        <w:gridCol w:w="99"/>
      </w:tblGrid>
      <w:tr>
        <w:trPr/>
        <w:tc>
          <w:tcPr>
            <w:tcW w:w="5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1"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99" w:type="dxa"/>
            <w:tcBorders/>
            <w:vAlign w:val="center"/>
          </w:tcPr>
          <w:p>
            <w:pPr>
              <w:pStyle w:val="TableContents"/>
              <w:bidi w:val="0"/>
              <w:spacing w:before="0" w:after="283"/>
              <w:jc w:val="left"/>
              <w:rPr/>
            </w:pPr>
            <w:r>
              <w:rPr/>
              <w:t> </w:t>
            </w:r>
          </w:p>
        </w:tc>
      </w:tr>
      <w:tr>
        <w:trPr/>
        <w:tc>
          <w:tcPr>
            <w:tcW w:w="5782"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U.S. dollars in millions, except share and per share amounts</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29, 2024</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1, 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29, 2024</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1, 2023</w:t>
            </w:r>
          </w:p>
        </w:tc>
        <w:tc>
          <w:tcPr>
            <w:tcW w:w="99" w:type="dxa"/>
            <w:tcBorders/>
            <w:vAlign w:val="center"/>
          </w:tcPr>
          <w:p>
            <w:pPr>
              <w:pStyle w:val="TableContents"/>
              <w:bidi w:val="0"/>
              <w:spacing w:before="0" w:after="283"/>
              <w:jc w:val="left"/>
              <w:rPr/>
            </w:pPr>
            <w:r>
              <w:rPr/>
              <w:t> </w:t>
            </w:r>
          </w:p>
        </w:tc>
      </w:tr>
      <w:tr>
        <w:trPr/>
        <w:tc>
          <w:tcPr>
            <w:tcW w:w="5782"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20"/>
              </w:rPr>
            </w:pPr>
            <w:r>
              <w:rPr>
                <w:sz w:val="20"/>
              </w:rPr>
              <w:t>$</w:t>
            </w:r>
          </w:p>
        </w:tc>
        <w:tc>
          <w:tcPr>
            <w:tcW w:w="785" w:type="dxa"/>
            <w:tcBorders/>
            <w:shd w:fill="CCEEFF" w:val="clear"/>
            <w:vAlign w:val="center"/>
          </w:tcPr>
          <w:p>
            <w:pPr>
              <w:pStyle w:val="TableContents"/>
              <w:bidi w:val="0"/>
              <w:spacing w:before="0" w:after="283"/>
              <w:jc w:val="right"/>
              <w:rPr>
                <w:sz w:val="20"/>
              </w:rPr>
            </w:pPr>
            <w:r>
              <w:rPr>
                <w:sz w:val="20"/>
              </w:rPr>
              <w:t>439</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20"/>
              </w:rPr>
            </w:pPr>
            <w:r>
              <w:rPr>
                <w:sz w:val="20"/>
              </w:rPr>
              <w:t>$</w:t>
            </w:r>
          </w:p>
        </w:tc>
        <w:tc>
          <w:tcPr>
            <w:tcW w:w="679" w:type="dxa"/>
            <w:tcBorders/>
            <w:shd w:fill="CCEEFF" w:val="clear"/>
            <w:vAlign w:val="center"/>
          </w:tcPr>
          <w:p>
            <w:pPr>
              <w:pStyle w:val="TableContents"/>
              <w:bidi w:val="0"/>
              <w:spacing w:before="0" w:after="283"/>
              <w:jc w:val="right"/>
              <w:rPr>
                <w:sz w:val="20"/>
              </w:rPr>
            </w:pPr>
            <w:r>
              <w:rPr>
                <w:sz w:val="20"/>
              </w:rPr>
              <w:t>454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20"/>
              </w:rPr>
            </w:pPr>
            <w:r>
              <w:rPr>
                <w:sz w:val="20"/>
              </w:rPr>
              <w:t>$</w:t>
            </w:r>
          </w:p>
        </w:tc>
        <w:tc>
          <w:tcPr>
            <w:tcW w:w="792" w:type="dxa"/>
            <w:tcBorders/>
            <w:shd w:fill="CCEEFF" w:val="clear"/>
            <w:vAlign w:val="center"/>
          </w:tcPr>
          <w:p>
            <w:pPr>
              <w:pStyle w:val="TableContents"/>
              <w:bidi w:val="0"/>
              <w:spacing w:before="0" w:after="283"/>
              <w:jc w:val="right"/>
              <w:rPr>
                <w:sz w:val="20"/>
              </w:rPr>
            </w:pPr>
            <w:r>
              <w:rPr>
                <w:sz w:val="20"/>
              </w:rPr>
              <w:t>678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20"/>
              </w:rPr>
            </w:pPr>
            <w:r>
              <w:rPr>
                <w:sz w:val="20"/>
              </w:rPr>
              <w:t>$</w:t>
            </w:r>
          </w:p>
        </w:tc>
        <w:tc>
          <w:tcPr>
            <w:tcW w:w="679" w:type="dxa"/>
            <w:tcBorders/>
            <w:shd w:fill="CCEEFF" w:val="clear"/>
            <w:vAlign w:val="center"/>
          </w:tcPr>
          <w:p>
            <w:pPr>
              <w:pStyle w:val="TableContents"/>
              <w:bidi w:val="0"/>
              <w:spacing w:before="0" w:after="283"/>
              <w:jc w:val="right"/>
              <w:rPr>
                <w:sz w:val="20"/>
              </w:rPr>
            </w:pPr>
            <w:r>
              <w:rPr>
                <w:sz w:val="20"/>
              </w:rPr>
              <w:t>912</w:t>
            </w:r>
          </w:p>
        </w:tc>
        <w:tc>
          <w:tcPr>
            <w:tcW w:w="99" w:type="dxa"/>
            <w:tcBorders/>
            <w:shd w:fill="CCEEFF" w:val="clear"/>
            <w:vAlign w:val="center"/>
          </w:tcPr>
          <w:p>
            <w:pPr>
              <w:pStyle w:val="TableContents"/>
              <w:bidi w:val="0"/>
              <w:spacing w:before="0" w:after="283"/>
              <w:jc w:val="left"/>
              <w:rPr/>
            </w:pPr>
            <w:r>
              <w:rPr/>
              <w:t> </w:t>
            </w:r>
          </w:p>
        </w:tc>
      </w:tr>
      <w:tr>
        <w:trPr/>
        <w:tc>
          <w:tcPr>
            <w:tcW w:w="5782" w:type="dxa"/>
            <w:tcBorders/>
            <w:shd w:fill="FFFFFF" w:val="clear"/>
            <w:vAlign w:val="center"/>
          </w:tcPr>
          <w:p>
            <w:pPr>
              <w:pStyle w:val="TableContents"/>
              <w:bidi w:val="0"/>
              <w:spacing w:before="0" w:after="283"/>
              <w:jc w:val="left"/>
              <w:rPr>
                <w:sz w:val="20"/>
              </w:rPr>
            </w:pPr>
            <w:r>
              <w:rPr>
                <w:sz w:val="20"/>
              </w:rPr>
              <w:t>Cost of revenue</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230</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481</w:t>
            </w:r>
          </w:p>
        </w:tc>
        <w:tc>
          <w:tcPr>
            <w:tcW w:w="99" w:type="dxa"/>
            <w:tcBorders/>
            <w:shd w:fill="FFFFFF" w:val="clear"/>
            <w:vAlign w:val="center"/>
          </w:tcPr>
          <w:p>
            <w:pPr>
              <w:pStyle w:val="TableContents"/>
              <w:bidi w:val="0"/>
              <w:spacing w:before="0" w:after="283"/>
              <w:jc w:val="left"/>
              <w:rPr/>
            </w:pPr>
            <w:r>
              <w:rPr/>
              <w:t> </w:t>
            </w:r>
          </w:p>
        </w:tc>
      </w:tr>
      <w:tr>
        <w:trPr/>
        <w:tc>
          <w:tcPr>
            <w:tcW w:w="5782" w:type="dxa"/>
            <w:tcBorders/>
            <w:shd w:fill="CCEEFF" w:val="clear"/>
            <w:vAlign w:val="center"/>
          </w:tcPr>
          <w:p>
            <w:pPr>
              <w:pStyle w:val="TableContents"/>
              <w:bidi w:val="0"/>
              <w:spacing w:before="0" w:after="283"/>
              <w:jc w:val="left"/>
              <w:rPr>
                <w:b/>
                <w:sz w:val="20"/>
              </w:rPr>
            </w:pPr>
            <w:r>
              <w:rPr>
                <w:b/>
                <w:sz w:val="20"/>
              </w:rPr>
              <w:t>Gross profit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b/>
                <w:sz w:val="20"/>
              </w:rPr>
            </w:pPr>
            <w:r>
              <w:rPr>
                <w:b/>
                <w:sz w:val="20"/>
              </w:rPr>
              <w:t>209</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b/>
                <w:sz w:val="20"/>
              </w:rPr>
            </w:pPr>
            <w:r>
              <w:rPr>
                <w:b/>
                <w:sz w:val="20"/>
              </w:rPr>
              <w:t>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b/>
                <w:sz w:val="20"/>
              </w:rPr>
            </w:pPr>
            <w:r>
              <w:rPr>
                <w:b/>
                <w:sz w:val="20"/>
              </w:rPr>
              <w:t>263</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b/>
                <w:sz w:val="20"/>
              </w:rPr>
            </w:pPr>
            <w:r>
              <w:rPr>
                <w:b/>
                <w:sz w:val="20"/>
              </w:rPr>
              <w:t>431</w:t>
            </w:r>
          </w:p>
        </w:tc>
        <w:tc>
          <w:tcPr>
            <w:tcW w:w="99" w:type="dxa"/>
            <w:tcBorders/>
            <w:shd w:fill="CCEEFF" w:val="clear"/>
            <w:vAlign w:val="center"/>
          </w:tcPr>
          <w:p>
            <w:pPr>
              <w:pStyle w:val="TableContents"/>
              <w:bidi w:val="0"/>
              <w:spacing w:before="0" w:after="283"/>
              <w:jc w:val="left"/>
              <w:rPr/>
            </w:pPr>
            <w:r>
              <w:rPr/>
              <w:t> </w:t>
            </w:r>
          </w:p>
        </w:tc>
      </w:tr>
      <w:tr>
        <w:trPr/>
        <w:tc>
          <w:tcPr>
            <w:tcW w:w="5782" w:type="dxa"/>
            <w:tcBorders/>
            <w:shd w:fill="FFFFFF" w:val="clear"/>
            <w:vAlign w:val="center"/>
          </w:tcPr>
          <w:p>
            <w:pPr>
              <w:pStyle w:val="TableContents"/>
              <w:bidi w:val="0"/>
              <w:spacing w:before="0" w:after="283"/>
              <w:jc w:val="left"/>
              <w:rPr>
                <w:sz w:val="20"/>
              </w:rPr>
            </w:pPr>
            <w:r>
              <w:rPr>
                <w:sz w:val="20"/>
              </w:rPr>
              <w:t>Research and development, net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sz w:val="20"/>
              </w:rPr>
            </w:pPr>
            <w:r>
              <w:rPr>
                <w:sz w:val="20"/>
              </w:rPr>
              <w:t>256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sz w:val="20"/>
              </w:rPr>
            </w:pPr>
            <w:r>
              <w:rPr>
                <w:sz w:val="20"/>
              </w:rPr>
              <w:t>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sz w:val="20"/>
              </w:rPr>
            </w:pPr>
            <w:r>
              <w:rPr>
                <w:sz w:val="20"/>
              </w:rPr>
              <w:t>499</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sz w:val="20"/>
              </w:rPr>
            </w:pPr>
            <w:r>
              <w:rPr>
                <w:sz w:val="20"/>
              </w:rPr>
              <w:t>446</w:t>
            </w:r>
          </w:p>
        </w:tc>
        <w:tc>
          <w:tcPr>
            <w:tcW w:w="99" w:type="dxa"/>
            <w:tcBorders/>
            <w:shd w:fill="FFFFFF" w:val="clear"/>
            <w:vAlign w:val="center"/>
          </w:tcPr>
          <w:p>
            <w:pPr>
              <w:pStyle w:val="TableContents"/>
              <w:bidi w:val="0"/>
              <w:spacing w:before="0" w:after="283"/>
              <w:jc w:val="left"/>
              <w:rPr/>
            </w:pPr>
            <w:r>
              <w:rPr/>
              <w:t> </w:t>
            </w:r>
          </w:p>
        </w:tc>
      </w:tr>
      <w:tr>
        <w:trPr/>
        <w:tc>
          <w:tcPr>
            <w:tcW w:w="5782" w:type="dxa"/>
            <w:tcBorders/>
            <w:shd w:fill="CCEEFF" w:val="clear"/>
            <w:vAlign w:val="center"/>
          </w:tcPr>
          <w:p>
            <w:pPr>
              <w:pStyle w:val="TableContents"/>
              <w:bidi w:val="0"/>
              <w:spacing w:before="0" w:after="283"/>
              <w:jc w:val="left"/>
              <w:rPr>
                <w:sz w:val="20"/>
              </w:rPr>
            </w:pPr>
            <w:r>
              <w:rPr>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sz w:val="20"/>
              </w:rPr>
            </w:pPr>
            <w:r>
              <w:rPr>
                <w:sz w:val="20"/>
              </w:rPr>
              <w:t>28</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sz w:val="20"/>
              </w:rPr>
            </w:pPr>
            <w:r>
              <w:rPr>
                <w:sz w:val="20"/>
              </w:rPr>
              <w:t>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sz w:val="20"/>
              </w:rPr>
            </w:pPr>
            <w:r>
              <w:rPr>
                <w:sz w:val="20"/>
              </w:rPr>
              <w:t>62</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sz w:val="20"/>
              </w:rPr>
            </w:pPr>
            <w:r>
              <w:rPr>
                <w:sz w:val="20"/>
              </w:rPr>
              <w:t>62</w:t>
            </w:r>
          </w:p>
        </w:tc>
        <w:tc>
          <w:tcPr>
            <w:tcW w:w="99" w:type="dxa"/>
            <w:tcBorders/>
            <w:shd w:fill="CCEEFF" w:val="clear"/>
            <w:vAlign w:val="center"/>
          </w:tcPr>
          <w:p>
            <w:pPr>
              <w:pStyle w:val="TableContents"/>
              <w:bidi w:val="0"/>
              <w:spacing w:before="0" w:after="283"/>
              <w:jc w:val="left"/>
              <w:rPr/>
            </w:pPr>
            <w:r>
              <w:rPr/>
              <w:t> </w:t>
            </w:r>
          </w:p>
        </w:tc>
      </w:tr>
      <w:tr>
        <w:trPr/>
        <w:tc>
          <w:tcPr>
            <w:tcW w:w="5782" w:type="dxa"/>
            <w:tcBorders/>
            <w:shd w:fill="FFFFFF" w:val="clear"/>
            <w:vAlign w:val="center"/>
          </w:tcPr>
          <w:p>
            <w:pPr>
              <w:pStyle w:val="TableContents"/>
              <w:bidi w:val="0"/>
              <w:spacing w:before="0" w:after="283"/>
              <w:jc w:val="left"/>
              <w:rPr>
                <w:sz w:val="20"/>
              </w:rPr>
            </w:pPr>
            <w:r>
              <w:rPr>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w:t>
            </w:r>
          </w:p>
        </w:tc>
        <w:tc>
          <w:tcPr>
            <w:tcW w:w="99" w:type="dxa"/>
            <w:tcBorders/>
            <w:shd w:fill="FFFFFF" w:val="clear"/>
            <w:vAlign w:val="center"/>
          </w:tcPr>
          <w:p>
            <w:pPr>
              <w:pStyle w:val="TableContents"/>
              <w:bidi w:val="0"/>
              <w:spacing w:before="0" w:after="283"/>
              <w:jc w:val="left"/>
              <w:rPr/>
            </w:pPr>
            <w:r>
              <w:rPr/>
              <w:t> </w:t>
            </w:r>
          </w:p>
        </w:tc>
      </w:tr>
      <w:tr>
        <w:trPr/>
        <w:tc>
          <w:tcPr>
            <w:tcW w:w="5782" w:type="dxa"/>
            <w:tcBorders/>
            <w:shd w:fill="CCEEFF" w:val="clear"/>
            <w:vAlign w:val="center"/>
          </w:tcPr>
          <w:p>
            <w:pPr>
              <w:pStyle w:val="TableContents"/>
              <w:bidi w:val="0"/>
              <w:spacing w:before="0" w:after="283"/>
              <w:jc w:val="left"/>
              <w:rPr>
                <w:b/>
                <w:sz w:val="20"/>
              </w:rPr>
            </w:pPr>
            <w:r>
              <w:rPr>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303</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595</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545</w:t>
            </w:r>
          </w:p>
        </w:tc>
        <w:tc>
          <w:tcPr>
            <w:tcW w:w="99" w:type="dxa"/>
            <w:tcBorders/>
            <w:shd w:fill="CCEEFF" w:val="clear"/>
            <w:vAlign w:val="center"/>
          </w:tcPr>
          <w:p>
            <w:pPr>
              <w:pStyle w:val="TableContents"/>
              <w:bidi w:val="0"/>
              <w:spacing w:before="0" w:after="283"/>
              <w:jc w:val="left"/>
              <w:rPr/>
            </w:pPr>
            <w:r>
              <w:rPr/>
              <w:t> </w:t>
            </w:r>
          </w:p>
        </w:tc>
      </w:tr>
      <w:tr>
        <w:trPr/>
        <w:tc>
          <w:tcPr>
            <w:tcW w:w="5782" w:type="dxa"/>
            <w:tcBorders/>
            <w:shd w:fill="FFFFFF" w:val="clear"/>
            <w:vAlign w:val="center"/>
          </w:tcPr>
          <w:p>
            <w:pPr>
              <w:pStyle w:val="TableContents"/>
              <w:bidi w:val="0"/>
              <w:spacing w:before="0" w:after="283"/>
              <w:jc w:val="left"/>
              <w:rPr>
                <w:b/>
                <w:sz w:val="20"/>
              </w:rPr>
            </w:pPr>
            <w:r>
              <w:rPr>
                <w:b/>
                <w:sz w:val="20"/>
              </w:rPr>
              <w:t>Operating income (loss)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(94</w:t>
            </w:r>
          </w:p>
        </w:tc>
        <w:tc>
          <w:tcPr>
            <w:tcW w:w="100" w:type="dxa"/>
            <w:tcBorders/>
            <w:shd w:fill="FFFFFF" w:val="clear"/>
            <w:vAlign w:val="center"/>
          </w:tcPr>
          <w:p>
            <w:pPr>
              <w:pStyle w:val="TableContents"/>
              <w:bidi w:val="0"/>
              <w:spacing w:before="0" w:after="283"/>
              <w:jc w:val="left"/>
              <w:rPr>
                <w:b/>
                <w:sz w:val="20"/>
              </w:rPr>
            </w:pPr>
            <w:r>
              <w:rPr>
                <w:b/>
                <w:sz w:val="20"/>
              </w:rPr>
              <w:t>)</w:t>
            </w:r>
          </w:p>
        </w:tc>
        <w:tc>
          <w:tcPr>
            <w:tcW w:w="75"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(33</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(332</w:t>
            </w:r>
          </w:p>
        </w:tc>
        <w:tc>
          <w:tcPr>
            <w:tcW w:w="90" w:type="dxa"/>
            <w:tcBorders/>
            <w:shd w:fill="FFFFFF" w:val="clear"/>
            <w:vAlign w:val="center"/>
          </w:tcPr>
          <w:p>
            <w:pPr>
              <w:pStyle w:val="TableContents"/>
              <w:bidi w:val="0"/>
              <w:spacing w:before="0" w:after="283"/>
              <w:jc w:val="left"/>
              <w:rPr>
                <w:b/>
                <w:sz w:val="20"/>
              </w:rPr>
            </w:pPr>
            <w:r>
              <w:rPr>
                <w:b/>
                <w:sz w:val="20"/>
              </w:rPr>
              <w:t>)</w:t>
            </w:r>
          </w:p>
        </w:tc>
        <w:tc>
          <w:tcPr>
            <w:tcW w:w="67"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(114</w:t>
            </w:r>
          </w:p>
        </w:tc>
        <w:tc>
          <w:tcPr>
            <w:tcW w:w="99" w:type="dxa"/>
            <w:tcBorders/>
            <w:shd w:fill="FFFFFF" w:val="clear"/>
            <w:vAlign w:val="center"/>
          </w:tcPr>
          <w:p>
            <w:pPr>
              <w:pStyle w:val="TableContents"/>
              <w:bidi w:val="0"/>
              <w:spacing w:before="0" w:after="283"/>
              <w:jc w:val="left"/>
              <w:rPr>
                <w:b/>
                <w:sz w:val="20"/>
              </w:rPr>
            </w:pPr>
            <w:r>
              <w:rPr>
                <w:b/>
                <w:sz w:val="20"/>
              </w:rPr>
              <w:t>)</w:t>
            </w:r>
          </w:p>
        </w:tc>
      </w:tr>
      <w:tr>
        <w:trPr/>
        <w:tc>
          <w:tcPr>
            <w:tcW w:w="5782" w:type="dxa"/>
            <w:tcBorders/>
            <w:shd w:fill="CCEEFF" w:val="clear"/>
            <w:vAlign w:val="center"/>
          </w:tcPr>
          <w:p>
            <w:pPr>
              <w:pStyle w:val="TableContents"/>
              <w:bidi w:val="0"/>
              <w:spacing w:before="0" w:after="283"/>
              <w:jc w:val="left"/>
              <w:rPr>
                <w:sz w:val="20"/>
              </w:rPr>
            </w:pPr>
            <w:r>
              <w:rPr>
                <w:sz w:val="20"/>
              </w:rPr>
              <w:t>Other financial income (expense), net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30</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w:t>
            </w:r>
          </w:p>
        </w:tc>
        <w:tc>
          <w:tcPr>
            <w:tcW w:w="99" w:type="dxa"/>
            <w:tcBorders/>
            <w:shd w:fill="CCEEFF" w:val="clear"/>
            <w:vAlign w:val="center"/>
          </w:tcPr>
          <w:p>
            <w:pPr>
              <w:pStyle w:val="TableContents"/>
              <w:bidi w:val="0"/>
              <w:spacing w:before="0" w:after="283"/>
              <w:jc w:val="left"/>
              <w:rPr/>
            </w:pPr>
            <w:r>
              <w:rPr/>
              <w:t> </w:t>
            </w:r>
          </w:p>
        </w:tc>
      </w:tr>
      <w:tr>
        <w:trPr/>
        <w:tc>
          <w:tcPr>
            <w:tcW w:w="5782" w:type="dxa"/>
            <w:tcBorders/>
            <w:shd w:fill="FFFFFF" w:val="clear"/>
            <w:vAlign w:val="center"/>
          </w:tcPr>
          <w:p>
            <w:pPr>
              <w:pStyle w:val="TableContents"/>
              <w:bidi w:val="0"/>
              <w:spacing w:before="0" w:after="283"/>
              <w:jc w:val="left"/>
              <w:rPr>
                <w:b/>
                <w:sz w:val="20"/>
              </w:rPr>
            </w:pPr>
            <w:r>
              <w:rPr>
                <w:b/>
                <w:sz w:val="20"/>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(81</w:t>
            </w:r>
          </w:p>
        </w:tc>
        <w:tc>
          <w:tcPr>
            <w:tcW w:w="100" w:type="dxa"/>
            <w:tcBorders/>
            <w:shd w:fill="FFFFFF" w:val="clear"/>
            <w:vAlign w:val="center"/>
          </w:tcPr>
          <w:p>
            <w:pPr>
              <w:pStyle w:val="TableContents"/>
              <w:bidi w:val="0"/>
              <w:spacing w:before="0" w:after="283"/>
              <w:jc w:val="left"/>
              <w:rPr>
                <w:b/>
                <w:sz w:val="20"/>
              </w:rPr>
            </w:pPr>
            <w:r>
              <w:rPr>
                <w:b/>
                <w:sz w:val="20"/>
              </w:rPr>
              <w:t>)</w:t>
            </w:r>
          </w:p>
        </w:tc>
        <w:tc>
          <w:tcPr>
            <w:tcW w:w="75"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(18</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(302</w:t>
            </w:r>
          </w:p>
        </w:tc>
        <w:tc>
          <w:tcPr>
            <w:tcW w:w="90" w:type="dxa"/>
            <w:tcBorders/>
            <w:shd w:fill="FFFFFF" w:val="clear"/>
            <w:vAlign w:val="center"/>
          </w:tcPr>
          <w:p>
            <w:pPr>
              <w:pStyle w:val="TableContents"/>
              <w:bidi w:val="0"/>
              <w:spacing w:before="0" w:after="283"/>
              <w:jc w:val="left"/>
              <w:rPr>
                <w:b/>
                <w:sz w:val="20"/>
              </w:rPr>
            </w:pPr>
            <w:r>
              <w:rPr>
                <w:b/>
                <w:sz w:val="20"/>
              </w:rPr>
              <w:t>)</w:t>
            </w:r>
          </w:p>
        </w:tc>
        <w:tc>
          <w:tcPr>
            <w:tcW w:w="67"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(91</w:t>
            </w:r>
          </w:p>
        </w:tc>
        <w:tc>
          <w:tcPr>
            <w:tcW w:w="99" w:type="dxa"/>
            <w:tcBorders/>
            <w:shd w:fill="FFFFFF" w:val="clear"/>
            <w:vAlign w:val="center"/>
          </w:tcPr>
          <w:p>
            <w:pPr>
              <w:pStyle w:val="TableContents"/>
              <w:bidi w:val="0"/>
              <w:spacing w:before="0" w:after="283"/>
              <w:jc w:val="left"/>
              <w:rPr>
                <w:b/>
                <w:sz w:val="20"/>
              </w:rPr>
            </w:pPr>
            <w:r>
              <w:rPr>
                <w:b/>
                <w:sz w:val="20"/>
              </w:rPr>
              <w:t>)</w:t>
            </w:r>
          </w:p>
        </w:tc>
      </w:tr>
      <w:tr>
        <w:trPr/>
        <w:tc>
          <w:tcPr>
            <w:tcW w:w="5782" w:type="dxa"/>
            <w:tcBorders/>
            <w:shd w:fill="CCEEFF" w:val="clear"/>
            <w:vAlign w:val="center"/>
          </w:tcPr>
          <w:p>
            <w:pPr>
              <w:pStyle w:val="TableContents"/>
              <w:bidi w:val="0"/>
              <w:spacing w:before="0" w:after="283"/>
              <w:jc w:val="left"/>
              <w:rPr>
                <w:sz w:val="20"/>
              </w:rPr>
            </w:pPr>
            <w:r>
              <w:rPr>
                <w:sz w:val="20"/>
              </w:rPr>
              <w:t>Benefit (provision) for income taxes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w:t>
            </w:r>
          </w:p>
        </w:tc>
        <w:tc>
          <w:tcPr>
            <w:tcW w:w="100" w:type="dxa"/>
            <w:tcBorders/>
            <w:shd w:fill="CCEEFF" w:val="clear"/>
            <w:vAlign w:val="center"/>
          </w:tcPr>
          <w:p>
            <w:pPr>
              <w:pStyle w:val="TableContents"/>
              <w:bidi w:val="0"/>
              <w:spacing w:before="0" w:after="283"/>
              <w:jc w:val="lef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90"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w:t>
            </w:r>
          </w:p>
        </w:tc>
        <w:tc>
          <w:tcPr>
            <w:tcW w:w="99" w:type="dxa"/>
            <w:tcBorders/>
            <w:shd w:fill="CCEEFF" w:val="clear"/>
            <w:vAlign w:val="center"/>
          </w:tcPr>
          <w:p>
            <w:pPr>
              <w:pStyle w:val="TableContents"/>
              <w:bidi w:val="0"/>
              <w:spacing w:before="0" w:after="283"/>
              <w:jc w:val="left"/>
              <w:rPr>
                <w:sz w:val="20"/>
              </w:rPr>
            </w:pPr>
            <w:r>
              <w:rPr>
                <w:sz w:val="20"/>
              </w:rPr>
              <w:t>)</w:t>
            </w:r>
          </w:p>
        </w:tc>
      </w:tr>
      <w:tr>
        <w:trPr/>
        <w:tc>
          <w:tcPr>
            <w:tcW w:w="5782" w:type="dxa"/>
            <w:tcBorders/>
            <w:shd w:fill="FFFFFF" w:val="clear"/>
            <w:vAlign w:val="center"/>
          </w:tcPr>
          <w:p>
            <w:pPr>
              <w:pStyle w:val="TableContents"/>
              <w:bidi w:val="0"/>
              <w:spacing w:before="0" w:after="283"/>
              <w:jc w:val="left"/>
              <w:rPr>
                <w:b/>
                <w:sz w:val="20"/>
              </w:rPr>
            </w:pPr>
            <w:r>
              <w:rPr>
                <w:b/>
                <w:sz w:val="20"/>
              </w:rPr>
              <w:t>Net income (loss)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b/>
                <w:sz w:val="20"/>
              </w:rPr>
            </w:pPr>
            <w:r>
              <w:rPr>
                <w:b/>
                <w:sz w:val="20"/>
              </w:rPr>
              <w:t>$</w:t>
            </w:r>
          </w:p>
        </w:tc>
        <w:tc>
          <w:tcPr>
            <w:tcW w:w="785" w:type="dxa"/>
            <w:tcBorders/>
            <w:shd w:fill="FFFFFF" w:val="clear"/>
            <w:vAlign w:val="center"/>
          </w:tcPr>
          <w:p>
            <w:pPr>
              <w:pStyle w:val="TableContents"/>
              <w:bidi w:val="0"/>
              <w:spacing w:before="0" w:after="283"/>
              <w:jc w:val="right"/>
              <w:rPr>
                <w:b/>
                <w:sz w:val="20"/>
              </w:rPr>
            </w:pPr>
            <w:r>
              <w:rPr>
                <w:b/>
                <w:sz w:val="20"/>
              </w:rPr>
              <w:t>(86</w:t>
            </w:r>
          </w:p>
        </w:tc>
        <w:tc>
          <w:tcPr>
            <w:tcW w:w="100" w:type="dxa"/>
            <w:tcBorders/>
            <w:shd w:fill="FFFFFF" w:val="clear"/>
            <w:vAlign w:val="center"/>
          </w:tcPr>
          <w:p>
            <w:pPr>
              <w:pStyle w:val="TableContents"/>
              <w:bidi w:val="0"/>
              <w:spacing w:before="0" w:after="283"/>
              <w:jc w:val="left"/>
              <w:rPr>
                <w:b/>
                <w:sz w:val="20"/>
              </w:rPr>
            </w:pPr>
            <w:r>
              <w:rPr>
                <w:b/>
                <w:sz w:val="20"/>
              </w:rPr>
              <w:t>)</w:t>
            </w:r>
          </w:p>
        </w:tc>
        <w:tc>
          <w:tcPr>
            <w:tcW w:w="75"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b/>
                <w:sz w:val="20"/>
              </w:rPr>
            </w:pPr>
            <w:r>
              <w:rPr>
                <w:b/>
                <w:sz w:val="20"/>
              </w:rPr>
              <w:t>$</w:t>
            </w:r>
          </w:p>
        </w:tc>
        <w:tc>
          <w:tcPr>
            <w:tcW w:w="679" w:type="dxa"/>
            <w:tcBorders/>
            <w:shd w:fill="FFFFFF" w:val="clear"/>
            <w:vAlign w:val="center"/>
          </w:tcPr>
          <w:p>
            <w:pPr>
              <w:pStyle w:val="TableContents"/>
              <w:bidi w:val="0"/>
              <w:spacing w:before="0" w:after="283"/>
              <w:jc w:val="right"/>
              <w:rPr>
                <w:b/>
                <w:sz w:val="20"/>
              </w:rPr>
            </w:pPr>
            <w:r>
              <w:rPr>
                <w:b/>
                <w:sz w:val="20"/>
              </w:rPr>
              <w:t>(28</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b/>
                <w:sz w:val="20"/>
              </w:rPr>
            </w:pPr>
            <w:r>
              <w:rPr>
                <w:b/>
                <w:sz w:val="20"/>
              </w:rPr>
              <w:t>$</w:t>
            </w:r>
          </w:p>
        </w:tc>
        <w:tc>
          <w:tcPr>
            <w:tcW w:w="792" w:type="dxa"/>
            <w:tcBorders/>
            <w:shd w:fill="FFFFFF" w:val="clear"/>
            <w:vAlign w:val="center"/>
          </w:tcPr>
          <w:p>
            <w:pPr>
              <w:pStyle w:val="TableContents"/>
              <w:bidi w:val="0"/>
              <w:spacing w:before="0" w:after="283"/>
              <w:jc w:val="right"/>
              <w:rPr>
                <w:b/>
                <w:sz w:val="20"/>
              </w:rPr>
            </w:pPr>
            <w:r>
              <w:rPr>
                <w:b/>
                <w:sz w:val="20"/>
              </w:rPr>
              <w:t>(304</w:t>
            </w:r>
          </w:p>
        </w:tc>
        <w:tc>
          <w:tcPr>
            <w:tcW w:w="90" w:type="dxa"/>
            <w:tcBorders/>
            <w:shd w:fill="FFFFFF" w:val="clear"/>
            <w:vAlign w:val="center"/>
          </w:tcPr>
          <w:p>
            <w:pPr>
              <w:pStyle w:val="TableContents"/>
              <w:bidi w:val="0"/>
              <w:spacing w:before="0" w:after="283"/>
              <w:jc w:val="left"/>
              <w:rPr>
                <w:b/>
                <w:sz w:val="20"/>
              </w:rPr>
            </w:pPr>
            <w:r>
              <w:rPr>
                <w:b/>
                <w:sz w:val="20"/>
              </w:rPr>
              <w:t>)</w:t>
            </w:r>
          </w:p>
        </w:tc>
        <w:tc>
          <w:tcPr>
            <w:tcW w:w="6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b/>
                <w:sz w:val="20"/>
              </w:rPr>
            </w:pPr>
            <w:r>
              <w:rPr>
                <w:b/>
                <w:sz w:val="20"/>
              </w:rPr>
              <w:t>$</w:t>
            </w:r>
          </w:p>
        </w:tc>
        <w:tc>
          <w:tcPr>
            <w:tcW w:w="679" w:type="dxa"/>
            <w:tcBorders/>
            <w:shd w:fill="FFFFFF" w:val="clear"/>
            <w:vAlign w:val="center"/>
          </w:tcPr>
          <w:p>
            <w:pPr>
              <w:pStyle w:val="TableContents"/>
              <w:bidi w:val="0"/>
              <w:spacing w:before="0" w:after="283"/>
              <w:jc w:val="right"/>
              <w:rPr>
                <w:b/>
                <w:sz w:val="20"/>
              </w:rPr>
            </w:pPr>
            <w:r>
              <w:rPr>
                <w:b/>
                <w:sz w:val="20"/>
              </w:rPr>
              <w:t>(107</w:t>
            </w:r>
          </w:p>
        </w:tc>
        <w:tc>
          <w:tcPr>
            <w:tcW w:w="99" w:type="dxa"/>
            <w:tcBorders/>
            <w:shd w:fill="FFFFFF" w:val="clear"/>
            <w:vAlign w:val="center"/>
          </w:tcPr>
          <w:p>
            <w:pPr>
              <w:pStyle w:val="TableContents"/>
              <w:bidi w:val="0"/>
              <w:spacing w:before="0" w:after="283"/>
              <w:jc w:val="left"/>
              <w:rPr>
                <w:b/>
                <w:sz w:val="20"/>
              </w:rPr>
            </w:pPr>
            <w:r>
              <w:rPr>
                <w:b/>
                <w:sz w:val="20"/>
              </w:rPr>
              <w:t>)</w:t>
            </w:r>
          </w:p>
        </w:tc>
      </w:tr>
      <w:tr>
        <w:trPr/>
        <w:tc>
          <w:tcPr>
            <w:tcW w:w="5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782" w:type="dxa"/>
            <w:tcBorders/>
            <w:shd w:fill="FFFFFF" w:val="clear"/>
            <w:vAlign w:val="center"/>
          </w:tcPr>
          <w:p>
            <w:pPr>
              <w:pStyle w:val="TableContents"/>
              <w:bidi w:val="0"/>
              <w:spacing w:before="0" w:after="283"/>
              <w:jc w:val="left"/>
              <w:rPr>
                <w:b/>
                <w:sz w:val="20"/>
              </w:rPr>
            </w:pPr>
            <w:r>
              <w:rPr>
                <w:b/>
                <w:sz w:val="20"/>
              </w:rPr>
              <w:t>Earnings (loss) per share: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5782" w:type="dxa"/>
            <w:tcBorders/>
            <w:shd w:fill="CCEEFF" w:val="clear"/>
            <w:vAlign w:val="center"/>
          </w:tcPr>
          <w:p>
            <w:pPr>
              <w:pStyle w:val="TableContents"/>
              <w:bidi w:val="0"/>
              <w:spacing w:before="0" w:after="283"/>
              <w:jc w:val="left"/>
              <w:rPr>
                <w:sz w:val="20"/>
              </w:rPr>
            </w:pPr>
            <w:r>
              <w:rPr>
                <w:sz w:val="20"/>
              </w:rPr>
              <w:t>Basic</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20"/>
              </w:rPr>
            </w:pPr>
            <w:r>
              <w:rPr>
                <w:sz w:val="20"/>
              </w:rPr>
              <w:t>$</w:t>
            </w:r>
          </w:p>
        </w:tc>
        <w:tc>
          <w:tcPr>
            <w:tcW w:w="785" w:type="dxa"/>
            <w:tcBorders/>
            <w:shd w:fill="CCEEFF" w:val="clear"/>
            <w:vAlign w:val="center"/>
          </w:tcPr>
          <w:p>
            <w:pPr>
              <w:pStyle w:val="TableContents"/>
              <w:bidi w:val="0"/>
              <w:spacing w:before="0" w:after="283"/>
              <w:jc w:val="right"/>
              <w:rPr>
                <w:sz w:val="20"/>
              </w:rPr>
            </w:pPr>
            <w:r>
              <w:rPr>
                <w:sz w:val="20"/>
              </w:rPr>
              <w:t>(0.11</w:t>
            </w:r>
          </w:p>
        </w:tc>
        <w:tc>
          <w:tcPr>
            <w:tcW w:w="100" w:type="dxa"/>
            <w:tcBorders/>
            <w:shd w:fill="CCEEFF" w:val="clear"/>
            <w:vAlign w:val="center"/>
          </w:tcPr>
          <w:p>
            <w:pPr>
              <w:pStyle w:val="TableContents"/>
              <w:bidi w:val="0"/>
              <w:spacing w:before="0" w:after="283"/>
              <w:jc w:val="lef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20"/>
              </w:rPr>
            </w:pPr>
            <w:r>
              <w:rPr>
                <w:sz w:val="20"/>
              </w:rPr>
              <w:t>$</w:t>
            </w:r>
          </w:p>
        </w:tc>
        <w:tc>
          <w:tcPr>
            <w:tcW w:w="679" w:type="dxa"/>
            <w:tcBorders/>
            <w:shd w:fill="CCEEFF" w:val="clear"/>
            <w:vAlign w:val="center"/>
          </w:tcPr>
          <w:p>
            <w:pPr>
              <w:pStyle w:val="TableContents"/>
              <w:bidi w:val="0"/>
              <w:spacing w:before="0" w:after="283"/>
              <w:jc w:val="right"/>
              <w:rPr>
                <w:sz w:val="20"/>
              </w:rPr>
            </w:pPr>
            <w:r>
              <w:rPr>
                <w:sz w:val="20"/>
              </w:rPr>
              <w:t>(0.04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20"/>
              </w:rPr>
            </w:pPr>
            <w:r>
              <w:rPr>
                <w:sz w:val="20"/>
              </w:rPr>
              <w:t>$</w:t>
            </w:r>
          </w:p>
        </w:tc>
        <w:tc>
          <w:tcPr>
            <w:tcW w:w="792" w:type="dxa"/>
            <w:tcBorders/>
            <w:shd w:fill="CCEEFF" w:val="clear"/>
            <w:vAlign w:val="center"/>
          </w:tcPr>
          <w:p>
            <w:pPr>
              <w:pStyle w:val="TableContents"/>
              <w:bidi w:val="0"/>
              <w:spacing w:before="0" w:after="283"/>
              <w:jc w:val="right"/>
              <w:rPr>
                <w:sz w:val="20"/>
              </w:rPr>
            </w:pPr>
            <w:r>
              <w:rPr>
                <w:sz w:val="20"/>
              </w:rPr>
              <w:t>(0.38</w:t>
            </w:r>
          </w:p>
        </w:tc>
        <w:tc>
          <w:tcPr>
            <w:tcW w:w="90"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20"/>
              </w:rPr>
            </w:pPr>
            <w:r>
              <w:rPr>
                <w:sz w:val="20"/>
              </w:rPr>
              <w:t>$</w:t>
            </w:r>
          </w:p>
        </w:tc>
        <w:tc>
          <w:tcPr>
            <w:tcW w:w="679" w:type="dxa"/>
            <w:tcBorders/>
            <w:shd w:fill="CCEEFF" w:val="clear"/>
            <w:vAlign w:val="center"/>
          </w:tcPr>
          <w:p>
            <w:pPr>
              <w:pStyle w:val="TableContents"/>
              <w:bidi w:val="0"/>
              <w:spacing w:before="0" w:after="283"/>
              <w:jc w:val="right"/>
              <w:rPr>
                <w:sz w:val="20"/>
              </w:rPr>
            </w:pPr>
            <w:r>
              <w:rPr>
                <w:sz w:val="20"/>
              </w:rPr>
              <w:t>(0.13</w:t>
            </w:r>
          </w:p>
        </w:tc>
        <w:tc>
          <w:tcPr>
            <w:tcW w:w="99" w:type="dxa"/>
            <w:tcBorders/>
            <w:shd w:fill="CCEEFF" w:val="clear"/>
            <w:vAlign w:val="center"/>
          </w:tcPr>
          <w:p>
            <w:pPr>
              <w:pStyle w:val="TableContents"/>
              <w:bidi w:val="0"/>
              <w:spacing w:before="0" w:after="283"/>
              <w:jc w:val="left"/>
              <w:rPr>
                <w:sz w:val="20"/>
              </w:rPr>
            </w:pPr>
            <w:r>
              <w:rPr>
                <w:sz w:val="20"/>
              </w:rPr>
              <w:t>)</w:t>
            </w:r>
          </w:p>
        </w:tc>
      </w:tr>
      <w:tr>
        <w:trPr/>
        <w:tc>
          <w:tcPr>
            <w:tcW w:w="5782" w:type="dxa"/>
            <w:tcBorders/>
            <w:shd w:fill="FFFFFF" w:val="clear"/>
            <w:vAlign w:val="center"/>
          </w:tcPr>
          <w:p>
            <w:pPr>
              <w:pStyle w:val="TableContents"/>
              <w:bidi w:val="0"/>
              <w:spacing w:before="0" w:after="283"/>
              <w:jc w:val="left"/>
              <w:rPr>
                <w:sz w:val="20"/>
              </w:rPr>
            </w:pPr>
            <w:r>
              <w:rPr>
                <w:sz w:val="20"/>
              </w:rPr>
              <w:t>Diluted</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sz w:val="20"/>
              </w:rPr>
            </w:pPr>
            <w:r>
              <w:rPr>
                <w:sz w:val="20"/>
              </w:rPr>
              <w:t>$</w:t>
            </w:r>
          </w:p>
        </w:tc>
        <w:tc>
          <w:tcPr>
            <w:tcW w:w="785" w:type="dxa"/>
            <w:tcBorders/>
            <w:shd w:fill="FFFFFF" w:val="clear"/>
            <w:vAlign w:val="center"/>
          </w:tcPr>
          <w:p>
            <w:pPr>
              <w:pStyle w:val="TableContents"/>
              <w:bidi w:val="0"/>
              <w:spacing w:before="0" w:after="283"/>
              <w:jc w:val="right"/>
              <w:rPr>
                <w:sz w:val="20"/>
              </w:rPr>
            </w:pPr>
            <w:r>
              <w:rPr>
                <w:sz w:val="20"/>
              </w:rPr>
              <w:t>(0.11</w:t>
            </w:r>
          </w:p>
        </w:tc>
        <w:tc>
          <w:tcPr>
            <w:tcW w:w="100" w:type="dxa"/>
            <w:tcBorders/>
            <w:shd w:fill="FFFFFF" w:val="clear"/>
            <w:vAlign w:val="center"/>
          </w:tcPr>
          <w:p>
            <w:pPr>
              <w:pStyle w:val="TableContents"/>
              <w:bidi w:val="0"/>
              <w:spacing w:before="0" w:after="283"/>
              <w:jc w:val="lef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sz w:val="20"/>
              </w:rPr>
            </w:pPr>
            <w:r>
              <w:rPr>
                <w:sz w:val="20"/>
              </w:rPr>
              <w:t>$</w:t>
            </w:r>
          </w:p>
        </w:tc>
        <w:tc>
          <w:tcPr>
            <w:tcW w:w="679" w:type="dxa"/>
            <w:tcBorders/>
            <w:shd w:fill="FFFFFF" w:val="clear"/>
            <w:vAlign w:val="center"/>
          </w:tcPr>
          <w:p>
            <w:pPr>
              <w:pStyle w:val="TableContents"/>
              <w:bidi w:val="0"/>
              <w:spacing w:before="0" w:after="283"/>
              <w:jc w:val="right"/>
              <w:rPr>
                <w:sz w:val="20"/>
              </w:rPr>
            </w:pPr>
            <w:r>
              <w:rPr>
                <w:sz w:val="20"/>
              </w:rPr>
              <w:t>(0.04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sz w:val="20"/>
              </w:rPr>
            </w:pPr>
            <w:r>
              <w:rPr>
                <w:sz w:val="20"/>
              </w:rPr>
              <w:t>$</w:t>
            </w:r>
          </w:p>
        </w:tc>
        <w:tc>
          <w:tcPr>
            <w:tcW w:w="792" w:type="dxa"/>
            <w:tcBorders/>
            <w:shd w:fill="FFFFFF" w:val="clear"/>
            <w:vAlign w:val="center"/>
          </w:tcPr>
          <w:p>
            <w:pPr>
              <w:pStyle w:val="TableContents"/>
              <w:bidi w:val="0"/>
              <w:spacing w:before="0" w:after="283"/>
              <w:jc w:val="right"/>
              <w:rPr>
                <w:sz w:val="20"/>
              </w:rPr>
            </w:pPr>
            <w:r>
              <w:rPr>
                <w:sz w:val="20"/>
              </w:rPr>
              <w:t>(0.38</w:t>
            </w:r>
          </w:p>
        </w:tc>
        <w:tc>
          <w:tcPr>
            <w:tcW w:w="90"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sz w:val="20"/>
              </w:rPr>
            </w:pPr>
            <w:r>
              <w:rPr>
                <w:sz w:val="20"/>
              </w:rPr>
              <w:t>$</w:t>
            </w:r>
          </w:p>
        </w:tc>
        <w:tc>
          <w:tcPr>
            <w:tcW w:w="679" w:type="dxa"/>
            <w:tcBorders/>
            <w:shd w:fill="FFFFFF" w:val="clear"/>
            <w:vAlign w:val="center"/>
          </w:tcPr>
          <w:p>
            <w:pPr>
              <w:pStyle w:val="TableContents"/>
              <w:bidi w:val="0"/>
              <w:spacing w:before="0" w:after="283"/>
              <w:jc w:val="right"/>
              <w:rPr>
                <w:sz w:val="20"/>
              </w:rPr>
            </w:pPr>
            <w:r>
              <w:rPr>
                <w:sz w:val="20"/>
              </w:rPr>
              <w:t>(0.13</w:t>
            </w:r>
          </w:p>
        </w:tc>
        <w:tc>
          <w:tcPr>
            <w:tcW w:w="99" w:type="dxa"/>
            <w:tcBorders/>
            <w:shd w:fill="FFFFFF" w:val="clear"/>
            <w:vAlign w:val="center"/>
          </w:tcPr>
          <w:p>
            <w:pPr>
              <w:pStyle w:val="TableContents"/>
              <w:bidi w:val="0"/>
              <w:spacing w:before="0" w:after="283"/>
              <w:jc w:val="left"/>
              <w:rPr>
                <w:sz w:val="20"/>
              </w:rPr>
            </w:pPr>
            <w:r>
              <w:rPr>
                <w:sz w:val="20"/>
              </w:rPr>
              <w:t>)</w:t>
            </w:r>
          </w:p>
        </w:tc>
      </w:tr>
      <w:tr>
        <w:trPr/>
        <w:tc>
          <w:tcPr>
            <w:tcW w:w="5782" w:type="dxa"/>
            <w:tcBorders/>
            <w:shd w:fill="CCEEFF" w:val="clear"/>
            <w:vAlign w:val="center"/>
          </w:tcPr>
          <w:p>
            <w:pPr>
              <w:pStyle w:val="TableContents"/>
              <w:bidi w:val="0"/>
              <w:spacing w:before="0" w:after="283"/>
              <w:jc w:val="left"/>
              <w:rPr>
                <w:b/>
                <w:sz w:val="20"/>
              </w:rPr>
            </w:pPr>
            <w:r>
              <w:rPr>
                <w:b/>
                <w:sz w:val="20"/>
              </w:rPr>
              <w:t>Weighted-average number of shares used in computation of earnings (loss) per share (in millions):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782" w:type="dxa"/>
            <w:tcBorders/>
            <w:shd w:fill="FFFFFF" w:val="clear"/>
            <w:vAlign w:val="center"/>
          </w:tcPr>
          <w:p>
            <w:pPr>
              <w:pStyle w:val="TableContents"/>
              <w:bidi w:val="0"/>
              <w:spacing w:before="0" w:after="283"/>
              <w:jc w:val="left"/>
              <w:rPr>
                <w:sz w:val="20"/>
              </w:rPr>
            </w:pPr>
            <w:r>
              <w:rPr>
                <w:sz w:val="20"/>
              </w:rPr>
              <w:t>Basic</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sz w:val="20"/>
              </w:rPr>
            </w:pPr>
            <w:r>
              <w:rPr>
                <w:sz w:val="20"/>
              </w:rPr>
              <w:t>806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sz w:val="20"/>
              </w:rPr>
            </w:pPr>
            <w:r>
              <w:rPr>
                <w:sz w:val="20"/>
              </w:rPr>
              <w:t>805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sz w:val="20"/>
              </w:rPr>
            </w:pPr>
            <w:r>
              <w:rPr>
                <w:sz w:val="20"/>
              </w:rPr>
              <w:t>806</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sz w:val="20"/>
              </w:rPr>
            </w:pPr>
            <w:r>
              <w:rPr>
                <w:sz w:val="20"/>
              </w:rPr>
              <w:t>803</w:t>
            </w:r>
          </w:p>
        </w:tc>
        <w:tc>
          <w:tcPr>
            <w:tcW w:w="99" w:type="dxa"/>
            <w:tcBorders/>
            <w:shd w:fill="FFFFFF" w:val="clear"/>
            <w:vAlign w:val="center"/>
          </w:tcPr>
          <w:p>
            <w:pPr>
              <w:pStyle w:val="TableContents"/>
              <w:bidi w:val="0"/>
              <w:spacing w:before="0" w:after="283"/>
              <w:jc w:val="left"/>
              <w:rPr/>
            </w:pPr>
            <w:r>
              <w:rPr/>
              <w:t> </w:t>
            </w:r>
          </w:p>
        </w:tc>
      </w:tr>
      <w:tr>
        <w:trPr/>
        <w:tc>
          <w:tcPr>
            <w:tcW w:w="5782" w:type="dxa"/>
            <w:tcBorders/>
            <w:shd w:fill="CCEEFF" w:val="clear"/>
            <w:vAlign w:val="center"/>
          </w:tcPr>
          <w:p>
            <w:pPr>
              <w:pStyle w:val="TableContents"/>
              <w:bidi w:val="0"/>
              <w:spacing w:before="0" w:after="283"/>
              <w:jc w:val="left"/>
              <w:rPr>
                <w:sz w:val="20"/>
              </w:rPr>
            </w:pPr>
            <w:r>
              <w:rPr>
                <w:sz w:val="20"/>
              </w:rPr>
              <w:t>Diluted</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sz w:val="20"/>
              </w:rPr>
            </w:pPr>
            <w:r>
              <w:rPr>
                <w:sz w:val="20"/>
              </w:rPr>
              <w:t>806</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sz w:val="20"/>
              </w:rPr>
            </w:pPr>
            <w:r>
              <w:rPr>
                <w:sz w:val="20"/>
              </w:rPr>
              <w:t>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sz w:val="20"/>
              </w:rPr>
            </w:pPr>
            <w:r>
              <w:rPr>
                <w:sz w:val="20"/>
              </w:rPr>
              <w:t>806</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sz w:val="20"/>
              </w:rPr>
            </w:pPr>
            <w:r>
              <w:rPr>
                <w:sz w:val="20"/>
              </w:rPr>
              <w:t>803</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Balance sheets (unaudited)</w:t>
      </w:r>
    </w:p>
    <w:p>
      <w:pPr>
        <w:pStyle w:val="TextBody"/>
        <w:bidi w:val="0"/>
        <w:spacing w:before="0" w:after="0"/>
        <w:ind w:left="0" w:right="0" w:hanging="0"/>
        <w:jc w:val="left"/>
        <w:rPr>
          <w:caps w:val="false"/>
          <w:smallCaps w:val="false"/>
        </w:rPr>
      </w:pPr>
      <w:r>
        <w:rPr>
          <w:caps w:val="false"/>
          <w:smallCaps w:val="false"/>
        </w:rPr>
        <w:t> </w:t>
      </w:r>
    </w:p>
    <w:tbl>
      <w:tblPr>
        <w:tblW w:w="6373" w:type="dxa"/>
        <w:jc w:val="left"/>
        <w:tblInd w:w="0" w:type="dxa"/>
        <w:tblLayout w:type="fixed"/>
        <w:tblCellMar>
          <w:top w:w="0" w:type="dxa"/>
          <w:left w:w="0" w:type="dxa"/>
          <w:bottom w:w="28" w:type="dxa"/>
          <w:right w:w="0" w:type="dxa"/>
        </w:tblCellMar>
      </w:tblPr>
      <w:tblGrid>
        <w:gridCol w:w="3290"/>
        <w:gridCol w:w="60"/>
        <w:gridCol w:w="206"/>
        <w:gridCol w:w="983"/>
        <w:gridCol w:w="60"/>
        <w:gridCol w:w="60"/>
        <w:gridCol w:w="286"/>
        <w:gridCol w:w="1353"/>
        <w:gridCol w:w="75"/>
      </w:tblGrid>
      <w:tr>
        <w:trPr/>
        <w:tc>
          <w:tcPr>
            <w:tcW w:w="3290" w:type="dxa"/>
            <w:tcBorders>
              <w:bottom w:val="single" w:sz="8" w:space="0" w:color="000000"/>
            </w:tcBorders>
            <w:vAlign w:val="center"/>
          </w:tcPr>
          <w:p>
            <w:pPr>
              <w:pStyle w:val="TableContents"/>
              <w:bidi w:val="0"/>
              <w:spacing w:before="0" w:after="283"/>
              <w:jc w:val="left"/>
              <w:rPr>
                <w:b/>
                <w:sz w:val="20"/>
              </w:rPr>
            </w:pPr>
            <w:r>
              <w:rPr>
                <w:b/>
                <w:sz w:val="20"/>
              </w:rPr>
              <w:t>U.S. dollars in millions</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8" w:space="0" w:color="000000"/>
            </w:tcBorders>
            <w:vAlign w:val="center"/>
          </w:tcPr>
          <w:p>
            <w:pPr>
              <w:pStyle w:val="TableContents"/>
              <w:bidi w:val="0"/>
              <w:spacing w:before="0" w:after="283"/>
              <w:jc w:val="center"/>
              <w:rPr>
                <w:b/>
                <w:sz w:val="20"/>
              </w:rPr>
            </w:pPr>
            <w:r>
              <w:rPr>
                <w:b/>
                <w:sz w:val="20"/>
              </w:rPr>
              <w:t>June 29, 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39" w:type="dxa"/>
            <w:gridSpan w:val="2"/>
            <w:tcBorders>
              <w:bottom w:val="single" w:sz="8" w:space="0" w:color="000000"/>
            </w:tcBorders>
            <w:vAlign w:val="center"/>
          </w:tcPr>
          <w:p>
            <w:pPr>
              <w:pStyle w:val="TableContents"/>
              <w:bidi w:val="0"/>
              <w:spacing w:before="0" w:after="283"/>
              <w:jc w:val="center"/>
              <w:rPr>
                <w:b/>
                <w:sz w:val="20"/>
              </w:rPr>
            </w:pPr>
            <w:r>
              <w:rPr>
                <w:b/>
                <w:sz w:val="20"/>
              </w:rPr>
              <w:t>December 30, 2023</w:t>
            </w:r>
          </w:p>
        </w:tc>
        <w:tc>
          <w:tcPr>
            <w:tcW w:w="75" w:type="dxa"/>
            <w:tcBorders/>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sz w:val="20"/>
              </w:rPr>
            </w:pPr>
            <w:r>
              <w:rPr>
                <w:b/>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sz w:val="20"/>
              </w:rPr>
            </w:pPr>
            <w:r>
              <w:rPr>
                <w:sz w:val="20"/>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sz w:val="20"/>
              </w:rPr>
            </w:pPr>
            <w:r>
              <w:rPr>
                <w:sz w:val="20"/>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sz w:val="20"/>
              </w:rPr>
            </w:pPr>
            <w:r>
              <w:rPr>
                <w:sz w:val="20"/>
              </w:rPr>
              <w:t>$</w:t>
            </w:r>
          </w:p>
        </w:tc>
        <w:tc>
          <w:tcPr>
            <w:tcW w:w="983" w:type="dxa"/>
            <w:tcBorders/>
            <w:shd w:fill="CCEEFF" w:val="clear"/>
            <w:tcMar>
              <w:bottom w:w="0" w:type="dxa"/>
            </w:tcMar>
            <w:vAlign w:val="center"/>
          </w:tcPr>
          <w:p>
            <w:pPr>
              <w:pStyle w:val="TableContents"/>
              <w:bidi w:val="0"/>
              <w:spacing w:before="0" w:after="283"/>
              <w:jc w:val="right"/>
              <w:rPr>
                <w:sz w:val="20"/>
              </w:rPr>
            </w:pPr>
            <w:r>
              <w:rPr>
                <w:sz w:val="20"/>
              </w:rPr>
              <w:t>1,203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sz w:val="20"/>
              </w:rPr>
            </w:pPr>
            <w:r>
              <w:rPr>
                <w:sz w:val="20"/>
              </w:rPr>
              <w:t>$</w:t>
            </w:r>
          </w:p>
        </w:tc>
        <w:tc>
          <w:tcPr>
            <w:tcW w:w="1353" w:type="dxa"/>
            <w:tcBorders/>
            <w:shd w:fill="CCEEFF" w:val="clear"/>
            <w:tcMar>
              <w:bottom w:w="0" w:type="dxa"/>
            </w:tcMar>
            <w:vAlign w:val="center"/>
          </w:tcPr>
          <w:p>
            <w:pPr>
              <w:pStyle w:val="TableContents"/>
              <w:bidi w:val="0"/>
              <w:spacing w:before="0" w:after="283"/>
              <w:jc w:val="right"/>
              <w:rPr>
                <w:sz w:val="20"/>
              </w:rPr>
            </w:pPr>
            <w:r>
              <w:rPr>
                <w:sz w:val="20"/>
              </w:rPr>
              <w:t>1,212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sz w:val="20"/>
              </w:rPr>
            </w:pPr>
            <w:r>
              <w:rPr>
                <w:sz w:val="20"/>
              </w:rPr>
              <w:t>Trade accounts receivable,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sz w:val="20"/>
              </w:rPr>
            </w:pPr>
            <w:r>
              <w:rPr>
                <w:sz w:val="20"/>
              </w:rPr>
              <w:t>204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sz w:val="20"/>
              </w:rPr>
            </w:pPr>
            <w:r>
              <w:rPr>
                <w:sz w:val="20"/>
              </w:rPr>
              <w:t>357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sz w:val="20"/>
              </w:rPr>
            </w:pPr>
            <w:r>
              <w:rPr>
                <w:sz w:val="20"/>
              </w:rPr>
              <w:t>Inventories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sz w:val="20"/>
              </w:rPr>
            </w:pPr>
            <w:r>
              <w:rPr>
                <w:sz w:val="20"/>
              </w:rPr>
              <w:t>485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sz w:val="20"/>
              </w:rPr>
            </w:pPr>
            <w:r>
              <w:rPr>
                <w:sz w:val="20"/>
              </w:rPr>
              <w:t>391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sz w:val="20"/>
              </w:rPr>
            </w:pPr>
            <w:r>
              <w:rPr>
                <w:sz w:val="20"/>
              </w:rPr>
              <w:t>Other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FFFFFF" w:val="clear"/>
            <w:vAlign w:val="center"/>
          </w:tcPr>
          <w:p>
            <w:pPr>
              <w:pStyle w:val="TableContents"/>
              <w:bidi w:val="0"/>
              <w:spacing w:before="0" w:after="283"/>
              <w:jc w:val="left"/>
              <w:rPr/>
            </w:pPr>
            <w:r>
              <w:rPr/>
              <w:t> </w:t>
            </w:r>
          </w:p>
        </w:tc>
        <w:tc>
          <w:tcPr>
            <w:tcW w:w="983" w:type="dxa"/>
            <w:tcBorders>
              <w:bottom w:val="single" w:sz="8" w:space="0" w:color="000000"/>
            </w:tcBorders>
            <w:shd w:fill="FFFFFF" w:val="clear"/>
            <w:vAlign w:val="center"/>
          </w:tcPr>
          <w:p>
            <w:pPr>
              <w:pStyle w:val="TableContents"/>
              <w:bidi w:val="0"/>
              <w:spacing w:before="0" w:after="283"/>
              <w:jc w:val="right"/>
              <w:rPr>
                <w:sz w:val="20"/>
              </w:rPr>
            </w:pPr>
            <w:r>
              <w:rPr>
                <w:sz w:val="20"/>
              </w:rPr>
              <w:t>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bottom w:val="single" w:sz="8" w:space="0" w:color="000000"/>
            </w:tcBorders>
            <w:shd w:fill="FFFFFF" w:val="clear"/>
            <w:vAlign w:val="center"/>
          </w:tcPr>
          <w:p>
            <w:pPr>
              <w:pStyle w:val="TableContents"/>
              <w:bidi w:val="0"/>
              <w:spacing w:before="0" w:after="283"/>
              <w:jc w:val="left"/>
              <w:rPr/>
            </w:pPr>
            <w:r>
              <w:rPr/>
              <w:t> </w:t>
            </w:r>
          </w:p>
        </w:tc>
        <w:tc>
          <w:tcPr>
            <w:tcW w:w="1353" w:type="dxa"/>
            <w:tcBorders>
              <w:bottom w:val="single" w:sz="8" w:space="0" w:color="000000"/>
            </w:tcBorders>
            <w:shd w:fill="FFFFFF" w:val="clear"/>
            <w:vAlign w:val="center"/>
          </w:tcPr>
          <w:p>
            <w:pPr>
              <w:pStyle w:val="TableContents"/>
              <w:bidi w:val="0"/>
              <w:spacing w:before="0" w:after="283"/>
              <w:jc w:val="right"/>
              <w:rPr>
                <w:sz w:val="20"/>
              </w:rPr>
            </w:pPr>
            <w:r>
              <w:rPr>
                <w:sz w:val="20"/>
              </w:rPr>
              <w:t>106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sz w:val="20"/>
              </w:rPr>
            </w:pPr>
            <w:r>
              <w:rPr>
                <w:b/>
                <w:sz w:val="20"/>
              </w:rPr>
              <w:t>Total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b/>
                <w:sz w:val="20"/>
              </w:rPr>
            </w:pPr>
            <w:r>
              <w:rPr>
                <w:b/>
                <w:sz w:val="20"/>
              </w:rPr>
              <w:t>2,007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b/>
                <w:sz w:val="20"/>
              </w:rPr>
            </w:pPr>
            <w:r>
              <w:rPr>
                <w:b/>
                <w:sz w:val="20"/>
              </w:rPr>
              <w:t>2,066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sz w:val="20"/>
              </w:rPr>
            </w:pPr>
            <w:r>
              <w:rPr>
                <w:sz w:val="20"/>
              </w:rPr>
              <w:t>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sz w:val="20"/>
              </w:rPr>
            </w:pPr>
            <w:r>
              <w:rPr>
                <w:sz w:val="20"/>
              </w:rPr>
              <w:t>Property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sz w:val="20"/>
              </w:rPr>
            </w:pPr>
            <w:r>
              <w:rPr>
                <w:sz w:val="20"/>
              </w:rPr>
              <w:t>456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sz w:val="20"/>
              </w:rPr>
            </w:pPr>
            <w:r>
              <w:rPr>
                <w:sz w:val="20"/>
              </w:rPr>
              <w:t>447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sz w:val="20"/>
              </w:rPr>
            </w:pPr>
            <w:r>
              <w:rPr>
                <w:sz w:val="20"/>
              </w:rPr>
              <w:t>Intangible assets,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sz w:val="20"/>
              </w:rPr>
            </w:pPr>
            <w:r>
              <w:rPr>
                <w:sz w:val="20"/>
              </w:rPr>
              <w:t>1,831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sz w:val="20"/>
              </w:rPr>
            </w:pPr>
            <w:r>
              <w:rPr>
                <w:sz w:val="20"/>
              </w:rPr>
              <w:t>2,053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sz w:val="20"/>
              </w:rPr>
            </w:pPr>
            <w:r>
              <w:rPr>
                <w:sz w:val="20"/>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sz w:val="20"/>
              </w:rPr>
            </w:pPr>
            <w:r>
              <w:rPr>
                <w:sz w:val="20"/>
              </w:rPr>
              <w:t>10,895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sz w:val="20"/>
              </w:rPr>
            </w:pPr>
            <w:r>
              <w:rPr>
                <w:sz w:val="20"/>
              </w:rPr>
              <w:t>10,895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sz w:val="20"/>
              </w:rPr>
            </w:pPr>
            <w:r>
              <w:rPr>
                <w:sz w:val="20"/>
              </w:rPr>
              <w:t>Other long-term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FFFFFF" w:val="clear"/>
            <w:vAlign w:val="center"/>
          </w:tcPr>
          <w:p>
            <w:pPr>
              <w:pStyle w:val="TableContents"/>
              <w:bidi w:val="0"/>
              <w:spacing w:before="0" w:after="283"/>
              <w:jc w:val="left"/>
              <w:rPr/>
            </w:pPr>
            <w:r>
              <w:rPr/>
              <w:t> </w:t>
            </w:r>
          </w:p>
        </w:tc>
        <w:tc>
          <w:tcPr>
            <w:tcW w:w="983" w:type="dxa"/>
            <w:tcBorders>
              <w:bottom w:val="single" w:sz="8" w:space="0" w:color="000000"/>
            </w:tcBorders>
            <w:shd w:fill="FFFFFF" w:val="clear"/>
            <w:vAlign w:val="center"/>
          </w:tcPr>
          <w:p>
            <w:pPr>
              <w:pStyle w:val="TableContents"/>
              <w:bidi w:val="0"/>
              <w:spacing w:before="0" w:after="283"/>
              <w:jc w:val="right"/>
              <w:rPr>
                <w:sz w:val="20"/>
              </w:rPr>
            </w:pPr>
            <w:r>
              <w:rPr>
                <w:sz w:val="20"/>
              </w:rPr>
              <w:t>118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bottom w:val="single" w:sz="8" w:space="0" w:color="000000"/>
            </w:tcBorders>
            <w:shd w:fill="FFFFFF" w:val="clear"/>
            <w:vAlign w:val="center"/>
          </w:tcPr>
          <w:p>
            <w:pPr>
              <w:pStyle w:val="TableContents"/>
              <w:bidi w:val="0"/>
              <w:spacing w:before="0" w:after="283"/>
              <w:jc w:val="left"/>
              <w:rPr/>
            </w:pPr>
            <w:r>
              <w:rPr/>
              <w:t> </w:t>
            </w:r>
          </w:p>
        </w:tc>
        <w:tc>
          <w:tcPr>
            <w:tcW w:w="1353" w:type="dxa"/>
            <w:tcBorders>
              <w:bottom w:val="single" w:sz="8" w:space="0" w:color="000000"/>
            </w:tcBorders>
            <w:shd w:fill="FFFFFF" w:val="clear"/>
            <w:vAlign w:val="center"/>
          </w:tcPr>
          <w:p>
            <w:pPr>
              <w:pStyle w:val="TableContents"/>
              <w:bidi w:val="0"/>
              <w:spacing w:before="0" w:after="283"/>
              <w:jc w:val="right"/>
              <w:rPr>
                <w:sz w:val="20"/>
              </w:rPr>
            </w:pPr>
            <w:r>
              <w:rPr>
                <w:sz w:val="20"/>
              </w:rPr>
              <w:t>116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sz w:val="20"/>
              </w:rPr>
            </w:pPr>
            <w:r>
              <w:rPr>
                <w:b/>
                <w:sz w:val="20"/>
              </w:rPr>
              <w:t>Total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CCEEFF" w:val="clear"/>
            <w:vAlign w:val="center"/>
          </w:tcPr>
          <w:p>
            <w:pPr>
              <w:pStyle w:val="TableContents"/>
              <w:bidi w:val="0"/>
              <w:spacing w:before="0" w:after="283"/>
              <w:jc w:val="left"/>
              <w:rPr/>
            </w:pPr>
            <w:r>
              <w:rPr/>
              <w:t> </w:t>
            </w:r>
          </w:p>
        </w:tc>
        <w:tc>
          <w:tcPr>
            <w:tcW w:w="983" w:type="dxa"/>
            <w:tcBorders>
              <w:bottom w:val="single" w:sz="8" w:space="0" w:color="000000"/>
            </w:tcBorders>
            <w:shd w:fill="CCEEFF" w:val="clear"/>
            <w:vAlign w:val="center"/>
          </w:tcPr>
          <w:p>
            <w:pPr>
              <w:pStyle w:val="TableContents"/>
              <w:bidi w:val="0"/>
              <w:spacing w:before="0" w:after="283"/>
              <w:jc w:val="right"/>
              <w:rPr>
                <w:b/>
                <w:sz w:val="20"/>
              </w:rPr>
            </w:pPr>
            <w:r>
              <w:rPr>
                <w:b/>
                <w:sz w:val="20"/>
              </w:rPr>
              <w:t>13,300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bottom w:val="single" w:sz="8" w:space="0" w:color="000000"/>
            </w:tcBorders>
            <w:shd w:fill="CCEEFF" w:val="clear"/>
            <w:vAlign w:val="center"/>
          </w:tcPr>
          <w:p>
            <w:pPr>
              <w:pStyle w:val="TableContents"/>
              <w:bidi w:val="0"/>
              <w:spacing w:before="0" w:after="283"/>
              <w:jc w:val="left"/>
              <w:rPr/>
            </w:pPr>
            <w:r>
              <w:rPr/>
              <w:t> </w:t>
            </w:r>
          </w:p>
        </w:tc>
        <w:tc>
          <w:tcPr>
            <w:tcW w:w="1353" w:type="dxa"/>
            <w:tcBorders>
              <w:bottom w:val="single" w:sz="8" w:space="0" w:color="000000"/>
            </w:tcBorders>
            <w:shd w:fill="CCEEFF" w:val="clear"/>
            <w:vAlign w:val="center"/>
          </w:tcPr>
          <w:p>
            <w:pPr>
              <w:pStyle w:val="TableContents"/>
              <w:bidi w:val="0"/>
              <w:spacing w:before="0" w:after="283"/>
              <w:jc w:val="right"/>
              <w:rPr>
                <w:b/>
                <w:sz w:val="20"/>
              </w:rPr>
            </w:pPr>
            <w:r>
              <w:rPr>
                <w:b/>
                <w:sz w:val="20"/>
              </w:rPr>
              <w:t>13,511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b/>
                <w:sz w:val="20"/>
              </w:rPr>
            </w:pPr>
            <w:r>
              <w:rPr>
                <w:b/>
                <w:sz w:val="20"/>
              </w:rPr>
              <w:t>TOTAL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vAlign w:val="center"/>
          </w:tcPr>
          <w:p>
            <w:pPr>
              <w:pStyle w:val="TableContents"/>
              <w:bidi w:val="0"/>
              <w:spacing w:before="0" w:after="283"/>
              <w:jc w:val="left"/>
              <w:rPr>
                <w:b/>
                <w:sz w:val="20"/>
              </w:rPr>
            </w:pPr>
            <w:r>
              <w:rPr>
                <w:b/>
                <w:sz w:val="20"/>
              </w:rPr>
              <w:t>$</w:t>
            </w:r>
          </w:p>
        </w:tc>
        <w:tc>
          <w:tcPr>
            <w:tcW w:w="983" w:type="dxa"/>
            <w:tcBorders>
              <w:bottom w:val="double" w:sz="6" w:space="0" w:color="000000"/>
            </w:tcBorders>
            <w:shd w:fill="FFFFFF" w:val="clear"/>
            <w:vAlign w:val="center"/>
          </w:tcPr>
          <w:p>
            <w:pPr>
              <w:pStyle w:val="TableContents"/>
              <w:bidi w:val="0"/>
              <w:spacing w:before="0" w:after="283"/>
              <w:jc w:val="right"/>
              <w:rPr>
                <w:b/>
                <w:sz w:val="20"/>
              </w:rPr>
            </w:pPr>
            <w:r>
              <w:rPr>
                <w:b/>
                <w:sz w:val="20"/>
              </w:rPr>
              <w:t>15,307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vAlign w:val="center"/>
          </w:tcPr>
          <w:p>
            <w:pPr>
              <w:pStyle w:val="TableContents"/>
              <w:bidi w:val="0"/>
              <w:spacing w:before="0" w:after="283"/>
              <w:jc w:val="left"/>
              <w:rPr>
                <w:b/>
                <w:sz w:val="20"/>
              </w:rPr>
            </w:pPr>
            <w:r>
              <w:rPr>
                <w:b/>
                <w:sz w:val="20"/>
              </w:rPr>
              <w:t>$</w:t>
            </w:r>
          </w:p>
        </w:tc>
        <w:tc>
          <w:tcPr>
            <w:tcW w:w="1353" w:type="dxa"/>
            <w:tcBorders>
              <w:bottom w:val="double" w:sz="6" w:space="0" w:color="000000"/>
            </w:tcBorders>
            <w:shd w:fill="FFFFFF" w:val="clear"/>
            <w:vAlign w:val="center"/>
          </w:tcPr>
          <w:p>
            <w:pPr>
              <w:pStyle w:val="TableContents"/>
              <w:bidi w:val="0"/>
              <w:spacing w:before="0" w:after="283"/>
              <w:jc w:val="right"/>
              <w:rPr>
                <w:b/>
                <w:sz w:val="20"/>
              </w:rPr>
            </w:pPr>
            <w:r>
              <w:rPr>
                <w:b/>
                <w:sz w:val="20"/>
              </w:rPr>
              <w:t>15,577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sz w:val="20"/>
              </w:rPr>
            </w:pPr>
            <w:r>
              <w:rPr>
                <w:b/>
                <w:sz w:val="20"/>
              </w:rPr>
              <w:t>Liabilities and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sz w:val="20"/>
              </w:rPr>
            </w:pPr>
            <w:r>
              <w:rPr>
                <w:sz w:val="20"/>
              </w:rPr>
              <w:t>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sz w:val="20"/>
              </w:rPr>
            </w:pPr>
            <w:r>
              <w:rPr>
                <w:sz w:val="20"/>
              </w:rPr>
              <w:t>Accounts payable and accrued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sz w:val="20"/>
              </w:rPr>
            </w:pPr>
            <w:r>
              <w:rPr>
                <w:sz w:val="20"/>
              </w:rPr>
              <w:t>$</w:t>
            </w:r>
          </w:p>
        </w:tc>
        <w:tc>
          <w:tcPr>
            <w:tcW w:w="983" w:type="dxa"/>
            <w:tcBorders/>
            <w:shd w:fill="CCEEFF" w:val="clear"/>
            <w:tcMar>
              <w:bottom w:w="0" w:type="dxa"/>
            </w:tcMar>
            <w:vAlign w:val="center"/>
          </w:tcPr>
          <w:p>
            <w:pPr>
              <w:pStyle w:val="TableContents"/>
              <w:bidi w:val="0"/>
              <w:spacing w:before="0" w:after="283"/>
              <w:jc w:val="right"/>
              <w:rPr>
                <w:sz w:val="20"/>
              </w:rPr>
            </w:pPr>
            <w:r>
              <w:rPr>
                <w:sz w:val="20"/>
              </w:rPr>
              <w:t>171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sz w:val="20"/>
              </w:rPr>
            </w:pPr>
            <w:r>
              <w:rPr>
                <w:sz w:val="20"/>
              </w:rPr>
              <w:t>$</w:t>
            </w:r>
          </w:p>
        </w:tc>
        <w:tc>
          <w:tcPr>
            <w:tcW w:w="1353" w:type="dxa"/>
            <w:tcBorders/>
            <w:shd w:fill="CCEEFF" w:val="clear"/>
            <w:tcMar>
              <w:bottom w:w="0" w:type="dxa"/>
            </w:tcMar>
            <w:vAlign w:val="center"/>
          </w:tcPr>
          <w:p>
            <w:pPr>
              <w:pStyle w:val="TableContents"/>
              <w:bidi w:val="0"/>
              <w:spacing w:before="0" w:after="283"/>
              <w:jc w:val="right"/>
              <w:rPr>
                <w:sz w:val="20"/>
              </w:rPr>
            </w:pPr>
            <w:r>
              <w:rPr>
                <w:sz w:val="20"/>
              </w:rPr>
              <w:t>229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sz w:val="20"/>
              </w:rPr>
            </w:pPr>
            <w:r>
              <w:rPr>
                <w:sz w:val="20"/>
              </w:rPr>
              <w:t>Employee related accrued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sz w:val="20"/>
              </w:rPr>
            </w:pPr>
            <w:r>
              <w:rPr>
                <w:sz w:val="20"/>
              </w:rPr>
              <w:t>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sz w:val="20"/>
              </w:rPr>
            </w:pPr>
            <w:r>
              <w:rPr>
                <w:sz w:val="20"/>
              </w:rPr>
              <w:t>87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sz w:val="20"/>
              </w:rPr>
            </w:pPr>
            <w:r>
              <w:rPr>
                <w:sz w:val="20"/>
              </w:rPr>
              <w:t>Related party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sz w:val="20"/>
              </w:rPr>
            </w:pPr>
            <w:r>
              <w:rPr>
                <w:sz w:val="20"/>
              </w:rPr>
              <w:t>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sz w:val="20"/>
              </w:rPr>
            </w:pPr>
            <w:r>
              <w:rPr>
                <w:sz w:val="20"/>
              </w:rPr>
              <w:t>39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sz w:val="20"/>
              </w:rPr>
            </w:pPr>
            <w:r>
              <w:rPr>
                <w:sz w:val="20"/>
              </w:rPr>
              <w:t>Other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FFFFFF" w:val="clear"/>
            <w:vAlign w:val="center"/>
          </w:tcPr>
          <w:p>
            <w:pPr>
              <w:pStyle w:val="TableContents"/>
              <w:bidi w:val="0"/>
              <w:spacing w:before="0" w:after="283"/>
              <w:jc w:val="left"/>
              <w:rPr/>
            </w:pPr>
            <w:r>
              <w:rPr/>
              <w:t> </w:t>
            </w:r>
          </w:p>
        </w:tc>
        <w:tc>
          <w:tcPr>
            <w:tcW w:w="983" w:type="dxa"/>
            <w:tcBorders>
              <w:bottom w:val="single" w:sz="8" w:space="0" w:color="000000"/>
            </w:tcBorders>
            <w:shd w:fill="FFFFFF" w:val="clear"/>
            <w:vAlign w:val="center"/>
          </w:tcPr>
          <w:p>
            <w:pPr>
              <w:pStyle w:val="TableContents"/>
              <w:bidi w:val="0"/>
              <w:spacing w:before="0" w:after="283"/>
              <w:jc w:val="right"/>
              <w:rPr>
                <w:sz w:val="20"/>
              </w:rPr>
            </w:pPr>
            <w:r>
              <w:rPr>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bottom w:val="single" w:sz="8" w:space="0" w:color="000000"/>
            </w:tcBorders>
            <w:shd w:fill="FFFFFF" w:val="clear"/>
            <w:vAlign w:val="center"/>
          </w:tcPr>
          <w:p>
            <w:pPr>
              <w:pStyle w:val="TableContents"/>
              <w:bidi w:val="0"/>
              <w:spacing w:before="0" w:after="283"/>
              <w:jc w:val="left"/>
              <w:rPr/>
            </w:pPr>
            <w:r>
              <w:rPr/>
              <w:t> </w:t>
            </w:r>
          </w:p>
        </w:tc>
        <w:tc>
          <w:tcPr>
            <w:tcW w:w="1353" w:type="dxa"/>
            <w:tcBorders>
              <w:bottom w:val="single" w:sz="8" w:space="0" w:color="000000"/>
            </w:tcBorders>
            <w:shd w:fill="FFFFFF" w:val="clear"/>
            <w:vAlign w:val="center"/>
          </w:tcPr>
          <w:p>
            <w:pPr>
              <w:pStyle w:val="TableContents"/>
              <w:bidi w:val="0"/>
              <w:spacing w:before="0" w:after="283"/>
              <w:jc w:val="right"/>
              <w:rPr>
                <w:sz w:val="20"/>
              </w:rPr>
            </w:pPr>
            <w:r>
              <w:rPr>
                <w:sz w:val="20"/>
              </w:rPr>
              <w:t>48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sz w:val="20"/>
              </w:rPr>
            </w:pPr>
            <w:r>
              <w:rPr>
                <w:b/>
                <w:sz w:val="20"/>
              </w:rPr>
              <w:t>Total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b/>
                <w:sz w:val="20"/>
              </w:rPr>
            </w:pPr>
            <w:r>
              <w:rPr>
                <w:b/>
                <w:sz w:val="20"/>
              </w:rPr>
              <w:t>346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b/>
                <w:sz w:val="20"/>
              </w:rPr>
            </w:pPr>
            <w:r>
              <w:rPr>
                <w:b/>
                <w:sz w:val="20"/>
              </w:rPr>
              <w:t>403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sz w:val="20"/>
              </w:rPr>
            </w:pPr>
            <w:r>
              <w:rPr>
                <w:sz w:val="20"/>
              </w:rPr>
              <w:t>Non-current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sz w:val="20"/>
              </w:rPr>
            </w:pPr>
            <w:r>
              <w:rPr>
                <w:sz w:val="20"/>
              </w:rPr>
              <w:t>Long-term employee benefits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sz w:val="20"/>
              </w:rPr>
            </w:pPr>
            <w:r>
              <w:rPr>
                <w:sz w:val="20"/>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sz w:val="20"/>
              </w:rPr>
            </w:pPr>
            <w:r>
              <w:rPr>
                <w:sz w:val="20"/>
              </w:rPr>
              <w:t>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sz w:val="20"/>
              </w:rPr>
            </w:pPr>
            <w:r>
              <w:rPr>
                <w:sz w:val="20"/>
              </w:rPr>
              <w:t>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sz w:val="20"/>
              </w:rPr>
            </w:pPr>
            <w:r>
              <w:rPr>
                <w:sz w:val="20"/>
              </w:rPr>
              <w:t>137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right"/>
              <w:rPr>
                <w:sz w:val="20"/>
              </w:rPr>
            </w:pPr>
            <w:r>
              <w:rPr>
                <w:sz w:val="20"/>
              </w:rPr>
              <w:t>148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sz w:val="20"/>
              </w:rPr>
            </w:pPr>
            <w:r>
              <w:rPr>
                <w:sz w:val="20"/>
              </w:rPr>
              <w:t>Other long-term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CCEEFF" w:val="clear"/>
            <w:vAlign w:val="center"/>
          </w:tcPr>
          <w:p>
            <w:pPr>
              <w:pStyle w:val="TableContents"/>
              <w:bidi w:val="0"/>
              <w:spacing w:before="0" w:after="283"/>
              <w:jc w:val="left"/>
              <w:rPr/>
            </w:pPr>
            <w:r>
              <w:rPr/>
              <w:t> </w:t>
            </w:r>
          </w:p>
        </w:tc>
        <w:tc>
          <w:tcPr>
            <w:tcW w:w="983" w:type="dxa"/>
            <w:tcBorders>
              <w:bottom w:val="single" w:sz="8" w:space="0" w:color="000000"/>
            </w:tcBorders>
            <w:shd w:fill="CCEEFF" w:val="clear"/>
            <w:vAlign w:val="center"/>
          </w:tcPr>
          <w:p>
            <w:pPr>
              <w:pStyle w:val="TableContents"/>
              <w:bidi w:val="0"/>
              <w:spacing w:before="0" w:after="283"/>
              <w:jc w:val="right"/>
              <w:rPr>
                <w:sz w:val="20"/>
              </w:rPr>
            </w:pPr>
            <w:r>
              <w:rPr>
                <w:sz w:val="20"/>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bottom w:val="single" w:sz="8" w:space="0" w:color="000000"/>
            </w:tcBorders>
            <w:shd w:fill="CCEEFF" w:val="clear"/>
            <w:vAlign w:val="center"/>
          </w:tcPr>
          <w:p>
            <w:pPr>
              <w:pStyle w:val="TableContents"/>
              <w:bidi w:val="0"/>
              <w:spacing w:before="0" w:after="283"/>
              <w:jc w:val="left"/>
              <w:rPr/>
            </w:pPr>
            <w:r>
              <w:rPr/>
              <w:t> </w:t>
            </w:r>
          </w:p>
        </w:tc>
        <w:tc>
          <w:tcPr>
            <w:tcW w:w="1353" w:type="dxa"/>
            <w:tcBorders>
              <w:bottom w:val="single" w:sz="8" w:space="0" w:color="000000"/>
            </w:tcBorders>
            <w:shd w:fill="CCEEFF" w:val="clear"/>
            <w:vAlign w:val="center"/>
          </w:tcPr>
          <w:p>
            <w:pPr>
              <w:pStyle w:val="TableContents"/>
              <w:bidi w:val="0"/>
              <w:spacing w:before="0" w:after="283"/>
              <w:jc w:val="right"/>
              <w:rPr>
                <w:sz w:val="20"/>
              </w:rPr>
            </w:pPr>
            <w:r>
              <w:rPr>
                <w:sz w:val="20"/>
              </w:rPr>
              <w:t>46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b/>
                <w:sz w:val="20"/>
              </w:rPr>
            </w:pPr>
            <w:r>
              <w:rPr>
                <w:b/>
                <w:sz w:val="20"/>
              </w:rPr>
              <w:t>Total non-current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FFFFFF" w:val="clear"/>
            <w:vAlign w:val="center"/>
          </w:tcPr>
          <w:p>
            <w:pPr>
              <w:pStyle w:val="TableContents"/>
              <w:bidi w:val="0"/>
              <w:spacing w:before="0" w:after="283"/>
              <w:jc w:val="left"/>
              <w:rPr/>
            </w:pPr>
            <w:r>
              <w:rPr/>
              <w:t> </w:t>
            </w:r>
          </w:p>
        </w:tc>
        <w:tc>
          <w:tcPr>
            <w:tcW w:w="983" w:type="dxa"/>
            <w:tcBorders>
              <w:bottom w:val="single" w:sz="8" w:space="0" w:color="000000"/>
            </w:tcBorders>
            <w:shd w:fill="FFFFFF" w:val="clear"/>
            <w:vAlign w:val="center"/>
          </w:tcPr>
          <w:p>
            <w:pPr>
              <w:pStyle w:val="TableContents"/>
              <w:bidi w:val="0"/>
              <w:spacing w:before="0" w:after="283"/>
              <w:jc w:val="right"/>
              <w:rPr>
                <w:b/>
                <w:sz w:val="20"/>
              </w:rPr>
            </w:pPr>
            <w:r>
              <w:rPr>
                <w:b/>
                <w:sz w:val="20"/>
              </w:rPr>
              <w:t>242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bottom w:val="single" w:sz="8" w:space="0" w:color="000000"/>
            </w:tcBorders>
            <w:shd w:fill="FFFFFF" w:val="clear"/>
            <w:vAlign w:val="center"/>
          </w:tcPr>
          <w:p>
            <w:pPr>
              <w:pStyle w:val="TableContents"/>
              <w:bidi w:val="0"/>
              <w:spacing w:before="0" w:after="283"/>
              <w:jc w:val="left"/>
              <w:rPr/>
            </w:pPr>
            <w:r>
              <w:rPr/>
              <w:t> </w:t>
            </w:r>
          </w:p>
        </w:tc>
        <w:tc>
          <w:tcPr>
            <w:tcW w:w="1353" w:type="dxa"/>
            <w:tcBorders>
              <w:bottom w:val="single" w:sz="8" w:space="0" w:color="000000"/>
            </w:tcBorders>
            <w:shd w:fill="FFFFFF" w:val="clear"/>
            <w:vAlign w:val="center"/>
          </w:tcPr>
          <w:p>
            <w:pPr>
              <w:pStyle w:val="TableContents"/>
              <w:bidi w:val="0"/>
              <w:spacing w:before="0" w:after="283"/>
              <w:jc w:val="right"/>
              <w:rPr>
                <w:b/>
                <w:sz w:val="20"/>
              </w:rPr>
            </w:pPr>
            <w:r>
              <w:rPr>
                <w:b/>
                <w:sz w:val="20"/>
              </w:rPr>
              <w:t>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sz w:val="20"/>
              </w:rPr>
            </w:pPr>
            <w:r>
              <w:rPr>
                <w:b/>
                <w:sz w:val="20"/>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CCEEFF" w:val="clear"/>
            <w:vAlign w:val="center"/>
          </w:tcPr>
          <w:p>
            <w:pPr>
              <w:pStyle w:val="TableContents"/>
              <w:bidi w:val="0"/>
              <w:spacing w:before="0" w:after="283"/>
              <w:jc w:val="left"/>
              <w:rPr>
                <w:b/>
                <w:sz w:val="20"/>
              </w:rPr>
            </w:pPr>
            <w:r>
              <w:rPr>
                <w:b/>
                <w:sz w:val="20"/>
              </w:rPr>
              <w:t>$</w:t>
            </w:r>
          </w:p>
        </w:tc>
        <w:tc>
          <w:tcPr>
            <w:tcW w:w="983" w:type="dxa"/>
            <w:tcBorders>
              <w:bottom w:val="single" w:sz="8" w:space="0" w:color="000000"/>
            </w:tcBorders>
            <w:shd w:fill="CCEEFF" w:val="clear"/>
            <w:vAlign w:val="center"/>
          </w:tcPr>
          <w:p>
            <w:pPr>
              <w:pStyle w:val="TableContents"/>
              <w:bidi w:val="0"/>
              <w:spacing w:before="0" w:after="283"/>
              <w:jc w:val="right"/>
              <w:rPr>
                <w:b/>
                <w:sz w:val="20"/>
              </w:rPr>
            </w:pPr>
            <w:r>
              <w:rPr>
                <w:b/>
                <w:sz w:val="20"/>
              </w:rPr>
              <w:t>588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bottom w:val="single" w:sz="8" w:space="0" w:color="000000"/>
            </w:tcBorders>
            <w:shd w:fill="CCEEFF" w:val="clear"/>
            <w:vAlign w:val="center"/>
          </w:tcPr>
          <w:p>
            <w:pPr>
              <w:pStyle w:val="TableContents"/>
              <w:bidi w:val="0"/>
              <w:spacing w:before="0" w:after="283"/>
              <w:jc w:val="left"/>
              <w:rPr>
                <w:b/>
                <w:sz w:val="20"/>
              </w:rPr>
            </w:pPr>
            <w:r>
              <w:rPr>
                <w:b/>
                <w:sz w:val="20"/>
              </w:rPr>
              <w:t>$</w:t>
            </w:r>
          </w:p>
        </w:tc>
        <w:tc>
          <w:tcPr>
            <w:tcW w:w="1353" w:type="dxa"/>
            <w:tcBorders>
              <w:bottom w:val="single" w:sz="8" w:space="0" w:color="000000"/>
            </w:tcBorders>
            <w:shd w:fill="CCEEFF" w:val="clear"/>
            <w:vAlign w:val="center"/>
          </w:tcPr>
          <w:p>
            <w:pPr>
              <w:pStyle w:val="TableContents"/>
              <w:bidi w:val="0"/>
              <w:spacing w:before="0" w:after="283"/>
              <w:jc w:val="right"/>
              <w:rPr>
                <w:b/>
                <w:sz w:val="20"/>
              </w:rPr>
            </w:pPr>
            <w:r>
              <w:rPr>
                <w:b/>
                <w:sz w:val="20"/>
              </w:rPr>
              <w:t>653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b/>
                <w:sz w:val="20"/>
              </w:rPr>
            </w:pPr>
            <w:r>
              <w:rPr>
                <w:b/>
                <w:sz w:val="20"/>
              </w:rPr>
              <w:t>TOTAL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FFFFFF" w:val="clear"/>
            <w:vAlign w:val="center"/>
          </w:tcPr>
          <w:p>
            <w:pPr>
              <w:pStyle w:val="TableContents"/>
              <w:bidi w:val="0"/>
              <w:spacing w:before="0" w:after="283"/>
              <w:jc w:val="left"/>
              <w:rPr/>
            </w:pPr>
            <w:r>
              <w:rPr/>
              <w:t> </w:t>
            </w:r>
          </w:p>
        </w:tc>
        <w:tc>
          <w:tcPr>
            <w:tcW w:w="983" w:type="dxa"/>
            <w:tcBorders>
              <w:bottom w:val="single" w:sz="8" w:space="0" w:color="000000"/>
            </w:tcBorders>
            <w:shd w:fill="FFFFFF" w:val="clear"/>
            <w:vAlign w:val="center"/>
          </w:tcPr>
          <w:p>
            <w:pPr>
              <w:pStyle w:val="TableContents"/>
              <w:bidi w:val="0"/>
              <w:spacing w:before="0" w:after="283"/>
              <w:jc w:val="right"/>
              <w:rPr>
                <w:b/>
                <w:sz w:val="20"/>
              </w:rPr>
            </w:pPr>
            <w:r>
              <w:rPr>
                <w:b/>
                <w:sz w:val="20"/>
              </w:rPr>
              <w:t>14,719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bottom w:val="single" w:sz="8" w:space="0" w:color="000000"/>
            </w:tcBorders>
            <w:shd w:fill="FFFFFF" w:val="clear"/>
            <w:vAlign w:val="center"/>
          </w:tcPr>
          <w:p>
            <w:pPr>
              <w:pStyle w:val="TableContents"/>
              <w:bidi w:val="0"/>
              <w:spacing w:before="0" w:after="283"/>
              <w:jc w:val="left"/>
              <w:rPr/>
            </w:pPr>
            <w:r>
              <w:rPr/>
              <w:t> </w:t>
            </w:r>
          </w:p>
        </w:tc>
        <w:tc>
          <w:tcPr>
            <w:tcW w:w="1353" w:type="dxa"/>
            <w:tcBorders>
              <w:bottom w:val="single" w:sz="8" w:space="0" w:color="000000"/>
            </w:tcBorders>
            <w:shd w:fill="FFFFFF" w:val="clear"/>
            <w:vAlign w:val="center"/>
          </w:tcPr>
          <w:p>
            <w:pPr>
              <w:pStyle w:val="TableContents"/>
              <w:bidi w:val="0"/>
              <w:spacing w:before="0" w:after="283"/>
              <w:jc w:val="right"/>
              <w:rPr>
                <w:b/>
                <w:sz w:val="20"/>
              </w:rPr>
            </w:pPr>
            <w:r>
              <w:rPr>
                <w:b/>
                <w:sz w:val="20"/>
              </w:rPr>
              <w:t>14,924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sz w:val="20"/>
              </w:rPr>
            </w:pPr>
            <w:r>
              <w:rPr>
                <w:b/>
                <w:sz w:val="20"/>
              </w:rPr>
              <w:t>TOTAL LIABILITIES AND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double" w:sz="6" w:space="0" w:color="000000"/>
            </w:tcBorders>
            <w:shd w:fill="CCEEFF" w:val="clear"/>
            <w:vAlign w:val="center"/>
          </w:tcPr>
          <w:p>
            <w:pPr>
              <w:pStyle w:val="TableContents"/>
              <w:bidi w:val="0"/>
              <w:spacing w:before="0" w:after="283"/>
              <w:jc w:val="left"/>
              <w:rPr>
                <w:b/>
                <w:sz w:val="20"/>
              </w:rPr>
            </w:pPr>
            <w:r>
              <w:rPr>
                <w:b/>
                <w:sz w:val="20"/>
              </w:rPr>
              <w:t>$</w:t>
            </w:r>
          </w:p>
        </w:tc>
        <w:tc>
          <w:tcPr>
            <w:tcW w:w="983" w:type="dxa"/>
            <w:tcBorders>
              <w:bottom w:val="double" w:sz="6" w:space="0" w:color="000000"/>
            </w:tcBorders>
            <w:shd w:fill="CCEEFF" w:val="clear"/>
            <w:vAlign w:val="center"/>
          </w:tcPr>
          <w:p>
            <w:pPr>
              <w:pStyle w:val="TableContents"/>
              <w:bidi w:val="0"/>
              <w:spacing w:before="0" w:after="283"/>
              <w:jc w:val="right"/>
              <w:rPr>
                <w:b/>
                <w:sz w:val="20"/>
              </w:rPr>
            </w:pPr>
            <w:r>
              <w:rPr>
                <w:b/>
                <w:sz w:val="20"/>
              </w:rPr>
              <w:t>15,307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bottom w:val="double" w:sz="6" w:space="0" w:color="000000"/>
            </w:tcBorders>
            <w:shd w:fill="CCEEFF" w:val="clear"/>
            <w:vAlign w:val="center"/>
          </w:tcPr>
          <w:p>
            <w:pPr>
              <w:pStyle w:val="TableContents"/>
              <w:bidi w:val="0"/>
              <w:spacing w:before="0" w:after="283"/>
              <w:jc w:val="left"/>
              <w:rPr>
                <w:b/>
                <w:sz w:val="20"/>
              </w:rPr>
            </w:pPr>
            <w:r>
              <w:rPr>
                <w:b/>
                <w:sz w:val="20"/>
              </w:rPr>
              <w:t>$</w:t>
            </w:r>
          </w:p>
        </w:tc>
        <w:tc>
          <w:tcPr>
            <w:tcW w:w="1353" w:type="dxa"/>
            <w:tcBorders>
              <w:bottom w:val="double" w:sz="6" w:space="0" w:color="000000"/>
            </w:tcBorders>
            <w:shd w:fill="CCEEFF" w:val="clear"/>
            <w:vAlign w:val="center"/>
          </w:tcPr>
          <w:p>
            <w:pPr>
              <w:pStyle w:val="TableContents"/>
              <w:bidi w:val="0"/>
              <w:spacing w:before="0" w:after="283"/>
              <w:jc w:val="right"/>
              <w:rPr>
                <w:b/>
                <w:sz w:val="20"/>
              </w:rPr>
            </w:pPr>
            <w:r>
              <w:rPr>
                <w:b/>
                <w:sz w:val="20"/>
              </w:rPr>
              <w:t>15,577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Cash Flows (unaudited)</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7280"/>
        <w:gridCol w:w="60"/>
        <w:gridCol w:w="242"/>
        <w:gridCol w:w="947"/>
        <w:gridCol w:w="90"/>
        <w:gridCol w:w="67"/>
        <w:gridCol w:w="216"/>
        <w:gridCol w:w="838"/>
        <w:gridCol w:w="95"/>
      </w:tblGrid>
      <w:tr>
        <w:trPr/>
        <w:tc>
          <w:tcPr>
            <w:tcW w:w="7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95" w:type="dxa"/>
            <w:tcBorders/>
            <w:vAlign w:val="center"/>
          </w:tcPr>
          <w:p>
            <w:pPr>
              <w:pStyle w:val="TableContents"/>
              <w:bidi w:val="0"/>
              <w:spacing w:before="0" w:after="283"/>
              <w:jc w:val="left"/>
              <w:rPr/>
            </w:pPr>
            <w:r>
              <w:rPr/>
              <w:t> </w:t>
            </w:r>
          </w:p>
        </w:tc>
      </w:tr>
      <w:tr>
        <w:trPr/>
        <w:tc>
          <w:tcPr>
            <w:tcW w:w="728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U.S. dollars in millions</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29, 2024</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1, 2023</w:t>
            </w:r>
          </w:p>
        </w:tc>
        <w:tc>
          <w:tcPr>
            <w:tcW w:w="95"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b/>
                <w:sz w:val="20"/>
              </w:rPr>
            </w:pPr>
            <w:r>
              <w:rPr>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sz w:val="20"/>
              </w:rPr>
            </w:pPr>
            <w:r>
              <w:rPr>
                <w:sz w:val="20"/>
              </w:rPr>
              <w:t>Net income (loss)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sz w:val="20"/>
              </w:rPr>
            </w:pPr>
            <w:r>
              <w:rPr>
                <w:sz w:val="20"/>
              </w:rPr>
              <w:t>$</w:t>
            </w:r>
          </w:p>
        </w:tc>
        <w:tc>
          <w:tcPr>
            <w:tcW w:w="947" w:type="dxa"/>
            <w:tcBorders/>
            <w:shd w:fill="FFFFFF" w:val="clear"/>
            <w:vAlign w:val="center"/>
          </w:tcPr>
          <w:p>
            <w:pPr>
              <w:pStyle w:val="TableContents"/>
              <w:bidi w:val="0"/>
              <w:spacing w:before="0" w:after="283"/>
              <w:jc w:val="right"/>
              <w:rPr>
                <w:sz w:val="20"/>
              </w:rPr>
            </w:pPr>
            <w:r>
              <w:rPr>
                <w:sz w:val="20"/>
              </w:rPr>
              <w:t>(304</w:t>
            </w:r>
          </w:p>
        </w:tc>
        <w:tc>
          <w:tcPr>
            <w:tcW w:w="90"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sz w:val="20"/>
              </w:rPr>
            </w:pPr>
            <w:r>
              <w:rPr>
                <w:sz w:val="20"/>
              </w:rPr>
              <w:t>$</w:t>
            </w:r>
          </w:p>
        </w:tc>
        <w:tc>
          <w:tcPr>
            <w:tcW w:w="838" w:type="dxa"/>
            <w:tcBorders/>
            <w:shd w:fill="FFFFFF" w:val="clear"/>
            <w:vAlign w:val="center"/>
          </w:tcPr>
          <w:p>
            <w:pPr>
              <w:pStyle w:val="TableContents"/>
              <w:bidi w:val="0"/>
              <w:spacing w:before="0" w:after="283"/>
              <w:jc w:val="right"/>
              <w:rPr>
                <w:sz w:val="20"/>
              </w:rPr>
            </w:pPr>
            <w:r>
              <w:rPr>
                <w:sz w:val="20"/>
              </w:rPr>
              <w:t>(107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280" w:type="dxa"/>
            <w:tcBorders/>
            <w:shd w:fill="CCEEFF" w:val="clear"/>
            <w:vAlign w:val="center"/>
          </w:tcPr>
          <w:p>
            <w:pPr>
              <w:pStyle w:val="TableContents"/>
              <w:bidi w:val="0"/>
              <w:spacing w:before="0" w:after="283"/>
              <w:jc w:val="left"/>
              <w:rPr>
                <w:b/>
                <w:sz w:val="20"/>
              </w:rPr>
            </w:pPr>
            <w:r>
              <w:rPr>
                <w:b/>
                <w:sz w:val="20"/>
              </w:rPr>
              <w:t>Adjustments to reconcile net income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sz w:val="20"/>
              </w:rPr>
            </w:pPr>
            <w:r>
              <w:rPr>
                <w:sz w:val="20"/>
              </w:rPr>
              <w:t>Depreciation of property and equipment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sz w:val="20"/>
              </w:rPr>
            </w:pPr>
            <w:r>
              <w:rPr>
                <w:sz w:val="20"/>
              </w:rPr>
              <w:t>30</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sz w:val="20"/>
              </w:rPr>
            </w:pPr>
            <w:r>
              <w:rPr>
                <w:sz w:val="20"/>
              </w:rPr>
              <w:t>15</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sz w:val="20"/>
              </w:rPr>
            </w:pPr>
            <w:r>
              <w:rPr>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sz w:val="20"/>
              </w:rPr>
            </w:pPr>
            <w:r>
              <w:rPr>
                <w:sz w:val="20"/>
              </w:rPr>
              <w:t>124</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sz w:val="20"/>
              </w:rPr>
            </w:pPr>
            <w:r>
              <w:rPr>
                <w:sz w:val="20"/>
              </w:rPr>
              <w:t>127</w:t>
            </w:r>
          </w:p>
        </w:tc>
        <w:tc>
          <w:tcPr>
            <w:tcW w:w="9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sz w:val="20"/>
              </w:rPr>
            </w:pPr>
            <w:r>
              <w:rPr>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sz w:val="20"/>
              </w:rPr>
            </w:pPr>
            <w:r>
              <w:rPr>
                <w:sz w:val="20"/>
              </w:rPr>
              <w:t>222</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sz w:val="20"/>
              </w:rPr>
            </w:pPr>
            <w:r>
              <w:rPr>
                <w:sz w:val="20"/>
              </w:rPr>
              <w:t>251</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sz w:val="20"/>
              </w:rPr>
            </w:pPr>
            <w:r>
              <w:rPr>
                <w:sz w:val="20"/>
              </w:rPr>
              <w:t>Exchange rate differences on cash and cash equivalents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sz w:val="20"/>
              </w:rPr>
            </w:pPr>
            <w:r>
              <w:rPr>
                <w:sz w:val="20"/>
              </w:rPr>
              <w:t>5</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sz w:val="20"/>
              </w:rPr>
            </w:pPr>
            <w:r>
              <w:rPr>
                <w:sz w:val="20"/>
              </w:rPr>
              <w:t>5</w:t>
            </w:r>
          </w:p>
        </w:tc>
        <w:tc>
          <w:tcPr>
            <w:tcW w:w="9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sz w:val="20"/>
              </w:rPr>
            </w:pPr>
            <w:r>
              <w:rPr>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sz w:val="20"/>
              </w:rPr>
            </w:pPr>
            <w:r>
              <w:rPr>
                <w:sz w:val="20"/>
              </w:rPr>
              <w:t>(11</w:t>
            </w:r>
          </w:p>
        </w:tc>
        <w:tc>
          <w:tcPr>
            <w:tcW w:w="90"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sz w:val="20"/>
              </w:rPr>
            </w:pPr>
            <w:r>
              <w:rPr>
                <w:sz w:val="20"/>
              </w:rPr>
              <w:t>(10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280" w:type="dxa"/>
            <w:tcBorders/>
            <w:shd w:fill="CCEEFF" w:val="clear"/>
            <w:vAlign w:val="center"/>
          </w:tcPr>
          <w:p>
            <w:pPr>
              <w:pStyle w:val="TableContents"/>
              <w:bidi w:val="0"/>
              <w:spacing w:before="0" w:after="283"/>
              <w:jc w:val="left"/>
              <w:rPr>
                <w:sz w:val="20"/>
              </w:rPr>
            </w:pPr>
            <w:r>
              <w:rPr>
                <w:sz w:val="20"/>
              </w:rPr>
              <w:t>Interest with related party, net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sz w:val="20"/>
              </w:rPr>
            </w:pPr>
            <w:r>
              <w:rPr>
                <w:sz w:val="20"/>
              </w:rPr>
              <w:t>16</w:t>
            </w:r>
          </w:p>
        </w:tc>
        <w:tc>
          <w:tcPr>
            <w:tcW w:w="9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sz w:val="20"/>
              </w:rPr>
            </w:pPr>
            <w:r>
              <w:rPr>
                <w:sz w:val="20"/>
              </w:rPr>
              <w:t>(Gains) losses on equity and debt investments, net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sz w:val="20"/>
              </w:rPr>
            </w:pPr>
            <w:r>
              <w:rPr>
                <w:sz w:val="20"/>
              </w:rPr>
              <w:t>1</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sz w:val="20"/>
              </w:rPr>
            </w:pPr>
            <w:r>
              <w:rPr>
                <w:sz w:val="20"/>
              </w:rPr>
              <w:t>Other</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sz w:val="20"/>
              </w:rPr>
            </w:pPr>
            <w:r>
              <w:rPr>
                <w:sz w:val="20"/>
              </w:rPr>
              <w:t>(1</w:t>
            </w:r>
          </w:p>
        </w:tc>
        <w:tc>
          <w:tcPr>
            <w:tcW w:w="90"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b/>
                <w:sz w:val="20"/>
              </w:rPr>
            </w:pPr>
            <w:r>
              <w:rPr>
                <w:b/>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sz w:val="20"/>
              </w:rPr>
            </w:pPr>
            <w:r>
              <w:rPr>
                <w:sz w:val="20"/>
              </w:rPr>
              <w:t>Decrease (increase) in trade accounts receivable</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sz w:val="20"/>
              </w:rPr>
            </w:pPr>
            <w:r>
              <w:rPr>
                <w:sz w:val="20"/>
              </w:rPr>
              <w:t>133</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sz w:val="20"/>
              </w:rPr>
            </w:pPr>
            <w:r>
              <w:rPr>
                <w:sz w:val="20"/>
              </w:rPr>
              <w:t>29</w:t>
            </w:r>
          </w:p>
        </w:tc>
        <w:tc>
          <w:tcPr>
            <w:tcW w:w="9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sz w:val="20"/>
              </w:rPr>
            </w:pPr>
            <w:r>
              <w:rPr>
                <w:sz w:val="20"/>
              </w:rPr>
              <w:t>Decrease (increase) in other current assets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sz w:val="20"/>
              </w:rPr>
            </w:pPr>
            <w:r>
              <w:rPr>
                <w:sz w:val="20"/>
              </w:rPr>
              <w:t>8</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sz w:val="20"/>
              </w:rPr>
            </w:pPr>
            <w:r>
              <w:rPr>
                <w:sz w:val="20"/>
              </w:rPr>
              <w:t>21</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sz w:val="20"/>
              </w:rPr>
            </w:pPr>
            <w:r>
              <w:rPr>
                <w:sz w:val="20"/>
              </w:rPr>
              <w:t>Decrease (increase) in inventories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sz w:val="20"/>
              </w:rPr>
            </w:pPr>
            <w:r>
              <w:rPr>
                <w:sz w:val="20"/>
              </w:rPr>
              <w:t>(94</w:t>
            </w:r>
          </w:p>
        </w:tc>
        <w:tc>
          <w:tcPr>
            <w:tcW w:w="90"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sz w:val="20"/>
              </w:rPr>
            </w:pPr>
            <w:r>
              <w:rPr>
                <w:sz w:val="20"/>
              </w:rPr>
              <w:t>(150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280" w:type="dxa"/>
            <w:tcBorders/>
            <w:shd w:fill="FFFFFF" w:val="clear"/>
            <w:vAlign w:val="center"/>
          </w:tcPr>
          <w:p>
            <w:pPr>
              <w:pStyle w:val="TableContents"/>
              <w:bidi w:val="0"/>
              <w:spacing w:before="0" w:after="283"/>
              <w:jc w:val="left"/>
              <w:rPr>
                <w:sz w:val="20"/>
              </w:rPr>
            </w:pPr>
            <w:r>
              <w:rPr>
                <w:sz w:val="20"/>
              </w:rPr>
              <w:t>Increase (decrease) in accounts payable, accrued expenses and related party payable</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sz w:val="20"/>
              </w:rPr>
            </w:pPr>
            <w:r>
              <w:rPr>
                <w:sz w:val="20"/>
              </w:rPr>
              <w:t>(52</w:t>
            </w:r>
          </w:p>
        </w:tc>
        <w:tc>
          <w:tcPr>
            <w:tcW w:w="90"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sz w:val="20"/>
              </w:rPr>
            </w:pPr>
            <w:r>
              <w:rPr>
                <w:sz w:val="20"/>
              </w:rPr>
              <w:t>3</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sz w:val="20"/>
              </w:rPr>
            </w:pPr>
            <w:r>
              <w:rPr>
                <w:sz w:val="20"/>
              </w:rPr>
              <w:t>Increase (decrease) in employee-related accrued expenses and long term benefits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sz w:val="20"/>
              </w:rPr>
            </w:pPr>
            <w:r>
              <w:rPr>
                <w:sz w:val="20"/>
              </w:rPr>
              <w:t>3</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sz w:val="20"/>
              </w:rPr>
            </w:pPr>
            <w:r>
              <w:rPr>
                <w:sz w:val="20"/>
              </w:rPr>
              <w:t>(2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280" w:type="dxa"/>
            <w:tcBorders/>
            <w:shd w:fill="FFFFFF" w:val="clear"/>
            <w:vAlign w:val="center"/>
          </w:tcPr>
          <w:p>
            <w:pPr>
              <w:pStyle w:val="TableContents"/>
              <w:bidi w:val="0"/>
              <w:spacing w:before="0" w:after="283"/>
              <w:jc w:val="left"/>
              <w:rPr>
                <w:sz w:val="20"/>
              </w:rPr>
            </w:pPr>
            <w:r>
              <w:rPr>
                <w:sz w:val="20"/>
              </w:rPr>
              <w:t>Increase (decrease) in other current liabilities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sz w:val="20"/>
              </w:rPr>
            </w:pPr>
            <w:r>
              <w:rPr>
                <w:sz w:val="20"/>
              </w:rPr>
              <w:t>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sz w:val="20"/>
              </w:rPr>
            </w:pPr>
            <w:r>
              <w:rPr>
                <w:sz w:val="20"/>
              </w:rPr>
              <w:t>(2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280" w:type="dxa"/>
            <w:tcBorders/>
            <w:shd w:fill="CCEEFF" w:val="clear"/>
            <w:vAlign w:val="center"/>
          </w:tcPr>
          <w:p>
            <w:pPr>
              <w:pStyle w:val="TableContents"/>
              <w:bidi w:val="0"/>
              <w:spacing w:before="0" w:after="283"/>
              <w:jc w:val="left"/>
              <w:rPr>
                <w:sz w:val="20"/>
              </w:rPr>
            </w:pPr>
            <w:r>
              <w:rPr>
                <w:sz w:val="20"/>
              </w:rPr>
              <w:t>Decrease (increase) in other long term assets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sz w:val="20"/>
              </w:rPr>
            </w:pPr>
            <w:r>
              <w:rPr>
                <w:sz w:val="20"/>
              </w:rPr>
              <w:t>(2</w:t>
            </w:r>
          </w:p>
        </w:tc>
        <w:tc>
          <w:tcPr>
            <w:tcW w:w="90"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sz w:val="20"/>
              </w:rPr>
            </w:pPr>
            <w:r>
              <w:rPr>
                <w:sz w:val="20"/>
              </w:rPr>
              <w:t>1</w:t>
            </w:r>
          </w:p>
        </w:tc>
        <w:tc>
          <w:tcPr>
            <w:tcW w:w="9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sz w:val="20"/>
              </w:rPr>
            </w:pPr>
            <w:r>
              <w:rPr>
                <w:sz w:val="20"/>
              </w:rPr>
              <w:t>Increase (decrease) in other long-term liabilities</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b/>
                <w:sz w:val="20"/>
              </w:rPr>
            </w:pPr>
            <w:r>
              <w:rPr>
                <w:b/>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70</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197</w:t>
            </w:r>
          </w:p>
        </w:tc>
        <w:tc>
          <w:tcPr>
            <w:tcW w:w="9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b/>
                <w:sz w:val="20"/>
              </w:rPr>
            </w:pPr>
            <w:r>
              <w:rPr>
                <w:b/>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sz w:val="20"/>
              </w:rPr>
            </w:pPr>
            <w:r>
              <w:rPr>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sz w:val="20"/>
              </w:rPr>
            </w:pPr>
            <w:r>
              <w:rPr>
                <w:sz w:val="20"/>
              </w:rPr>
              <w:t>(46</w:t>
            </w:r>
          </w:p>
        </w:tc>
        <w:tc>
          <w:tcPr>
            <w:tcW w:w="90"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sz w:val="20"/>
              </w:rPr>
            </w:pPr>
            <w:r>
              <w:rPr>
                <w:sz w:val="20"/>
              </w:rPr>
              <w:t>(58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280" w:type="dxa"/>
            <w:tcBorders/>
            <w:shd w:fill="FFFFFF" w:val="clear"/>
            <w:vAlign w:val="center"/>
          </w:tcPr>
          <w:p>
            <w:pPr>
              <w:pStyle w:val="TableContents"/>
              <w:bidi w:val="0"/>
              <w:spacing w:before="0" w:after="283"/>
              <w:jc w:val="left"/>
              <w:rPr>
                <w:sz w:val="20"/>
              </w:rPr>
            </w:pPr>
            <w:r>
              <w:rPr>
                <w:sz w:val="20"/>
              </w:rPr>
              <w:t>Purchases of debt and equity investments</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w:t>
            </w:r>
          </w:p>
        </w:tc>
        <w:tc>
          <w:tcPr>
            <w:tcW w:w="90"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b/>
                <w:sz w:val="20"/>
              </w:rPr>
            </w:pPr>
            <w:r>
              <w:rPr>
                <w:b/>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(64</w:t>
            </w:r>
          </w:p>
        </w:tc>
        <w:tc>
          <w:tcPr>
            <w:tcW w:w="90" w:type="dxa"/>
            <w:tcBorders/>
            <w:shd w:fill="CCEEFF" w:val="clear"/>
            <w:vAlign w:val="center"/>
          </w:tcPr>
          <w:p>
            <w:pPr>
              <w:pStyle w:val="TableContents"/>
              <w:bidi w:val="0"/>
              <w:spacing w:before="0" w:after="283"/>
              <w:jc w:val="left"/>
              <w:rPr>
                <w:b/>
                <w:sz w:val="20"/>
              </w:rPr>
            </w:pPr>
            <w:r>
              <w:rPr>
                <w:b/>
                <w:sz w:val="20"/>
              </w:rPr>
              <w:t>)</w:t>
            </w:r>
          </w:p>
        </w:tc>
        <w:tc>
          <w:tcPr>
            <w:tcW w:w="67"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(58</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7280" w:type="dxa"/>
            <w:tcBorders/>
            <w:shd w:fill="FFFFFF" w:val="clear"/>
            <w:vAlign w:val="center"/>
          </w:tcPr>
          <w:p>
            <w:pPr>
              <w:pStyle w:val="TableContents"/>
              <w:bidi w:val="0"/>
              <w:spacing w:before="0" w:after="283"/>
              <w:jc w:val="left"/>
              <w:rPr>
                <w:b/>
                <w:sz w:val="20"/>
              </w:rPr>
            </w:pPr>
            <w:r>
              <w:rPr>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sz w:val="20"/>
              </w:rPr>
            </w:pPr>
            <w:r>
              <w:rPr>
                <w:sz w:val="20"/>
              </w:rPr>
              <w:t>Share-based compensation recharge</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w:t>
            </w:r>
          </w:p>
        </w:tc>
        <w:tc>
          <w:tcPr>
            <w:tcW w:w="90"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280" w:type="dxa"/>
            <w:tcBorders/>
            <w:shd w:fill="FFFFFF" w:val="clear"/>
            <w:vAlign w:val="center"/>
          </w:tcPr>
          <w:p>
            <w:pPr>
              <w:pStyle w:val="TableContents"/>
              <w:bidi w:val="0"/>
              <w:spacing w:before="0" w:after="283"/>
              <w:jc w:val="left"/>
              <w:rPr>
                <w:b/>
                <w:sz w:val="20"/>
              </w:rPr>
            </w:pPr>
            <w:r>
              <w:rPr>
                <w:b/>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(11</w:t>
            </w:r>
          </w:p>
        </w:tc>
        <w:tc>
          <w:tcPr>
            <w:tcW w:w="90" w:type="dxa"/>
            <w:tcBorders/>
            <w:shd w:fill="FFFFFF" w:val="clear"/>
            <w:vAlign w:val="center"/>
          </w:tcPr>
          <w:p>
            <w:pPr>
              <w:pStyle w:val="TableContents"/>
              <w:bidi w:val="0"/>
              <w:spacing w:before="0" w:after="283"/>
              <w:jc w:val="left"/>
              <w:rPr>
                <w:b/>
                <w:sz w:val="20"/>
              </w:rPr>
            </w:pPr>
            <w:r>
              <w:rPr>
                <w:b/>
                <w:sz w:val="20"/>
              </w:rPr>
              <w:t>)</w:t>
            </w:r>
          </w:p>
        </w:tc>
        <w:tc>
          <w:tcPr>
            <w:tcW w:w="67"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8"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(12</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7280" w:type="dxa"/>
            <w:tcBorders/>
            <w:shd w:fill="CCEEFF" w:val="clear"/>
            <w:vAlign w:val="center"/>
          </w:tcPr>
          <w:p>
            <w:pPr>
              <w:pStyle w:val="TableContents"/>
              <w:bidi w:val="0"/>
              <w:spacing w:before="0" w:after="283"/>
              <w:jc w:val="left"/>
              <w:rPr>
                <w:sz w:val="20"/>
              </w:rPr>
            </w:pPr>
            <w:r>
              <w:rPr>
                <w:sz w:val="20"/>
              </w:rPr>
              <w:t>Effect of foreign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sz w:val="20"/>
              </w:rPr>
            </w:pPr>
            <w:r>
              <w:rPr>
                <w:sz w:val="20"/>
              </w:rPr>
              <w:t>(5</w:t>
            </w:r>
          </w:p>
        </w:tc>
        <w:tc>
          <w:tcPr>
            <w:tcW w:w="90"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sz w:val="20"/>
              </w:rPr>
            </w:pPr>
            <w:r>
              <w:rPr>
                <w:sz w:val="20"/>
              </w:rPr>
              <w:t>(5</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280" w:type="dxa"/>
            <w:tcBorders/>
            <w:shd w:fill="FFFFFF" w:val="clear"/>
            <w:vAlign w:val="center"/>
          </w:tcPr>
          <w:p>
            <w:pPr>
              <w:pStyle w:val="TableContents"/>
              <w:bidi w:val="0"/>
              <w:spacing w:before="0" w:after="283"/>
              <w:jc w:val="left"/>
              <w:rPr>
                <w:sz w:val="20"/>
              </w:rPr>
            </w:pPr>
            <w:r>
              <w:rPr>
                <w:sz w:val="20"/>
              </w:rPr>
              <w:t>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sz w:val="20"/>
              </w:rPr>
            </w:pPr>
            <w:r>
              <w:rPr>
                <w:sz w:val="20"/>
              </w:rPr>
              <w:t>(10</w:t>
            </w:r>
          </w:p>
        </w:tc>
        <w:tc>
          <w:tcPr>
            <w:tcW w:w="90"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sz w:val="20"/>
              </w:rPr>
            </w:pPr>
            <w:r>
              <w:rPr>
                <w:sz w:val="20"/>
              </w:rPr>
              <w:t>122</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sz w:val="20"/>
              </w:rPr>
            </w:pPr>
            <w:r>
              <w:rPr>
                <w:sz w:val="20"/>
              </w:rPr>
              <w:t>Balance of cash, cash equivalents and restricted cash, at beginning of year</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1,226</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1,035</w:t>
            </w:r>
          </w:p>
        </w:tc>
        <w:tc>
          <w:tcPr>
            <w:tcW w:w="9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b/>
                <w:sz w:val="20"/>
              </w:rPr>
            </w:pPr>
            <w:r>
              <w:rPr>
                <w:b/>
                <w:sz w:val="20"/>
              </w:rPr>
              <w:t>Balance of cash, cash equivalents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9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1,216</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838"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1,157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Reconciliation of GAAP Gross Profit and Margin to Non-GAAP Adjusted Gross Profit and Margin</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8"/>
        <w:gridCol w:w="60"/>
        <w:gridCol w:w="184"/>
        <w:gridCol w:w="496"/>
        <w:gridCol w:w="71"/>
        <w:gridCol w:w="71"/>
        <w:gridCol w:w="138"/>
        <w:gridCol w:w="602"/>
        <w:gridCol w:w="215"/>
        <w:gridCol w:w="60"/>
        <w:gridCol w:w="184"/>
        <w:gridCol w:w="496"/>
        <w:gridCol w:w="66"/>
        <w:gridCol w:w="66"/>
        <w:gridCol w:w="138"/>
        <w:gridCol w:w="602"/>
        <w:gridCol w:w="215"/>
        <w:gridCol w:w="60"/>
        <w:gridCol w:w="184"/>
        <w:gridCol w:w="496"/>
        <w:gridCol w:w="71"/>
        <w:gridCol w:w="71"/>
        <w:gridCol w:w="138"/>
        <w:gridCol w:w="602"/>
        <w:gridCol w:w="215"/>
        <w:gridCol w:w="60"/>
        <w:gridCol w:w="184"/>
        <w:gridCol w:w="496"/>
        <w:gridCol w:w="66"/>
        <w:gridCol w:w="66"/>
        <w:gridCol w:w="138"/>
        <w:gridCol w:w="602"/>
        <w:gridCol w:w="234"/>
      </w:tblGrid>
      <w:tr>
        <w:trPr/>
        <w:tc>
          <w:tcPr>
            <w:tcW w:w="28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9"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9"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234" w:type="dxa"/>
            <w:tcBorders/>
            <w:vAlign w:val="center"/>
          </w:tcPr>
          <w:p>
            <w:pPr>
              <w:pStyle w:val="TableContents"/>
              <w:bidi w:val="0"/>
              <w:spacing w:before="0" w:after="283"/>
              <w:jc w:val="left"/>
              <w:rPr/>
            </w:pPr>
            <w:r>
              <w:rPr/>
              <w:t> </w:t>
            </w:r>
          </w:p>
        </w:tc>
      </w:tr>
      <w:tr>
        <w:trPr/>
        <w:tc>
          <w:tcPr>
            <w:tcW w:w="2858"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U.S. dollars in millions</w:t>
            </w:r>
          </w:p>
        </w:tc>
        <w:tc>
          <w:tcPr>
            <w:tcW w:w="60" w:type="dxa"/>
            <w:tcBorders/>
            <w:vAlign w:val="center"/>
          </w:tcPr>
          <w:p>
            <w:pPr>
              <w:pStyle w:val="TableContents"/>
              <w:bidi w:val="0"/>
              <w:spacing w:before="0" w:after="283"/>
              <w:jc w:val="left"/>
              <w:rPr/>
            </w:pPr>
            <w:r>
              <w:rPr/>
              <w:t> </w:t>
            </w:r>
          </w:p>
        </w:tc>
        <w:tc>
          <w:tcPr>
            <w:tcW w:w="156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29,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1, 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29,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1, 2023</w:t>
            </w:r>
          </w:p>
        </w:tc>
        <w:tc>
          <w:tcPr>
            <w:tcW w:w="234" w:type="dxa"/>
            <w:tcBorders/>
            <w:vAlign w:val="center"/>
          </w:tcPr>
          <w:p>
            <w:pPr>
              <w:pStyle w:val="TableContents"/>
              <w:bidi w:val="0"/>
              <w:spacing w:before="0" w:after="283"/>
              <w:jc w:val="left"/>
              <w:rPr/>
            </w:pPr>
            <w:r>
              <w:rPr/>
              <w:t> </w:t>
            </w:r>
          </w:p>
        </w:tc>
      </w:tr>
      <w:tr>
        <w:trPr/>
        <w:tc>
          <w:tcPr>
            <w:tcW w:w="28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Amount</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of</w:t>
              <w:br/>
              <w:t>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Amount</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of</w:t>
              <w:br/>
              <w:t>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Amount</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of</w:t>
              <w:br/>
              <w:t>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Amount</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of</w:t>
              <w:br/>
              <w:t>Revenue</w:t>
            </w:r>
          </w:p>
        </w:tc>
        <w:tc>
          <w:tcPr>
            <w:tcW w:w="234" w:type="dxa"/>
            <w:tcBorders/>
            <w:vAlign w:val="center"/>
          </w:tcPr>
          <w:p>
            <w:pPr>
              <w:pStyle w:val="TableContents"/>
              <w:bidi w:val="0"/>
              <w:spacing w:before="0" w:after="283"/>
              <w:jc w:val="left"/>
              <w:rPr/>
            </w:pPr>
            <w:r>
              <w:rPr/>
              <w:t> </w:t>
            </w:r>
          </w:p>
        </w:tc>
      </w:tr>
      <w:tr>
        <w:trPr/>
        <w:tc>
          <w:tcPr>
            <w:tcW w:w="2858" w:type="dxa"/>
            <w:tcBorders/>
            <w:shd w:fill="CCEEFF" w:val="clear"/>
            <w:vAlign w:val="center"/>
          </w:tcPr>
          <w:p>
            <w:pPr>
              <w:pStyle w:val="TableContents"/>
              <w:bidi w:val="0"/>
              <w:spacing w:before="0" w:after="283"/>
              <w:jc w:val="left"/>
              <w:rPr>
                <w:sz w:val="20"/>
              </w:rPr>
            </w:pPr>
            <w:r>
              <w:rPr>
                <w:sz w:val="20"/>
              </w:rPr>
              <w:t>Gross Profit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20"/>
              </w:rPr>
            </w:pPr>
            <w:r>
              <w:rPr>
                <w:sz w:val="20"/>
              </w:rPr>
              <w:t>$</w:t>
            </w:r>
          </w:p>
        </w:tc>
        <w:tc>
          <w:tcPr>
            <w:tcW w:w="496" w:type="dxa"/>
            <w:tcBorders/>
            <w:shd w:fill="CCEEFF" w:val="clear"/>
            <w:vAlign w:val="center"/>
          </w:tcPr>
          <w:p>
            <w:pPr>
              <w:pStyle w:val="TableContents"/>
              <w:bidi w:val="0"/>
              <w:spacing w:before="0" w:after="283"/>
              <w:jc w:val="right"/>
              <w:rPr>
                <w:sz w:val="20"/>
              </w:rPr>
            </w:pPr>
            <w:r>
              <w:rPr>
                <w:sz w:val="20"/>
              </w:rPr>
              <w:t>209</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sz w:val="20"/>
              </w:rPr>
            </w:pPr>
            <w:r>
              <w:rPr>
                <w:sz w:val="20"/>
              </w:rPr>
              <w:t>48</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20"/>
              </w:rPr>
            </w:pPr>
            <w:r>
              <w:rPr>
                <w:sz w:val="20"/>
              </w:rPr>
              <w:t>$</w:t>
            </w:r>
          </w:p>
        </w:tc>
        <w:tc>
          <w:tcPr>
            <w:tcW w:w="496" w:type="dxa"/>
            <w:tcBorders/>
            <w:shd w:fill="CCEEFF" w:val="clear"/>
            <w:vAlign w:val="center"/>
          </w:tcPr>
          <w:p>
            <w:pPr>
              <w:pStyle w:val="TableContents"/>
              <w:bidi w:val="0"/>
              <w:spacing w:before="0" w:after="283"/>
              <w:jc w:val="right"/>
              <w:rPr>
                <w:sz w:val="20"/>
              </w:rPr>
            </w:pPr>
            <w:r>
              <w:rPr>
                <w:sz w:val="20"/>
              </w:rPr>
              <w:t>224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sz w:val="20"/>
              </w:rPr>
            </w:pPr>
            <w:r>
              <w:rPr>
                <w:sz w:val="20"/>
              </w:rPr>
              <w:t>49</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20"/>
              </w:rPr>
            </w:pPr>
            <w:r>
              <w:rPr>
                <w:sz w:val="20"/>
              </w:rPr>
              <w:t>$</w:t>
            </w:r>
          </w:p>
        </w:tc>
        <w:tc>
          <w:tcPr>
            <w:tcW w:w="496" w:type="dxa"/>
            <w:tcBorders/>
            <w:shd w:fill="CCEEFF" w:val="clear"/>
            <w:vAlign w:val="center"/>
          </w:tcPr>
          <w:p>
            <w:pPr>
              <w:pStyle w:val="TableContents"/>
              <w:bidi w:val="0"/>
              <w:spacing w:before="0" w:after="283"/>
              <w:jc w:val="right"/>
              <w:rPr>
                <w:sz w:val="20"/>
              </w:rPr>
            </w:pPr>
            <w:r>
              <w:rPr>
                <w:sz w:val="20"/>
              </w:rPr>
              <w:t>263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sz w:val="20"/>
              </w:rPr>
            </w:pPr>
            <w:r>
              <w:rPr>
                <w:sz w:val="20"/>
              </w:rPr>
              <w:t>39</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20"/>
              </w:rPr>
            </w:pPr>
            <w:r>
              <w:rPr>
                <w:sz w:val="20"/>
              </w:rPr>
              <w:t>$</w:t>
            </w:r>
          </w:p>
        </w:tc>
        <w:tc>
          <w:tcPr>
            <w:tcW w:w="496" w:type="dxa"/>
            <w:tcBorders/>
            <w:shd w:fill="CCEEFF" w:val="clear"/>
            <w:vAlign w:val="center"/>
          </w:tcPr>
          <w:p>
            <w:pPr>
              <w:pStyle w:val="TableContents"/>
              <w:bidi w:val="0"/>
              <w:spacing w:before="0" w:after="283"/>
              <w:jc w:val="right"/>
              <w:rPr>
                <w:sz w:val="20"/>
              </w:rPr>
            </w:pPr>
            <w:r>
              <w:rPr>
                <w:sz w:val="20"/>
              </w:rPr>
              <w:t>431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sz w:val="20"/>
              </w:rPr>
            </w:pPr>
            <w:r>
              <w:rPr>
                <w:sz w:val="20"/>
              </w:rPr>
              <w:t>47</w:t>
            </w:r>
          </w:p>
        </w:tc>
        <w:tc>
          <w:tcPr>
            <w:tcW w:w="234" w:type="dxa"/>
            <w:tcBorders/>
            <w:shd w:fill="CCEEFF" w:val="clear"/>
            <w:vAlign w:val="center"/>
          </w:tcPr>
          <w:p>
            <w:pPr>
              <w:pStyle w:val="TableContents"/>
              <w:bidi w:val="0"/>
              <w:spacing w:before="0" w:after="283"/>
              <w:jc w:val="left"/>
              <w:rPr>
                <w:sz w:val="20"/>
              </w:rPr>
            </w:pPr>
            <w:r>
              <w:rPr>
                <w:sz w:val="20"/>
              </w:rPr>
              <w:t>%</w:t>
            </w:r>
          </w:p>
        </w:tc>
      </w:tr>
      <w:tr>
        <w:trPr/>
        <w:tc>
          <w:tcPr>
            <w:tcW w:w="2858" w:type="dxa"/>
            <w:tcBorders/>
            <w:shd w:fill="FFFFFF" w:val="clear"/>
            <w:vAlign w:val="center"/>
          </w:tcPr>
          <w:p>
            <w:pPr>
              <w:pStyle w:val="TableContents"/>
              <w:bidi w:val="0"/>
              <w:spacing w:before="0" w:after="283"/>
              <w:jc w:val="left"/>
              <w:rPr>
                <w:sz w:val="20"/>
              </w:rPr>
            </w:pPr>
            <w:r>
              <w:rPr>
                <w:sz w:val="20"/>
              </w:rPr>
              <w:t>Add: 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sz w:val="20"/>
              </w:rPr>
            </w:pPr>
            <w:r>
              <w:rPr>
                <w:sz w:val="20"/>
              </w:rPr>
              <w:t>94</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sz w:val="20"/>
              </w:rPr>
            </w:pPr>
            <w:r>
              <w:rPr>
                <w:sz w:val="20"/>
              </w:rPr>
              <w:t>21</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sz w:val="20"/>
              </w:rPr>
            </w:pPr>
            <w:r>
              <w:rPr>
                <w:sz w:val="20"/>
              </w:rPr>
              <w:t>101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sz w:val="20"/>
              </w:rPr>
            </w:pPr>
            <w:r>
              <w:rPr>
                <w:sz w:val="20"/>
              </w:rPr>
              <w:t>22</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sz w:val="20"/>
              </w:rPr>
            </w:pPr>
            <w:r>
              <w:rPr>
                <w:sz w:val="20"/>
              </w:rPr>
              <w:t>188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sz w:val="20"/>
              </w:rPr>
            </w:pPr>
            <w:r>
              <w:rPr>
                <w:sz w:val="20"/>
              </w:rPr>
              <w:t>28</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sz w:val="20"/>
              </w:rPr>
            </w:pPr>
            <w:r>
              <w:rPr>
                <w:sz w:val="20"/>
              </w:rPr>
              <w:t>217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sz w:val="20"/>
              </w:rPr>
            </w:pPr>
            <w:r>
              <w:rPr>
                <w:sz w:val="20"/>
              </w:rPr>
              <w:t>24</w:t>
            </w:r>
          </w:p>
        </w:tc>
        <w:tc>
          <w:tcPr>
            <w:tcW w:w="234" w:type="dxa"/>
            <w:tcBorders/>
            <w:shd w:fill="FFFFFF" w:val="clear"/>
            <w:vAlign w:val="center"/>
          </w:tcPr>
          <w:p>
            <w:pPr>
              <w:pStyle w:val="TableContents"/>
              <w:bidi w:val="0"/>
              <w:spacing w:before="0" w:after="283"/>
              <w:jc w:val="left"/>
              <w:rPr>
                <w:sz w:val="20"/>
              </w:rPr>
            </w:pPr>
            <w:r>
              <w:rPr>
                <w:sz w:val="20"/>
              </w:rPr>
              <w:t>%</w:t>
            </w:r>
          </w:p>
        </w:tc>
      </w:tr>
      <w:tr>
        <w:trPr/>
        <w:tc>
          <w:tcPr>
            <w:tcW w:w="2858" w:type="dxa"/>
            <w:tcBorders/>
            <w:shd w:fill="CCEEFF" w:val="clear"/>
            <w:vAlign w:val="center"/>
          </w:tcPr>
          <w:p>
            <w:pPr>
              <w:pStyle w:val="TableContents"/>
              <w:bidi w:val="0"/>
              <w:spacing w:before="0" w:after="283"/>
              <w:jc w:val="left"/>
              <w:rPr>
                <w:sz w:val="20"/>
              </w:rPr>
            </w:pPr>
            <w:r>
              <w:rPr>
                <w:sz w:val="20"/>
              </w:rPr>
              <w:t>Add: Share-based compensation expense</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34" w:type="dxa"/>
            <w:tcBorders/>
            <w:shd w:fill="CCEEFF" w:val="clear"/>
            <w:vAlign w:val="center"/>
          </w:tcPr>
          <w:p>
            <w:pPr>
              <w:pStyle w:val="TableContents"/>
              <w:bidi w:val="0"/>
              <w:spacing w:before="0" w:after="283"/>
              <w:jc w:val="left"/>
              <w:rPr>
                <w:sz w:val="20"/>
              </w:rPr>
            </w:pPr>
            <w:r>
              <w:rPr>
                <w:sz w:val="20"/>
              </w:rPr>
              <w:t>%</w:t>
            </w:r>
          </w:p>
        </w:tc>
      </w:tr>
      <w:tr>
        <w:trPr/>
        <w:tc>
          <w:tcPr>
            <w:tcW w:w="2858" w:type="dxa"/>
            <w:tcBorders/>
            <w:shd w:fill="FFFFFF" w:val="clear"/>
            <w:vAlign w:val="center"/>
          </w:tcPr>
          <w:p>
            <w:pPr>
              <w:pStyle w:val="TableContents"/>
              <w:bidi w:val="0"/>
              <w:spacing w:before="0" w:after="283"/>
              <w:jc w:val="left"/>
              <w:rPr>
                <w:b/>
                <w:sz w:val="20"/>
              </w:rPr>
            </w:pPr>
            <w:r>
              <w:rPr>
                <w:b/>
                <w:sz w:val="20"/>
              </w:rPr>
              <w:t>Adjusted Gross Profit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304</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69</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326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72</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452</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67</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650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71</w:t>
            </w:r>
          </w:p>
        </w:tc>
        <w:tc>
          <w:tcPr>
            <w:tcW w:w="234"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Adjusted gross margin is calculated as adjusted gross profit as a percentage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Reconciliation of GAAP Operating Income (loss) and Margin to Non-GAAP Adjusted Operating Income and Margin</w:t>
      </w:r>
      <w:r>
        <w:rPr>
          <w:rFonts w:ascii="Times New Roman;Times;Serif" w:hAnsi="Times New Roman;Times;Serif"/>
          <w:b w:val="false"/>
          <w:i w:val="false"/>
          <w:caps w:val="false"/>
          <w:smallCaps w:val="false"/>
          <w:color w:val="101820"/>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1"/>
        <w:gridCol w:w="60"/>
        <w:gridCol w:w="184"/>
        <w:gridCol w:w="496"/>
        <w:gridCol w:w="91"/>
        <w:gridCol w:w="68"/>
        <w:gridCol w:w="126"/>
        <w:gridCol w:w="614"/>
        <w:gridCol w:w="232"/>
        <w:gridCol w:w="60"/>
        <w:gridCol w:w="184"/>
        <w:gridCol w:w="496"/>
        <w:gridCol w:w="87"/>
        <w:gridCol w:w="66"/>
        <w:gridCol w:w="153"/>
        <w:gridCol w:w="587"/>
        <w:gridCol w:w="232"/>
        <w:gridCol w:w="60"/>
        <w:gridCol w:w="163"/>
        <w:gridCol w:w="517"/>
        <w:gridCol w:w="87"/>
        <w:gridCol w:w="65"/>
        <w:gridCol w:w="126"/>
        <w:gridCol w:w="614"/>
        <w:gridCol w:w="232"/>
        <w:gridCol w:w="60"/>
        <w:gridCol w:w="163"/>
        <w:gridCol w:w="517"/>
        <w:gridCol w:w="81"/>
        <w:gridCol w:w="61"/>
        <w:gridCol w:w="126"/>
        <w:gridCol w:w="614"/>
        <w:gridCol w:w="252"/>
      </w:tblGrid>
      <w:tr>
        <w:trPr/>
        <w:tc>
          <w:tcPr>
            <w:tcW w:w="2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4"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6"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252" w:type="dxa"/>
            <w:tcBorders/>
            <w:vAlign w:val="center"/>
          </w:tcPr>
          <w:p>
            <w:pPr>
              <w:pStyle w:val="TableContents"/>
              <w:bidi w:val="0"/>
              <w:spacing w:before="0" w:after="283"/>
              <w:jc w:val="left"/>
              <w:rPr/>
            </w:pPr>
            <w:r>
              <w:rPr/>
              <w:t> </w:t>
            </w:r>
          </w:p>
        </w:tc>
      </w:tr>
      <w:tr>
        <w:trPr/>
        <w:tc>
          <w:tcPr>
            <w:tcW w:w="2731"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U.S. dollars in millions</w:t>
            </w:r>
          </w:p>
        </w:tc>
        <w:tc>
          <w:tcPr>
            <w:tcW w:w="60" w:type="dxa"/>
            <w:tcBorders/>
            <w:vAlign w:val="center"/>
          </w:tcPr>
          <w:p>
            <w:pPr>
              <w:pStyle w:val="TableContents"/>
              <w:bidi w:val="0"/>
              <w:spacing w:before="0" w:after="283"/>
              <w:jc w:val="left"/>
              <w:rPr/>
            </w:pPr>
            <w:r>
              <w:rPr/>
              <w:t> </w:t>
            </w:r>
          </w:p>
        </w:tc>
        <w:tc>
          <w:tcPr>
            <w:tcW w:w="157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29, 2024</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1, 2023</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29, 2024</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1, 2023</w:t>
            </w:r>
          </w:p>
        </w:tc>
        <w:tc>
          <w:tcPr>
            <w:tcW w:w="252" w:type="dxa"/>
            <w:tcBorders/>
            <w:vAlign w:val="center"/>
          </w:tcPr>
          <w:p>
            <w:pPr>
              <w:pStyle w:val="TableContents"/>
              <w:bidi w:val="0"/>
              <w:spacing w:before="0" w:after="283"/>
              <w:jc w:val="left"/>
              <w:rPr/>
            </w:pPr>
            <w:r>
              <w:rPr/>
              <w:t> </w:t>
            </w:r>
          </w:p>
        </w:tc>
      </w:tr>
      <w:tr>
        <w:trPr/>
        <w:tc>
          <w:tcPr>
            <w:tcW w:w="2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Amount</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of</w:t>
              <w:br/>
              <w:t>Revenue</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Amount</w:t>
            </w:r>
          </w:p>
        </w:tc>
        <w:tc>
          <w:tcPr>
            <w:tcW w:w="87"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of</w:t>
              <w:br/>
              <w:t>Revenue</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Amount</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of</w:t>
              <w:br/>
              <w:t>Revenue</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Amount</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of</w:t>
              <w:br/>
              <w:t>Revenue</w:t>
            </w:r>
          </w:p>
        </w:tc>
        <w:tc>
          <w:tcPr>
            <w:tcW w:w="252" w:type="dxa"/>
            <w:tcBorders/>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283"/>
              <w:jc w:val="left"/>
              <w:rPr>
                <w:sz w:val="20"/>
              </w:rPr>
            </w:pPr>
            <w:r>
              <w:rPr>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20"/>
              </w:rPr>
            </w:pPr>
            <w:r>
              <w:rPr>
                <w:sz w:val="20"/>
              </w:rPr>
              <w:t>$</w:t>
            </w:r>
          </w:p>
        </w:tc>
        <w:tc>
          <w:tcPr>
            <w:tcW w:w="496" w:type="dxa"/>
            <w:tcBorders/>
            <w:shd w:fill="CCEEFF" w:val="clear"/>
            <w:vAlign w:val="center"/>
          </w:tcPr>
          <w:p>
            <w:pPr>
              <w:pStyle w:val="TableContents"/>
              <w:bidi w:val="0"/>
              <w:spacing w:before="0" w:after="283"/>
              <w:jc w:val="right"/>
              <w:rPr>
                <w:sz w:val="20"/>
              </w:rPr>
            </w:pPr>
            <w:r>
              <w:rPr>
                <w:sz w:val="20"/>
              </w:rPr>
              <w:t>(94</w:t>
            </w:r>
          </w:p>
        </w:tc>
        <w:tc>
          <w:tcPr>
            <w:tcW w:w="91" w:type="dxa"/>
            <w:tcBorders/>
            <w:shd w:fill="CCEEFF" w:val="clear"/>
            <w:vAlign w:val="center"/>
          </w:tcPr>
          <w:p>
            <w:pPr>
              <w:pStyle w:val="TableContents"/>
              <w:bidi w:val="0"/>
              <w:spacing w:before="0" w:after="283"/>
              <w:jc w:val="left"/>
              <w:rPr>
                <w:sz w:val="20"/>
              </w:rPr>
            </w:pPr>
            <w:r>
              <w:rPr>
                <w:sz w:val="20"/>
              </w:rPr>
              <w:t>)</w:t>
            </w:r>
          </w:p>
        </w:tc>
        <w:tc>
          <w:tcPr>
            <w:tcW w:w="68"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sz w:val="20"/>
              </w:rPr>
            </w:pPr>
            <w:r>
              <w:rPr>
                <w:sz w:val="20"/>
              </w:rPr>
              <w:t>(21</w:t>
            </w:r>
          </w:p>
        </w:tc>
        <w:tc>
          <w:tcPr>
            <w:tcW w:w="232"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20"/>
              </w:rPr>
            </w:pPr>
            <w:r>
              <w:rPr>
                <w:sz w:val="20"/>
              </w:rPr>
              <w:t>$</w:t>
            </w:r>
          </w:p>
        </w:tc>
        <w:tc>
          <w:tcPr>
            <w:tcW w:w="496" w:type="dxa"/>
            <w:tcBorders/>
            <w:shd w:fill="CCEEFF" w:val="clear"/>
            <w:vAlign w:val="center"/>
          </w:tcPr>
          <w:p>
            <w:pPr>
              <w:pStyle w:val="TableContents"/>
              <w:bidi w:val="0"/>
              <w:spacing w:before="0" w:after="283"/>
              <w:jc w:val="right"/>
              <w:rPr>
                <w:sz w:val="20"/>
              </w:rPr>
            </w:pPr>
            <w:r>
              <w:rPr>
                <w:sz w:val="20"/>
              </w:rPr>
              <w:t>(33</w:t>
            </w:r>
          </w:p>
        </w:tc>
        <w:tc>
          <w:tcPr>
            <w:tcW w:w="87"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sz w:val="20"/>
              </w:rPr>
            </w:pPr>
            <w:r>
              <w:rPr>
                <w:sz w:val="20"/>
              </w:rPr>
              <w:t>(7</w:t>
            </w:r>
          </w:p>
        </w:tc>
        <w:tc>
          <w:tcPr>
            <w:tcW w:w="232"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517" w:type="dxa"/>
            <w:tcBorders/>
            <w:shd w:fill="CCEEFF" w:val="clear"/>
            <w:vAlign w:val="center"/>
          </w:tcPr>
          <w:p>
            <w:pPr>
              <w:pStyle w:val="TableContents"/>
              <w:bidi w:val="0"/>
              <w:spacing w:before="0" w:after="283"/>
              <w:jc w:val="right"/>
              <w:rPr>
                <w:sz w:val="20"/>
              </w:rPr>
            </w:pPr>
            <w:r>
              <w:rPr>
                <w:sz w:val="20"/>
              </w:rPr>
              <w:t>(332</w:t>
            </w:r>
          </w:p>
        </w:tc>
        <w:tc>
          <w:tcPr>
            <w:tcW w:w="87" w:type="dxa"/>
            <w:tcBorders/>
            <w:shd w:fill="CCEEFF" w:val="clear"/>
            <w:vAlign w:val="center"/>
          </w:tcPr>
          <w:p>
            <w:pPr>
              <w:pStyle w:val="TableContents"/>
              <w:bidi w:val="0"/>
              <w:spacing w:before="0" w:after="283"/>
              <w:jc w:val="left"/>
              <w:rPr>
                <w:sz w:val="20"/>
              </w:rPr>
            </w:pPr>
            <w:r>
              <w:rPr>
                <w:sz w:val="20"/>
              </w:rPr>
              <w:t>)</w:t>
            </w:r>
          </w:p>
        </w:tc>
        <w:tc>
          <w:tcPr>
            <w:tcW w:w="6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sz w:val="20"/>
              </w:rPr>
            </w:pPr>
            <w:r>
              <w:rPr>
                <w:sz w:val="20"/>
              </w:rPr>
              <w:t>(49</w:t>
            </w:r>
          </w:p>
        </w:tc>
        <w:tc>
          <w:tcPr>
            <w:tcW w:w="232"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517" w:type="dxa"/>
            <w:tcBorders/>
            <w:shd w:fill="CCEEFF" w:val="clear"/>
            <w:vAlign w:val="center"/>
          </w:tcPr>
          <w:p>
            <w:pPr>
              <w:pStyle w:val="TableContents"/>
              <w:bidi w:val="0"/>
              <w:spacing w:before="0" w:after="283"/>
              <w:jc w:val="right"/>
              <w:rPr>
                <w:sz w:val="20"/>
              </w:rPr>
            </w:pPr>
            <w:r>
              <w:rPr>
                <w:sz w:val="20"/>
              </w:rPr>
              <w:t>(114</w:t>
            </w:r>
          </w:p>
        </w:tc>
        <w:tc>
          <w:tcPr>
            <w:tcW w:w="81" w:type="dxa"/>
            <w:tcBorders/>
            <w:shd w:fill="CCEEFF" w:val="cle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sz w:val="20"/>
              </w:rPr>
            </w:pPr>
            <w:r>
              <w:rPr>
                <w:sz w:val="20"/>
              </w:rPr>
              <w:t>(13</w:t>
            </w:r>
          </w:p>
        </w:tc>
        <w:tc>
          <w:tcPr>
            <w:tcW w:w="252" w:type="dxa"/>
            <w:tcBorders/>
            <w:shd w:fill="CCEEFF" w:val="clear"/>
            <w:vAlign w:val="center"/>
          </w:tcPr>
          <w:p>
            <w:pPr>
              <w:pStyle w:val="TableContents"/>
              <w:bidi w:val="0"/>
              <w:spacing w:before="0" w:after="283"/>
              <w:jc w:val="left"/>
              <w:rPr>
                <w:sz w:val="20"/>
              </w:rPr>
            </w:pPr>
            <w:r>
              <w:rPr>
                <w:sz w:val="20"/>
              </w:rPr>
              <w:t>)%</w:t>
            </w:r>
          </w:p>
        </w:tc>
      </w:tr>
      <w:tr>
        <w:trPr/>
        <w:tc>
          <w:tcPr>
            <w:tcW w:w="2731" w:type="dxa"/>
            <w:tcBorders/>
            <w:shd w:fill="FFFFFF" w:val="clear"/>
            <w:vAlign w:val="center"/>
          </w:tcPr>
          <w:p>
            <w:pPr>
              <w:pStyle w:val="TableContents"/>
              <w:bidi w:val="0"/>
              <w:spacing w:before="0" w:after="283"/>
              <w:jc w:val="left"/>
              <w:rPr>
                <w:sz w:val="20"/>
              </w:rPr>
            </w:pPr>
            <w:r>
              <w:rPr>
                <w:sz w:val="20"/>
              </w:rPr>
              <w:t>Add: 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sz w:val="20"/>
              </w:rPr>
            </w:pPr>
            <w:r>
              <w:rPr>
                <w:sz w:val="20"/>
              </w:rPr>
              <w:t>111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sz w:val="20"/>
              </w:rPr>
            </w:pPr>
            <w:r>
              <w:rPr>
                <w:sz w:val="20"/>
              </w:rPr>
              <w:t>25</w:t>
            </w:r>
          </w:p>
        </w:tc>
        <w:tc>
          <w:tcPr>
            <w:tcW w:w="232"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sz w:val="20"/>
              </w:rPr>
            </w:pPr>
            <w:r>
              <w:rPr>
                <w:sz w:val="20"/>
              </w:rPr>
              <w:t>118</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sz w:val="20"/>
              </w:rPr>
            </w:pPr>
            <w:r>
              <w:rPr>
                <w:sz w:val="20"/>
              </w:rPr>
              <w:t>26</w:t>
            </w:r>
          </w:p>
        </w:tc>
        <w:tc>
          <w:tcPr>
            <w:tcW w:w="232"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sz w:val="20"/>
              </w:rPr>
            </w:pPr>
            <w:r>
              <w:rPr>
                <w:sz w:val="20"/>
              </w:rPr>
              <w:t>222</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sz w:val="20"/>
              </w:rPr>
            </w:pPr>
            <w:r>
              <w:rPr>
                <w:sz w:val="20"/>
              </w:rPr>
              <w:t>33</w:t>
            </w:r>
          </w:p>
        </w:tc>
        <w:tc>
          <w:tcPr>
            <w:tcW w:w="232"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sz w:val="20"/>
              </w:rPr>
            </w:pPr>
            <w:r>
              <w:rPr>
                <w:sz w:val="20"/>
              </w:rPr>
              <w:t>251</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sz w:val="20"/>
              </w:rPr>
            </w:pPr>
            <w:r>
              <w:rPr>
                <w:sz w:val="20"/>
              </w:rPr>
              <w:t>28</w:t>
            </w:r>
          </w:p>
        </w:tc>
        <w:tc>
          <w:tcPr>
            <w:tcW w:w="252" w:type="dxa"/>
            <w:tcBorders/>
            <w:shd w:fill="FFFFFF" w:val="clear"/>
            <w:vAlign w:val="center"/>
          </w:tcPr>
          <w:p>
            <w:pPr>
              <w:pStyle w:val="TableContents"/>
              <w:bidi w:val="0"/>
              <w:spacing w:before="0" w:after="283"/>
              <w:jc w:val="left"/>
              <w:rPr>
                <w:sz w:val="20"/>
              </w:rPr>
            </w:pPr>
            <w:r>
              <w:rPr>
                <w:sz w:val="20"/>
              </w:rPr>
              <w:t>%</w:t>
            </w:r>
          </w:p>
        </w:tc>
      </w:tr>
      <w:tr>
        <w:trPr/>
        <w:tc>
          <w:tcPr>
            <w:tcW w:w="2731" w:type="dxa"/>
            <w:tcBorders/>
            <w:shd w:fill="CCEEFF" w:val="clear"/>
            <w:vAlign w:val="center"/>
          </w:tcPr>
          <w:p>
            <w:pPr>
              <w:pStyle w:val="TableContents"/>
              <w:bidi w:val="0"/>
              <w:spacing w:before="0" w:after="283"/>
              <w:jc w:val="left"/>
              <w:rPr>
                <w:sz w:val="20"/>
              </w:rPr>
            </w:pPr>
            <w:r>
              <w:rPr>
                <w:sz w:val="20"/>
              </w:rPr>
              <w:t>Add: Share-based compensation expense</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62</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w:t>
            </w:r>
          </w:p>
        </w:tc>
        <w:tc>
          <w:tcPr>
            <w:tcW w:w="232"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55</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w:t>
            </w:r>
          </w:p>
        </w:tc>
        <w:tc>
          <w:tcPr>
            <w:tcW w:w="232"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124</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w:t>
            </w:r>
          </w:p>
        </w:tc>
        <w:tc>
          <w:tcPr>
            <w:tcW w:w="232"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127</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w:t>
            </w:r>
          </w:p>
        </w:tc>
        <w:tc>
          <w:tcPr>
            <w:tcW w:w="252" w:type="dxa"/>
            <w:tcBorders/>
            <w:shd w:fill="CCEEFF" w:val="clear"/>
            <w:vAlign w:val="center"/>
          </w:tcPr>
          <w:p>
            <w:pPr>
              <w:pStyle w:val="TableContents"/>
              <w:bidi w:val="0"/>
              <w:spacing w:before="0" w:after="283"/>
              <w:jc w:val="left"/>
              <w:rPr>
                <w:sz w:val="20"/>
              </w:rPr>
            </w:pPr>
            <w:r>
              <w:rPr>
                <w:sz w:val="20"/>
              </w:rPr>
              <w:t>%</w:t>
            </w:r>
          </w:p>
        </w:tc>
      </w:tr>
      <w:tr>
        <w:trPr/>
        <w:tc>
          <w:tcPr>
            <w:tcW w:w="2731" w:type="dxa"/>
            <w:tcBorders/>
            <w:shd w:fill="FFFFFF" w:val="clear"/>
            <w:vAlign w:val="center"/>
          </w:tcPr>
          <w:p>
            <w:pPr>
              <w:pStyle w:val="TableContents"/>
              <w:bidi w:val="0"/>
              <w:spacing w:before="0" w:after="283"/>
              <w:jc w:val="left"/>
              <w:rPr>
                <w:b/>
                <w:sz w:val="20"/>
              </w:rPr>
            </w:pPr>
            <w:r>
              <w:rPr>
                <w:b/>
                <w:sz w:val="20"/>
              </w:rPr>
              <w:t>Adjusted Operating Income</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79</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18</w:t>
            </w:r>
          </w:p>
        </w:tc>
        <w:tc>
          <w:tcPr>
            <w:tcW w:w="232"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140</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31</w:t>
            </w:r>
          </w:p>
        </w:tc>
        <w:tc>
          <w:tcPr>
            <w:tcW w:w="232"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w:t>
            </w:r>
          </w:p>
        </w:tc>
        <w:tc>
          <w:tcPr>
            <w:tcW w:w="232"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264</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29</w:t>
            </w:r>
          </w:p>
        </w:tc>
        <w:tc>
          <w:tcPr>
            <w:tcW w:w="252"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01820"/>
          <w:position w:val="7"/>
          <w:sz w:val="16"/>
          <w:sz w:val="20"/>
        </w:rPr>
        <w:t>4</w:t>
      </w:r>
      <w:r>
        <w:rPr>
          <w:rFonts w:ascii="Times New Roman;Times;Serif" w:hAnsi="Times New Roman;Times;Serif"/>
          <w:b w:val="false"/>
          <w:i w:val="false"/>
          <w:caps w:val="false"/>
          <w:smallCaps w:val="false"/>
          <w:sz w:val="20"/>
        </w:rPr>
        <w:t>Adjusted operating margin is calculated as adjusted operating income as a percentage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GAAP Net Income (loss) to Non-GAAP Adjusted Net Income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1"/>
        <w:gridCol w:w="60"/>
        <w:gridCol w:w="184"/>
        <w:gridCol w:w="496"/>
        <w:gridCol w:w="91"/>
        <w:gridCol w:w="68"/>
        <w:gridCol w:w="126"/>
        <w:gridCol w:w="614"/>
        <w:gridCol w:w="232"/>
        <w:gridCol w:w="60"/>
        <w:gridCol w:w="184"/>
        <w:gridCol w:w="496"/>
        <w:gridCol w:w="87"/>
        <w:gridCol w:w="66"/>
        <w:gridCol w:w="153"/>
        <w:gridCol w:w="587"/>
        <w:gridCol w:w="232"/>
        <w:gridCol w:w="60"/>
        <w:gridCol w:w="163"/>
        <w:gridCol w:w="517"/>
        <w:gridCol w:w="87"/>
        <w:gridCol w:w="65"/>
        <w:gridCol w:w="126"/>
        <w:gridCol w:w="614"/>
        <w:gridCol w:w="232"/>
        <w:gridCol w:w="60"/>
        <w:gridCol w:w="163"/>
        <w:gridCol w:w="517"/>
        <w:gridCol w:w="81"/>
        <w:gridCol w:w="61"/>
        <w:gridCol w:w="126"/>
        <w:gridCol w:w="614"/>
        <w:gridCol w:w="252"/>
      </w:tblGrid>
      <w:tr>
        <w:trPr/>
        <w:tc>
          <w:tcPr>
            <w:tcW w:w="2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4"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6"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252" w:type="dxa"/>
            <w:tcBorders/>
            <w:vAlign w:val="center"/>
          </w:tcPr>
          <w:p>
            <w:pPr>
              <w:pStyle w:val="TableContents"/>
              <w:bidi w:val="0"/>
              <w:spacing w:before="0" w:after="283"/>
              <w:jc w:val="left"/>
              <w:rPr/>
            </w:pPr>
            <w:r>
              <w:rPr/>
              <w:t> </w:t>
            </w:r>
          </w:p>
        </w:tc>
      </w:tr>
      <w:tr>
        <w:trPr/>
        <w:tc>
          <w:tcPr>
            <w:tcW w:w="2731"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U.S. dollars in millions</w:t>
            </w:r>
          </w:p>
        </w:tc>
        <w:tc>
          <w:tcPr>
            <w:tcW w:w="60" w:type="dxa"/>
            <w:tcBorders/>
            <w:vAlign w:val="center"/>
          </w:tcPr>
          <w:p>
            <w:pPr>
              <w:pStyle w:val="TableContents"/>
              <w:bidi w:val="0"/>
              <w:spacing w:before="0" w:after="283"/>
              <w:jc w:val="left"/>
              <w:rPr/>
            </w:pPr>
            <w:r>
              <w:rPr/>
              <w:t> </w:t>
            </w:r>
          </w:p>
        </w:tc>
        <w:tc>
          <w:tcPr>
            <w:tcW w:w="157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29, 2024</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1, 2023</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29, 2024</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1, 2023</w:t>
            </w:r>
          </w:p>
        </w:tc>
        <w:tc>
          <w:tcPr>
            <w:tcW w:w="252" w:type="dxa"/>
            <w:tcBorders/>
            <w:vAlign w:val="center"/>
          </w:tcPr>
          <w:p>
            <w:pPr>
              <w:pStyle w:val="TableContents"/>
              <w:bidi w:val="0"/>
              <w:spacing w:before="0" w:after="283"/>
              <w:jc w:val="left"/>
              <w:rPr/>
            </w:pPr>
            <w:r>
              <w:rPr/>
              <w:t> </w:t>
            </w:r>
          </w:p>
        </w:tc>
      </w:tr>
      <w:tr>
        <w:trPr/>
        <w:tc>
          <w:tcPr>
            <w:tcW w:w="2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Amount</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of</w:t>
              <w:br/>
              <w:t>Revenue</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Amount</w:t>
            </w:r>
          </w:p>
        </w:tc>
        <w:tc>
          <w:tcPr>
            <w:tcW w:w="87"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of</w:t>
              <w:br/>
              <w:t>Revenue</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Amount</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of</w:t>
              <w:br/>
              <w:t>Revenue</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Amount</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of</w:t>
              <w:br/>
              <w:t>Revenue</w:t>
            </w:r>
          </w:p>
        </w:tc>
        <w:tc>
          <w:tcPr>
            <w:tcW w:w="252" w:type="dxa"/>
            <w:tcBorders/>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283"/>
              <w:jc w:val="left"/>
              <w:rPr>
                <w:sz w:val="20"/>
              </w:rPr>
            </w:pPr>
            <w:r>
              <w:rPr>
                <w:sz w:val="20"/>
              </w:rPr>
              <w:t>Net Income (Loss)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20"/>
              </w:rPr>
            </w:pPr>
            <w:r>
              <w:rPr>
                <w:sz w:val="20"/>
              </w:rPr>
              <w:t>$</w:t>
            </w:r>
          </w:p>
        </w:tc>
        <w:tc>
          <w:tcPr>
            <w:tcW w:w="496" w:type="dxa"/>
            <w:tcBorders/>
            <w:shd w:fill="CCEEFF" w:val="clear"/>
            <w:vAlign w:val="center"/>
          </w:tcPr>
          <w:p>
            <w:pPr>
              <w:pStyle w:val="TableContents"/>
              <w:bidi w:val="0"/>
              <w:spacing w:before="0" w:after="283"/>
              <w:jc w:val="right"/>
              <w:rPr>
                <w:sz w:val="20"/>
              </w:rPr>
            </w:pPr>
            <w:r>
              <w:rPr>
                <w:sz w:val="20"/>
              </w:rPr>
              <w:t>(86</w:t>
            </w:r>
          </w:p>
        </w:tc>
        <w:tc>
          <w:tcPr>
            <w:tcW w:w="91" w:type="dxa"/>
            <w:tcBorders/>
            <w:shd w:fill="CCEEFF" w:val="clear"/>
            <w:vAlign w:val="center"/>
          </w:tcPr>
          <w:p>
            <w:pPr>
              <w:pStyle w:val="TableContents"/>
              <w:bidi w:val="0"/>
              <w:spacing w:before="0" w:after="283"/>
              <w:jc w:val="left"/>
              <w:rPr>
                <w:sz w:val="20"/>
              </w:rPr>
            </w:pPr>
            <w:r>
              <w:rPr>
                <w:sz w:val="20"/>
              </w:rPr>
              <w:t>)</w:t>
            </w:r>
          </w:p>
        </w:tc>
        <w:tc>
          <w:tcPr>
            <w:tcW w:w="68"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sz w:val="20"/>
              </w:rPr>
            </w:pPr>
            <w:r>
              <w:rPr>
                <w:sz w:val="20"/>
              </w:rPr>
              <w:t>(20</w:t>
            </w:r>
          </w:p>
        </w:tc>
        <w:tc>
          <w:tcPr>
            <w:tcW w:w="232"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20"/>
              </w:rPr>
            </w:pPr>
            <w:r>
              <w:rPr>
                <w:sz w:val="20"/>
              </w:rPr>
              <w:t>$</w:t>
            </w:r>
          </w:p>
        </w:tc>
        <w:tc>
          <w:tcPr>
            <w:tcW w:w="496" w:type="dxa"/>
            <w:tcBorders/>
            <w:shd w:fill="CCEEFF" w:val="clear"/>
            <w:vAlign w:val="center"/>
          </w:tcPr>
          <w:p>
            <w:pPr>
              <w:pStyle w:val="TableContents"/>
              <w:bidi w:val="0"/>
              <w:spacing w:before="0" w:after="283"/>
              <w:jc w:val="right"/>
              <w:rPr>
                <w:sz w:val="20"/>
              </w:rPr>
            </w:pPr>
            <w:r>
              <w:rPr>
                <w:sz w:val="20"/>
              </w:rPr>
              <w:t>(28</w:t>
            </w:r>
          </w:p>
        </w:tc>
        <w:tc>
          <w:tcPr>
            <w:tcW w:w="87"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sz w:val="20"/>
              </w:rPr>
            </w:pPr>
            <w:r>
              <w:rPr>
                <w:sz w:val="20"/>
              </w:rPr>
              <w:t>(6</w:t>
            </w:r>
          </w:p>
        </w:tc>
        <w:tc>
          <w:tcPr>
            <w:tcW w:w="232"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517" w:type="dxa"/>
            <w:tcBorders/>
            <w:shd w:fill="CCEEFF" w:val="clear"/>
            <w:vAlign w:val="center"/>
          </w:tcPr>
          <w:p>
            <w:pPr>
              <w:pStyle w:val="TableContents"/>
              <w:bidi w:val="0"/>
              <w:spacing w:before="0" w:after="283"/>
              <w:jc w:val="right"/>
              <w:rPr>
                <w:sz w:val="20"/>
              </w:rPr>
            </w:pPr>
            <w:r>
              <w:rPr>
                <w:sz w:val="20"/>
              </w:rPr>
              <w:t>(304</w:t>
            </w:r>
          </w:p>
        </w:tc>
        <w:tc>
          <w:tcPr>
            <w:tcW w:w="87" w:type="dxa"/>
            <w:tcBorders/>
            <w:shd w:fill="CCEEFF" w:val="clear"/>
            <w:vAlign w:val="center"/>
          </w:tcPr>
          <w:p>
            <w:pPr>
              <w:pStyle w:val="TableContents"/>
              <w:bidi w:val="0"/>
              <w:spacing w:before="0" w:after="283"/>
              <w:jc w:val="left"/>
              <w:rPr>
                <w:sz w:val="20"/>
              </w:rPr>
            </w:pPr>
            <w:r>
              <w:rPr>
                <w:sz w:val="20"/>
              </w:rPr>
              <w:t>)</w:t>
            </w:r>
          </w:p>
        </w:tc>
        <w:tc>
          <w:tcPr>
            <w:tcW w:w="6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sz w:val="20"/>
              </w:rPr>
            </w:pPr>
            <w:r>
              <w:rPr>
                <w:sz w:val="20"/>
              </w:rPr>
              <w:t>(45</w:t>
            </w:r>
          </w:p>
        </w:tc>
        <w:tc>
          <w:tcPr>
            <w:tcW w:w="232"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517" w:type="dxa"/>
            <w:tcBorders/>
            <w:shd w:fill="CCEEFF" w:val="clear"/>
            <w:vAlign w:val="center"/>
          </w:tcPr>
          <w:p>
            <w:pPr>
              <w:pStyle w:val="TableContents"/>
              <w:bidi w:val="0"/>
              <w:spacing w:before="0" w:after="283"/>
              <w:jc w:val="right"/>
              <w:rPr>
                <w:sz w:val="20"/>
              </w:rPr>
            </w:pPr>
            <w:r>
              <w:rPr>
                <w:sz w:val="20"/>
              </w:rPr>
              <w:t>(107</w:t>
            </w:r>
          </w:p>
        </w:tc>
        <w:tc>
          <w:tcPr>
            <w:tcW w:w="81" w:type="dxa"/>
            <w:tcBorders/>
            <w:shd w:fill="CCEEFF" w:val="cle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sz w:val="20"/>
              </w:rPr>
            </w:pPr>
            <w:r>
              <w:rPr>
                <w:sz w:val="20"/>
              </w:rPr>
              <w:t>(12</w:t>
            </w:r>
          </w:p>
        </w:tc>
        <w:tc>
          <w:tcPr>
            <w:tcW w:w="252" w:type="dxa"/>
            <w:tcBorders/>
            <w:shd w:fill="CCEEFF" w:val="clear"/>
            <w:vAlign w:val="center"/>
          </w:tcPr>
          <w:p>
            <w:pPr>
              <w:pStyle w:val="TableContents"/>
              <w:bidi w:val="0"/>
              <w:spacing w:before="0" w:after="283"/>
              <w:jc w:val="left"/>
              <w:rPr>
                <w:sz w:val="20"/>
              </w:rPr>
            </w:pPr>
            <w:r>
              <w:rPr>
                <w:sz w:val="20"/>
              </w:rPr>
              <w:t>)%</w:t>
            </w:r>
          </w:p>
        </w:tc>
      </w:tr>
      <w:tr>
        <w:trPr/>
        <w:tc>
          <w:tcPr>
            <w:tcW w:w="2731" w:type="dxa"/>
            <w:tcBorders/>
            <w:shd w:fill="FFFFFF" w:val="clear"/>
            <w:vAlign w:val="center"/>
          </w:tcPr>
          <w:p>
            <w:pPr>
              <w:pStyle w:val="TableContents"/>
              <w:bidi w:val="0"/>
              <w:spacing w:before="0" w:after="283"/>
              <w:jc w:val="left"/>
              <w:rPr>
                <w:sz w:val="20"/>
              </w:rPr>
            </w:pPr>
            <w:r>
              <w:rPr>
                <w:sz w:val="20"/>
              </w:rPr>
              <w:t>Add: 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sz w:val="20"/>
              </w:rPr>
            </w:pPr>
            <w:r>
              <w:rPr>
                <w:sz w:val="20"/>
              </w:rPr>
              <w:t>111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sz w:val="20"/>
              </w:rPr>
            </w:pPr>
            <w:r>
              <w:rPr>
                <w:sz w:val="20"/>
              </w:rPr>
              <w:t>25</w:t>
            </w:r>
          </w:p>
        </w:tc>
        <w:tc>
          <w:tcPr>
            <w:tcW w:w="232"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sz w:val="20"/>
              </w:rPr>
            </w:pPr>
            <w:r>
              <w:rPr>
                <w:sz w:val="20"/>
              </w:rPr>
              <w:t>118</w:t>
            </w:r>
          </w:p>
        </w:tc>
        <w:tc>
          <w:tcPr>
            <w:tcW w:w="8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sz w:val="20"/>
              </w:rPr>
            </w:pPr>
            <w:r>
              <w:rPr>
                <w:sz w:val="20"/>
              </w:rPr>
              <w:t>26</w:t>
            </w:r>
          </w:p>
        </w:tc>
        <w:tc>
          <w:tcPr>
            <w:tcW w:w="232"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sz w:val="20"/>
              </w:rPr>
            </w:pPr>
            <w:r>
              <w:rPr>
                <w:sz w:val="20"/>
              </w:rPr>
              <w:t>222</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sz w:val="20"/>
              </w:rPr>
            </w:pPr>
            <w:r>
              <w:rPr>
                <w:sz w:val="20"/>
              </w:rPr>
              <w:t>33</w:t>
            </w:r>
          </w:p>
        </w:tc>
        <w:tc>
          <w:tcPr>
            <w:tcW w:w="232"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sz w:val="20"/>
              </w:rPr>
            </w:pPr>
            <w:r>
              <w:rPr>
                <w:sz w:val="20"/>
              </w:rPr>
              <w:t>251</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sz w:val="20"/>
              </w:rPr>
            </w:pPr>
            <w:r>
              <w:rPr>
                <w:sz w:val="20"/>
              </w:rPr>
              <w:t>28</w:t>
            </w:r>
          </w:p>
        </w:tc>
        <w:tc>
          <w:tcPr>
            <w:tcW w:w="252" w:type="dxa"/>
            <w:tcBorders/>
            <w:shd w:fill="FFFFFF" w:val="clear"/>
            <w:vAlign w:val="center"/>
          </w:tcPr>
          <w:p>
            <w:pPr>
              <w:pStyle w:val="TableContents"/>
              <w:bidi w:val="0"/>
              <w:spacing w:before="0" w:after="283"/>
              <w:jc w:val="left"/>
              <w:rPr>
                <w:sz w:val="20"/>
              </w:rPr>
            </w:pPr>
            <w:r>
              <w:rPr>
                <w:sz w:val="20"/>
              </w:rPr>
              <w:t>%</w:t>
            </w:r>
          </w:p>
        </w:tc>
      </w:tr>
      <w:tr>
        <w:trPr/>
        <w:tc>
          <w:tcPr>
            <w:tcW w:w="2731" w:type="dxa"/>
            <w:tcBorders/>
            <w:shd w:fill="CCEEFF" w:val="clear"/>
            <w:vAlign w:val="center"/>
          </w:tcPr>
          <w:p>
            <w:pPr>
              <w:pStyle w:val="TableContents"/>
              <w:bidi w:val="0"/>
              <w:spacing w:before="0" w:after="283"/>
              <w:jc w:val="left"/>
              <w:rPr>
                <w:sz w:val="20"/>
              </w:rPr>
            </w:pPr>
            <w:r>
              <w:rPr>
                <w:sz w:val="20"/>
              </w:rPr>
              <w:t>Add: Share-based compensation expense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sz w:val="20"/>
              </w:rPr>
            </w:pPr>
            <w:r>
              <w:rPr>
                <w:sz w:val="20"/>
              </w:rPr>
              <w:t>62</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sz w:val="20"/>
              </w:rPr>
            </w:pPr>
            <w:r>
              <w:rPr>
                <w:sz w:val="20"/>
              </w:rPr>
              <w:t>14</w:t>
            </w:r>
          </w:p>
        </w:tc>
        <w:tc>
          <w:tcPr>
            <w:tcW w:w="232"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sz w:val="20"/>
              </w:rPr>
            </w:pPr>
            <w:r>
              <w:rPr>
                <w:sz w:val="20"/>
              </w:rPr>
              <w:t>55</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sz w:val="20"/>
              </w:rPr>
            </w:pPr>
            <w:r>
              <w:rPr>
                <w:sz w:val="20"/>
              </w:rPr>
              <w:t>12</w:t>
            </w:r>
          </w:p>
        </w:tc>
        <w:tc>
          <w:tcPr>
            <w:tcW w:w="232"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sz w:val="20"/>
              </w:rPr>
            </w:pPr>
            <w:r>
              <w:rPr>
                <w:sz w:val="20"/>
              </w:rPr>
              <w:t>124</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sz w:val="20"/>
              </w:rPr>
            </w:pPr>
            <w:r>
              <w:rPr>
                <w:sz w:val="20"/>
              </w:rPr>
              <w:t>18</w:t>
            </w:r>
          </w:p>
        </w:tc>
        <w:tc>
          <w:tcPr>
            <w:tcW w:w="232"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sz w:val="20"/>
              </w:rPr>
            </w:pPr>
            <w:r>
              <w:rPr>
                <w:sz w:val="20"/>
              </w:rPr>
              <w:t>127</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sz w:val="20"/>
              </w:rPr>
            </w:pPr>
            <w:r>
              <w:rPr>
                <w:sz w:val="20"/>
              </w:rPr>
              <w:t>14</w:t>
            </w:r>
          </w:p>
        </w:tc>
        <w:tc>
          <w:tcPr>
            <w:tcW w:w="252" w:type="dxa"/>
            <w:tcBorders/>
            <w:shd w:fill="CCEEFF" w:val="clear"/>
            <w:vAlign w:val="center"/>
          </w:tcPr>
          <w:p>
            <w:pPr>
              <w:pStyle w:val="TableContents"/>
              <w:bidi w:val="0"/>
              <w:spacing w:before="0" w:after="283"/>
              <w:jc w:val="left"/>
              <w:rPr>
                <w:sz w:val="20"/>
              </w:rPr>
            </w:pPr>
            <w:r>
              <w:rPr>
                <w:sz w:val="20"/>
              </w:rPr>
              <w:t>%</w:t>
            </w:r>
          </w:p>
        </w:tc>
      </w:tr>
      <w:tr>
        <w:trPr/>
        <w:tc>
          <w:tcPr>
            <w:tcW w:w="2731" w:type="dxa"/>
            <w:tcBorders/>
            <w:shd w:fill="FFFFFF" w:val="clear"/>
            <w:vAlign w:val="center"/>
          </w:tcPr>
          <w:p>
            <w:pPr>
              <w:pStyle w:val="TableContents"/>
              <w:bidi w:val="0"/>
              <w:spacing w:before="0" w:after="283"/>
              <w:jc w:val="left"/>
              <w:rPr>
                <w:sz w:val="20"/>
              </w:rPr>
            </w:pPr>
            <w:r>
              <w:rPr>
                <w:sz w:val="20"/>
              </w:rPr>
              <w:t>Less: Income tax effects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w:t>
            </w:r>
          </w:p>
        </w:tc>
        <w:tc>
          <w:tcPr>
            <w:tcW w:w="91" w:type="dxa"/>
            <w:tcBorders/>
            <w:shd w:fill="FFFFFF" w:val="clear"/>
            <w:vAlign w:val="center"/>
          </w:tcPr>
          <w:p>
            <w:pPr>
              <w:pStyle w:val="TableContents"/>
              <w:bidi w:val="0"/>
              <w:spacing w:before="0" w:after="283"/>
              <w:jc w:val="left"/>
              <w:rPr>
                <w:sz w:val="20"/>
              </w:rPr>
            </w:pPr>
            <w:r>
              <w:rPr>
                <w:sz w:val="20"/>
              </w:rPr>
              <w:t>)</w:t>
            </w:r>
          </w:p>
        </w:tc>
        <w:tc>
          <w:tcPr>
            <w:tcW w:w="68"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w:t>
            </w:r>
          </w:p>
        </w:tc>
        <w:tc>
          <w:tcPr>
            <w:tcW w:w="232"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w:t>
            </w:r>
          </w:p>
        </w:tc>
        <w:tc>
          <w:tcPr>
            <w:tcW w:w="87"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w:t>
            </w:r>
          </w:p>
        </w:tc>
        <w:tc>
          <w:tcPr>
            <w:tcW w:w="232"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w:t>
            </w:r>
          </w:p>
        </w:tc>
        <w:tc>
          <w:tcPr>
            <w:tcW w:w="87" w:type="dxa"/>
            <w:tcBorders/>
            <w:shd w:fill="FFFFFF" w:val="clear"/>
            <w:vAlign w:val="center"/>
          </w:tcPr>
          <w:p>
            <w:pPr>
              <w:pStyle w:val="TableContents"/>
              <w:bidi w:val="0"/>
              <w:spacing w:before="0" w:after="283"/>
              <w:jc w:val="left"/>
              <w:rPr>
                <w:sz w:val="20"/>
              </w:rPr>
            </w:pPr>
            <w:r>
              <w:rPr>
                <w:sz w:val="20"/>
              </w:rPr>
              <w:t>)</w:t>
            </w:r>
          </w:p>
        </w:tc>
        <w:tc>
          <w:tcPr>
            <w:tcW w:w="65"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w:t>
            </w:r>
          </w:p>
        </w:tc>
        <w:tc>
          <w:tcPr>
            <w:tcW w:w="232"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w:t>
            </w:r>
          </w:p>
        </w:tc>
        <w:tc>
          <w:tcPr>
            <w:tcW w:w="81" w:type="dxa"/>
            <w:tcBorders/>
            <w:shd w:fill="FFFFFF" w:val="clear"/>
            <w:vAlign w:val="center"/>
          </w:tcPr>
          <w:p>
            <w:pPr>
              <w:pStyle w:val="TableContents"/>
              <w:bidi w:val="0"/>
              <w:spacing w:before="0" w:after="283"/>
              <w:jc w:val="left"/>
              <w:rPr>
                <w:sz w:val="20"/>
              </w:rPr>
            </w:pPr>
            <w:r>
              <w:rPr>
                <w:sz w:val="20"/>
              </w:rPr>
              <w:t>)</w:t>
            </w:r>
          </w:p>
        </w:tc>
        <w:tc>
          <w:tcPr>
            <w:tcW w:w="61"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w:t>
            </w:r>
          </w:p>
        </w:tc>
        <w:tc>
          <w:tcPr>
            <w:tcW w:w="252" w:type="dxa"/>
            <w:tcBorders/>
            <w:shd w:fill="FFFFFF" w:val="clear"/>
            <w:vAlign w:val="center"/>
          </w:tcPr>
          <w:p>
            <w:pPr>
              <w:pStyle w:val="TableContents"/>
              <w:bidi w:val="0"/>
              <w:spacing w:before="0" w:after="283"/>
              <w:jc w:val="left"/>
              <w:rPr>
                <w:sz w:val="20"/>
              </w:rPr>
            </w:pPr>
            <w:r>
              <w:rPr>
                <w:sz w:val="20"/>
              </w:rPr>
              <w:t>)%</w:t>
            </w:r>
          </w:p>
        </w:tc>
      </w:tr>
      <w:tr>
        <w:trPr/>
        <w:tc>
          <w:tcPr>
            <w:tcW w:w="2731" w:type="dxa"/>
            <w:tcBorders/>
            <w:shd w:fill="CCEEFF" w:val="clear"/>
            <w:vAlign w:val="center"/>
          </w:tcPr>
          <w:p>
            <w:pPr>
              <w:pStyle w:val="TableContents"/>
              <w:bidi w:val="0"/>
              <w:spacing w:before="0" w:after="283"/>
              <w:jc w:val="left"/>
              <w:rPr>
                <w:b/>
                <w:sz w:val="20"/>
              </w:rPr>
            </w:pPr>
            <w:r>
              <w:rPr>
                <w:b/>
                <w:sz w:val="20"/>
              </w:rPr>
              <w:t>Adjusted Net Income</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17</w:t>
            </w:r>
          </w:p>
        </w:tc>
        <w:tc>
          <w:tcPr>
            <w:tcW w:w="232"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135</w:t>
            </w:r>
          </w:p>
        </w:tc>
        <w:tc>
          <w:tcPr>
            <w:tcW w:w="8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30</w:t>
            </w:r>
          </w:p>
        </w:tc>
        <w:tc>
          <w:tcPr>
            <w:tcW w:w="232"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51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21</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3</w:t>
            </w:r>
          </w:p>
        </w:tc>
        <w:tc>
          <w:tcPr>
            <w:tcW w:w="232"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51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250</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27</w:t>
            </w:r>
          </w:p>
        </w:tc>
        <w:tc>
          <w:tcPr>
            <w:tcW w:w="252"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Supplemental Information - Average System Price (unaudited)</w:t>
      </w:r>
    </w:p>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4595"/>
        <w:gridCol w:w="60"/>
        <w:gridCol w:w="183"/>
        <w:gridCol w:w="556"/>
        <w:gridCol w:w="60"/>
        <w:gridCol w:w="60"/>
        <w:gridCol w:w="183"/>
        <w:gridCol w:w="556"/>
        <w:gridCol w:w="60"/>
        <w:gridCol w:w="60"/>
        <w:gridCol w:w="183"/>
        <w:gridCol w:w="556"/>
        <w:gridCol w:w="60"/>
        <w:gridCol w:w="60"/>
        <w:gridCol w:w="183"/>
        <w:gridCol w:w="556"/>
        <w:gridCol w:w="60"/>
        <w:gridCol w:w="60"/>
        <w:gridCol w:w="183"/>
        <w:gridCol w:w="556"/>
        <w:gridCol w:w="75"/>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Q3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Q4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2024</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sz w:val="20"/>
              </w:rPr>
            </w:pPr>
            <w:r>
              <w:rPr>
                <w:sz w:val="20"/>
              </w:rPr>
              <w:t>EyeQ and SuperVision revenue (U.S. dollars in millions)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20"/>
              </w:rPr>
            </w:pPr>
            <w:r>
              <w:rPr>
                <w:sz w:val="20"/>
              </w:rPr>
              <w:t>$</w:t>
            </w:r>
          </w:p>
        </w:tc>
        <w:tc>
          <w:tcPr>
            <w:tcW w:w="556" w:type="dxa"/>
            <w:tcBorders/>
            <w:shd w:fill="CCEEFF" w:val="clear"/>
            <w:vAlign w:val="center"/>
          </w:tcPr>
          <w:p>
            <w:pPr>
              <w:pStyle w:val="TableContents"/>
              <w:bidi w:val="0"/>
              <w:spacing w:before="0" w:after="283"/>
              <w:jc w:val="right"/>
              <w:rPr>
                <w:sz w:val="20"/>
              </w:rPr>
            </w:pPr>
            <w:r>
              <w:rPr>
                <w:sz w:val="20"/>
              </w:rPr>
              <w:t>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20"/>
              </w:rPr>
            </w:pPr>
            <w:r>
              <w:rPr>
                <w:sz w:val="20"/>
              </w:rPr>
              <w:t>$</w:t>
            </w:r>
          </w:p>
        </w:tc>
        <w:tc>
          <w:tcPr>
            <w:tcW w:w="556" w:type="dxa"/>
            <w:tcBorders/>
            <w:shd w:fill="CCEEFF" w:val="clear"/>
            <w:vAlign w:val="center"/>
          </w:tcPr>
          <w:p>
            <w:pPr>
              <w:pStyle w:val="TableContents"/>
              <w:bidi w:val="0"/>
              <w:spacing w:before="0" w:after="283"/>
              <w:jc w:val="right"/>
              <w:rPr>
                <w:sz w:val="20"/>
              </w:rPr>
            </w:pPr>
            <w:r>
              <w:rPr>
                <w:sz w:val="20"/>
              </w:rPr>
              <w:t>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20"/>
              </w:rPr>
            </w:pPr>
            <w:r>
              <w:rPr>
                <w:sz w:val="20"/>
              </w:rPr>
              <w:t>$</w:t>
            </w:r>
          </w:p>
        </w:tc>
        <w:tc>
          <w:tcPr>
            <w:tcW w:w="556" w:type="dxa"/>
            <w:tcBorders/>
            <w:shd w:fill="CCEEFF" w:val="clear"/>
            <w:vAlign w:val="center"/>
          </w:tcPr>
          <w:p>
            <w:pPr>
              <w:pStyle w:val="TableContents"/>
              <w:bidi w:val="0"/>
              <w:spacing w:before="0" w:after="283"/>
              <w:jc w:val="right"/>
              <w:rPr>
                <w:sz w:val="20"/>
              </w:rPr>
            </w:pPr>
            <w:r>
              <w:rPr>
                <w:sz w:val="20"/>
              </w:rPr>
              <w:t>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20"/>
              </w:rPr>
            </w:pPr>
            <w:r>
              <w:rPr>
                <w:sz w:val="20"/>
              </w:rPr>
              <w:t>$</w:t>
            </w:r>
          </w:p>
        </w:tc>
        <w:tc>
          <w:tcPr>
            <w:tcW w:w="556" w:type="dxa"/>
            <w:tcBorders/>
            <w:shd w:fill="CCEEFF" w:val="clear"/>
            <w:vAlign w:val="center"/>
          </w:tcPr>
          <w:p>
            <w:pPr>
              <w:pStyle w:val="TableContents"/>
              <w:bidi w:val="0"/>
              <w:spacing w:before="0" w:after="283"/>
              <w:jc w:val="right"/>
              <w:rPr>
                <w:sz w:val="20"/>
              </w:rPr>
            </w:pPr>
            <w:r>
              <w:rPr>
                <w:sz w:val="20"/>
              </w:rPr>
              <w:t>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20"/>
              </w:rPr>
            </w:pPr>
            <w:r>
              <w:rPr>
                <w:sz w:val="20"/>
              </w:rPr>
              <w:t>$</w:t>
            </w:r>
          </w:p>
        </w:tc>
        <w:tc>
          <w:tcPr>
            <w:tcW w:w="556" w:type="dxa"/>
            <w:tcBorders/>
            <w:shd w:fill="CCEEFF" w:val="clear"/>
            <w:vAlign w:val="center"/>
          </w:tcPr>
          <w:p>
            <w:pPr>
              <w:pStyle w:val="TableContents"/>
              <w:bidi w:val="0"/>
              <w:spacing w:before="0" w:after="283"/>
              <w:jc w:val="right"/>
              <w:rPr>
                <w:sz w:val="20"/>
              </w:rPr>
            </w:pPr>
            <w:r>
              <w:rPr>
                <w:sz w:val="20"/>
              </w:rPr>
              <w:t>413</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sz w:val="20"/>
              </w:rPr>
            </w:pPr>
            <w:r>
              <w:rPr>
                <w:sz w:val="20"/>
              </w:rPr>
              <w:t>Number of systems shipped (in millions)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sz w:val="20"/>
              </w:rPr>
            </w:pPr>
            <w:r>
              <w:rPr>
                <w:sz w:val="20"/>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sz w:val="20"/>
              </w:rPr>
            </w:pPr>
            <w:r>
              <w:rPr>
                <w:sz w:val="20"/>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sz w:val="20"/>
              </w:rPr>
            </w:pPr>
            <w:r>
              <w:rPr>
                <w:sz w:val="20"/>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sz w:val="20"/>
              </w:rPr>
            </w:pPr>
            <w:r>
              <w:rPr>
                <w:sz w:val="20"/>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sz w:val="20"/>
              </w:rPr>
            </w:pPr>
            <w:r>
              <w:rPr>
                <w:sz w:val="20"/>
              </w:rPr>
              <w:t>7.6</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sz w:val="20"/>
              </w:rPr>
            </w:pPr>
            <w:r>
              <w:rPr>
                <w:sz w:val="20"/>
              </w:rPr>
              <w:t>Average system price (U.S. dollars)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20"/>
              </w:rPr>
            </w:pPr>
            <w:r>
              <w:rPr>
                <w:sz w:val="20"/>
              </w:rPr>
              <w:t>$</w:t>
            </w:r>
          </w:p>
        </w:tc>
        <w:tc>
          <w:tcPr>
            <w:tcW w:w="556" w:type="dxa"/>
            <w:tcBorders/>
            <w:shd w:fill="CCEEFF" w:val="clear"/>
            <w:vAlign w:val="center"/>
          </w:tcPr>
          <w:p>
            <w:pPr>
              <w:pStyle w:val="TableContents"/>
              <w:bidi w:val="0"/>
              <w:spacing w:before="0" w:after="283"/>
              <w:jc w:val="right"/>
              <w:rPr>
                <w:sz w:val="20"/>
              </w:rPr>
            </w:pPr>
            <w:r>
              <w:rPr>
                <w:sz w:val="20"/>
              </w:rPr>
              <w:t>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20"/>
              </w:rPr>
            </w:pPr>
            <w:r>
              <w:rPr>
                <w:sz w:val="20"/>
              </w:rPr>
              <w:t>$</w:t>
            </w:r>
          </w:p>
        </w:tc>
        <w:tc>
          <w:tcPr>
            <w:tcW w:w="556" w:type="dxa"/>
            <w:tcBorders/>
            <w:shd w:fill="CCEEFF" w:val="clear"/>
            <w:vAlign w:val="center"/>
          </w:tcPr>
          <w:p>
            <w:pPr>
              <w:pStyle w:val="TableContents"/>
              <w:bidi w:val="0"/>
              <w:spacing w:before="0" w:after="283"/>
              <w:jc w:val="right"/>
              <w:rPr>
                <w:sz w:val="20"/>
              </w:rPr>
            </w:pPr>
            <w:r>
              <w:rPr>
                <w:sz w:val="20"/>
              </w:rPr>
              <w:t>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20"/>
              </w:rPr>
            </w:pPr>
            <w:r>
              <w:rPr>
                <w:sz w:val="20"/>
              </w:rPr>
              <w:t>$</w:t>
            </w:r>
          </w:p>
        </w:tc>
        <w:tc>
          <w:tcPr>
            <w:tcW w:w="556" w:type="dxa"/>
            <w:tcBorders/>
            <w:shd w:fill="CCEEFF" w:val="clear"/>
            <w:vAlign w:val="center"/>
          </w:tcPr>
          <w:p>
            <w:pPr>
              <w:pStyle w:val="TableContents"/>
              <w:bidi w:val="0"/>
              <w:spacing w:before="0" w:after="283"/>
              <w:jc w:val="right"/>
              <w:rPr>
                <w:sz w:val="20"/>
              </w:rPr>
            </w:pPr>
            <w:r>
              <w:rPr>
                <w:sz w:val="20"/>
              </w:rPr>
              <w:t>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20"/>
              </w:rPr>
            </w:pPr>
            <w:r>
              <w:rPr>
                <w:sz w:val="20"/>
              </w:rPr>
              <w:t>$</w:t>
            </w:r>
          </w:p>
        </w:tc>
        <w:tc>
          <w:tcPr>
            <w:tcW w:w="556" w:type="dxa"/>
            <w:tcBorders/>
            <w:shd w:fill="CCEEFF" w:val="clear"/>
            <w:vAlign w:val="center"/>
          </w:tcPr>
          <w:p>
            <w:pPr>
              <w:pStyle w:val="TableContents"/>
              <w:bidi w:val="0"/>
              <w:spacing w:before="0" w:after="283"/>
              <w:jc w:val="right"/>
              <w:rPr>
                <w:sz w:val="20"/>
              </w:rPr>
            </w:pPr>
            <w:r>
              <w:rPr>
                <w:sz w:val="20"/>
              </w:rPr>
              <w:t>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20"/>
              </w:rPr>
            </w:pPr>
            <w:r>
              <w:rPr>
                <w:sz w:val="20"/>
              </w:rPr>
              <w:t>$</w:t>
            </w:r>
          </w:p>
        </w:tc>
        <w:tc>
          <w:tcPr>
            <w:tcW w:w="556" w:type="dxa"/>
            <w:tcBorders/>
            <w:shd w:fill="CCEEFF" w:val="clear"/>
            <w:vAlign w:val="center"/>
          </w:tcPr>
          <w:p>
            <w:pPr>
              <w:pStyle w:val="TableContents"/>
              <w:bidi w:val="0"/>
              <w:spacing w:before="0" w:after="283"/>
              <w:jc w:val="right"/>
              <w:rPr>
                <w:sz w:val="20"/>
              </w:rPr>
            </w:pPr>
            <w:r>
              <w:rPr>
                <w:sz w:val="20"/>
              </w:rPr>
              <w:t>54.4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101820"/>
          <w:sz w:val="20"/>
        </w:rPr>
      </w:pPr>
      <w:r>
        <w:rPr>
          <w:rFonts w:ascii="Times New Roman;Times;Serif" w:hAnsi="Times New Roman;Times;Serif"/>
          <w:b/>
          <w:i w:val="false"/>
          <w:caps w:val="false"/>
          <w:smallCaps w:val="false"/>
          <w:color w:val="101820"/>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101820"/>
          <w:sz w:val="20"/>
        </w:rPr>
      </w:pPr>
      <w:r>
        <w:rPr>
          <w:rFonts w:ascii="Times New Roman;Times;Serif" w:hAnsi="Times New Roman;Times;Serif"/>
          <w:b w:val="false"/>
          <w:i w:val="false"/>
          <w:caps w:val="false"/>
          <w:smallCaps w:val="false"/>
          <w:color w:val="101820"/>
          <w:sz w:val="20"/>
        </w:rPr>
        <w:t>Dan Galves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investors@mobileye.com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101820"/>
          <w:sz w:val="20"/>
        </w:rPr>
      </w:pPr>
      <w:r>
        <w:rPr>
          <w:rFonts w:ascii="Times New Roman;Times;Serif" w:hAnsi="Times New Roman;Times;Serif"/>
          <w:b w:val="false"/>
          <w:i w:val="false"/>
          <w:caps w:val="false"/>
          <w:smallCaps w:val="false"/>
          <w:color w:val="101820"/>
          <w:sz w:val="20"/>
        </w:rPr>
        <w:t>Justin Hyde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justin.hyde@mobileye.com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4989</Words>
  <Characters>26456</Characters>
  <CharactersWithSpaces>31797</CharactersWithSpaces>
  <Paragraphs>2196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