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Financial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Investment Management (US)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13,560,251.00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13,560,251.00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13,560,251.00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jc w:val="right"/>
        <w:ind w:right="56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13.49 %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40"/>
          </w:cols>
          <w:pgMar w:left="360" w:top="126" w:right="499" w:bottom="14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 Hotzvim, 1 Shlomo Mono HaLevi Street Jerusalem 9777015, Israel</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680"/>
        <w:spacing w:after="0" w:line="256" w:lineRule="auto"/>
        <w:rPr>
          <w:sz w:val="20"/>
          <w:szCs w:val="20"/>
          <w:color w:val="auto"/>
        </w:rPr>
      </w:pPr>
      <w:r>
        <w:rPr>
          <w:rFonts w:ascii="Times New Roman" w:cs="Times New Roman" w:eastAsia="Times New Roman" w:hAnsi="Times New Roman"/>
          <w:sz w:val="22"/>
          <w:szCs w:val="22"/>
          <w:color w:val="auto"/>
        </w:rPr>
        <w:t>This filing is made on behalf of Manulife Financial Corporation ("MFC") and MFC's indirect, wholly-owned subsidiary, Manulife Investment Management (US)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The principal business offices of MFC is located at 200 Bloor Street East, Toronto, Ontario, Canada, M4W 1E5. The principal business office of MIM (US) is located at 197 Clarendon Street,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MFC is organized and exists under the laws of Canada. MIM (US) is organized and exists under the laws of the State of Delaware.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60741F104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20"/>
          </w:cols>
          <w:pgMar w:left="360" w:top="126" w:right="499" w:bottom="140" w:gutter="0" w:footer="0" w:header="0"/>
          <w:type w:val="continuous"/>
        </w:sectPr>
      </w:pPr>
    </w:p>
    <w:p>
      <w:pPr>
        <w:spacing w:after="0" w:line="33" w:lineRule="exact"/>
        <w:rPr>
          <w:sz w:val="20"/>
          <w:szCs w:val="20"/>
          <w:color w:val="auto"/>
        </w:rPr>
      </w:pPr>
    </w:p>
    <w:p>
      <w:pPr>
        <w:ind w:left="920" w:right="1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MIM (US) has beneficial ownership of 13,560,251 shares of Class A Common Stock. Through its parent-subsidiary relationship to MIM (US) and MFC may be deemed to have beneficial ownership of these same shares.</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40"/>
          </w:cols>
          <w:pgMar w:left="360" w:top="126" w:right="499" w:bottom="140" w:gutter="0" w:footer="0" w:header="0"/>
          <w:type w:val="continuous"/>
        </w:sectPr>
      </w:pPr>
    </w:p>
    <w:bookmarkStart w:id="3" w:name="page4"/>
    <w:bookmarkEnd w:id="3"/>
    <w:p>
      <w:pPr>
        <w:spacing w:after="0" w:line="93" w:lineRule="exact"/>
        <w:rPr>
          <w:sz w:val="20"/>
          <w:szCs w:val="20"/>
          <w:color w:val="auto"/>
        </w:rPr>
      </w:pPr>
    </w:p>
    <w:p>
      <w:pPr>
        <w:ind w:left="960" w:right="260"/>
        <w:spacing w:after="0" w:line="268" w:lineRule="auto"/>
        <w:rPr>
          <w:sz w:val="20"/>
          <w:szCs w:val="20"/>
          <w:color w:val="auto"/>
        </w:rPr>
      </w:pPr>
      <w:r>
        <w:rPr>
          <w:rFonts w:ascii="Times New Roman" w:cs="Times New Roman" w:eastAsia="Times New Roman" w:hAnsi="Times New Roman"/>
          <w:sz w:val="21"/>
          <w:szCs w:val="21"/>
          <w:color w:val="auto"/>
        </w:rPr>
        <w:t>Of the 100,496,663 shares of Class A Common Stock outstanding as of April 15, 2025, according to the Form 10-Q filed by the issuer with the Securities and Exchange Commission on April 24, 2025, MIM (US) held 13.49% %</w:t>
      </w:r>
    </w:p>
    <w:p>
      <w:pPr>
        <w:spacing w:after="0" w:line="1"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31" w:orient="portrait"/>
          <w:cols w:equalWidth="0" w:num="1">
            <w:col w:w="11240"/>
          </w:cols>
          <w:pgMar w:left="320" w:top="11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to Item 5 of the cover page pertaining to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to Item 6 of the cover page pertaining to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to Item 7 of the cover page pertaining to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to Item 8 of the cover page pertaining to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6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3 and 4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31" w:orient="portrait"/>
          <w:cols w:equalWidth="0" w:num="2">
            <w:col w:w="760" w:space="200"/>
            <w:col w:w="10280"/>
          </w:cols>
          <w:pgMar w:left="320" w:top="112" w:right="339" w:bottom="0" w:gutter="0" w:footer="0" w:header="0"/>
          <w:type w:val="continuous"/>
        </w:sectPr>
      </w:pPr>
    </w:p>
    <w:p>
      <w:pPr>
        <w:ind w:left="980" w:right="2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foreign regulatory scheme applicable to MIML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Manulife Financial Corporation</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Graham Miller</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Graham Miller / Agent*</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05/01/2025</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Manulife Investment Management (US) LLC</w:t>
      </w:r>
    </w:p>
    <w:p>
      <w:pPr>
        <w:spacing w:after="0" w:line="152"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M. Donahue</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Name/Title: Paul Donahue / Chief Compliance Officer</w:t>
      </w:r>
    </w:p>
    <w:p>
      <w:pPr>
        <w:spacing w:after="0" w:line="44"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05/08/2025</w:t>
      </w:r>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*Signed pursuant to a Power of Attorney dated January 17, 2018 included as Exhibit A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Schedule 13F- NT filed with the Securities and Exchange Commission by Manulife Financial Corporation on January 29, 2018. The original statement shall be signed by each person on whose behalf the statement is filed or his authorized representative. If the statement is signed on behalf of a person by his authorized representative other than an executive officer or general partner of</w:t>
      </w:r>
    </w:p>
    <w:p>
      <w:pPr>
        <w:sectPr>
          <w:pgSz w:w="11900" w:h="16931" w:orient="portrait"/>
          <w:cols w:equalWidth="0" w:num="1">
            <w:col w:w="11240"/>
          </w:cols>
          <w:pgMar w:left="320" w:top="112" w:right="339" w:bottom="0" w:gutter="0" w:footer="0" w:header="0"/>
          <w:type w:val="continuous"/>
        </w:sectPr>
      </w:pPr>
    </w:p>
    <w:bookmarkStart w:id="4" w:name="page5"/>
    <w:bookmarkEnd w:id="4"/>
    <w:p>
      <w:pPr>
        <w:spacing w:after="0" w:line="236" w:lineRule="auto"/>
        <w:rPr>
          <w:sz w:val="20"/>
          <w:szCs w:val="20"/>
          <w:color w:val="auto"/>
        </w:rPr>
      </w:pPr>
      <w:r>
        <w:rPr>
          <w:rFonts w:ascii="Times New Roman" w:cs="Times New Roman" w:eastAsia="Times New Roman" w:hAnsi="Times New Roman"/>
          <w:sz w:val="22"/>
          <w:szCs w:val="22"/>
          <w:color w:val="auto"/>
        </w:rPr>
        <w:t>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NOTE : Schedules filed in paper format shall include a signed original and five copies of the schedule, including all exhibits. See ss.240.13d-7 for other parties for whom copies are to be sent. Attention: Intentional misstatements or omissions of fact constitute Federal criminal violations (See 18 U.S.C. 1001)</w:t>
      </w:r>
    </w:p>
    <w:p>
      <w:pPr>
        <w:spacing w:after="0" w:line="5" w:lineRule="exact"/>
        <w:rPr>
          <w:sz w:val="20"/>
          <w:szCs w:val="20"/>
          <w:color w:val="auto"/>
        </w:rPr>
      </w:pPr>
    </w:p>
    <w:p>
      <w:pPr>
        <w:jc w:val="center"/>
        <w:ind w:right="71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180"/>
          </w:cols>
          <w:pgMar w:left="320" w:top="11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EXHIBIT A</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JOINT FILING AGREEMENT</w:t>
      </w:r>
    </w:p>
    <w:p>
      <w:pPr>
        <w:spacing w:after="0" w:line="38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Manulife Financial Corporation, and Manulife Investment Management (US) LLC agree that the Schedule 13G (Amendment No.1) to which this Agreement is attached, relating to the Class A Common Stock of Mobileye Global, Inc., is filed on behalf of each of them.</w:t>
      </w:r>
    </w:p>
    <w:p>
      <w:pPr>
        <w:spacing w:after="0" w:line="140"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Manulife Financial Corporation</w:t>
      </w:r>
    </w:p>
    <w:p>
      <w:pPr>
        <w:spacing w:after="0" w:line="9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May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Graham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Graham Miller /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Manulife Investment Management (US) LLC</w:t>
      </w:r>
    </w:p>
    <w:p>
      <w:pPr>
        <w:spacing w:after="0" w:line="9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Paul M.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Paul Donahue /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3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*Signed pursuant to a Power of Attorney dated January 17, 2018 included as Exhibit A to Schedule 13F- NT filed with the Securities and Exchange Commission by Manulife Financial Corporation on January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40"/>
      </w:cols>
      <w:pgMar w:left="320" w:top="12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2025-05-14T10:46:09Z</dcterms:created>
  <dcterms:modified xsi:type="dcterms:W3CDTF">2025-05-14T10:46:09Z</dcterms:modified>
</cp:coreProperties>
</file>