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580"/>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COMMISSION</w:t>
      </w:r>
    </w:p>
    <w:p>
      <w:pPr>
        <w:ind w:left="3060"/>
        <w:spacing w:after="0"/>
        <w:rPr>
          <w:sz w:val="20"/>
          <w:szCs w:val="20"/>
          <w:color w:val="auto"/>
        </w:rPr>
      </w:pPr>
      <w:r>
        <w:rPr>
          <w:rFonts w:ascii="Courier New" w:cs="Courier New" w:eastAsia="Courier New" w:hAnsi="Courier New"/>
          <w:sz w:val="18"/>
          <w:szCs w:val="18"/>
          <w:color w:val="auto"/>
        </w:rPr>
        <w:t>Washington, D.C. 20549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31"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(Amendment No. 5)*</w:t>
      </w:r>
    </w:p>
    <w:p>
      <w:pPr>
        <w:spacing w:after="0" w:line="169" w:lineRule="exact"/>
        <w:rPr>
          <w:sz w:val="24"/>
          <w:szCs w:val="24"/>
          <w:color w:val="auto"/>
        </w:rPr>
      </w:pPr>
    </w:p>
    <w:p>
      <w:pPr>
        <w:jc w:val="center"/>
        <w:ind w:right="1479"/>
        <w:spacing w:after="0"/>
        <w:rPr>
          <w:sz w:val="20"/>
          <w:szCs w:val="20"/>
          <w:color w:val="auto"/>
        </w:rPr>
      </w:pPr>
      <w:r>
        <w:rPr>
          <w:rFonts w:ascii="Courier New" w:cs="Courier New" w:eastAsia="Courier New" w:hAnsi="Courier New"/>
          <w:sz w:val="18"/>
          <w:szCs w:val="18"/>
          <w:color w:val="auto"/>
        </w:rPr>
        <w:t>Mobileye Global Inc.</w:t>
      </w:r>
    </w:p>
    <w:p>
      <w:pPr>
        <w:spacing w:after="0" w:line="29"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w:t>
      </w:r>
    </w:p>
    <w:p>
      <w:pPr>
        <w:ind w:left="3380"/>
        <w:spacing w:after="0"/>
        <w:rPr>
          <w:sz w:val="20"/>
          <w:szCs w:val="20"/>
          <w:color w:val="auto"/>
        </w:rPr>
      </w:pPr>
      <w:r>
        <w:rPr>
          <w:rFonts w:ascii="Courier New" w:cs="Courier New" w:eastAsia="Courier New" w:hAnsi="Courier New"/>
          <w:sz w:val="18"/>
          <w:szCs w:val="18"/>
          <w:color w:val="auto"/>
        </w:rPr>
        <w:t>(Name of Issuer)</w:t>
      </w:r>
    </w:p>
    <w:p>
      <w:pPr>
        <w:spacing w:after="0" w:line="372"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Class A common stock, par value $0.01</w:t>
      </w:r>
    </w:p>
    <w:p>
      <w:pPr>
        <w:spacing w:after="0" w:line="29"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w:t>
      </w:r>
    </w:p>
    <w:p>
      <w:pPr>
        <w:ind w:left="2640"/>
        <w:spacing w:after="0"/>
        <w:rPr>
          <w:sz w:val="20"/>
          <w:szCs w:val="20"/>
          <w:color w:val="auto"/>
        </w:rPr>
      </w:pPr>
      <w:r>
        <w:rPr>
          <w:rFonts w:ascii="Courier New" w:cs="Courier New" w:eastAsia="Courier New" w:hAnsi="Courier New"/>
          <w:sz w:val="18"/>
          <w:szCs w:val="18"/>
          <w:color w:val="auto"/>
        </w:rPr>
        <w:t>(Title of Class of Securities)</w:t>
      </w:r>
    </w:p>
    <w:p>
      <w:pPr>
        <w:spacing w:after="0" w:line="37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60741F104</w:t>
      </w:r>
    </w:p>
    <w:p>
      <w:pPr>
        <w:spacing w:after="0" w:line="29"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ind w:left="3480"/>
        <w:spacing w:after="0"/>
        <w:rPr>
          <w:sz w:val="20"/>
          <w:szCs w:val="20"/>
          <w:color w:val="auto"/>
        </w:rPr>
      </w:pPr>
      <w:r>
        <w:rPr>
          <w:rFonts w:ascii="Courier New" w:cs="Courier New" w:eastAsia="Courier New" w:hAnsi="Courier New"/>
          <w:sz w:val="18"/>
          <w:szCs w:val="18"/>
          <w:color w:val="auto"/>
        </w:rPr>
        <w:t>(CUSIP Number)</w:t>
      </w:r>
    </w:p>
    <w:p>
      <w:pPr>
        <w:spacing w:after="0" w:line="372"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September 30, 2024</w:t>
      </w:r>
    </w:p>
    <w:p>
      <w:pPr>
        <w:spacing w:after="0" w:line="2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w:t>
      </w:r>
    </w:p>
    <w:p>
      <w:pPr>
        <w:ind w:left="1380"/>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372" w:lineRule="exact"/>
        <w:rPr>
          <w:sz w:val="24"/>
          <w:szCs w:val="24"/>
          <w:color w:val="auto"/>
        </w:rPr>
      </w:pPr>
    </w:p>
    <w:p>
      <w:pPr>
        <w:ind w:right="18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left="3160" w:right="4979" w:firstLine="7"/>
        <w:spacing w:after="0" w:line="536" w:lineRule="auto"/>
        <w:tabs>
          <w:tab w:leader="none" w:pos="3792"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jc w:val="both"/>
        <w:ind w:right="1699"/>
        <w:spacing w:after="0" w:line="274"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81" w:lineRule="exact"/>
        <w:rPr>
          <w:sz w:val="24"/>
          <w:szCs w:val="24"/>
          <w:color w:val="auto"/>
        </w:rPr>
      </w:pPr>
    </w:p>
    <w:p>
      <w:pPr>
        <w:jc w:val="both"/>
        <w:ind w:right="1699"/>
        <w:spacing w:after="0" w:line="265"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2"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Continued on following pages</w:t>
      </w:r>
    </w:p>
    <w:p>
      <w:pPr>
        <w:spacing w:after="0" w:line="31"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Page 1 of 5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1699"/>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tabs>
          <w:tab w:leader="none" w:pos="65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2 of 5 Pages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4"/>
          <w:szCs w:val="24"/>
          <w:color w:val="auto"/>
        </w:rPr>
      </w:pPr>
    </w:p>
    <w:p>
      <w:pPr>
        <w:ind w:left="960" w:hanging="952"/>
        <w:spacing w:after="0"/>
        <w:tabs>
          <w:tab w:leader="none" w:pos="9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201" w:lineRule="exact"/>
        <w:rPr>
          <w:rFonts w:ascii="Courier New" w:cs="Courier New" w:eastAsia="Courier New" w:hAnsi="Courier New"/>
          <w:sz w:val="18"/>
          <w:szCs w:val="18"/>
          <w:color w:val="auto"/>
        </w:rPr>
      </w:pPr>
    </w:p>
    <w:p>
      <w:pPr>
        <w:ind w:left="9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spacing w:after="0" w:line="200" w:lineRule="exact"/>
        <w:rPr>
          <w:sz w:val="24"/>
          <w:szCs w:val="24"/>
          <w:color w:val="auto"/>
        </w:rPr>
      </w:pPr>
    </w:p>
    <w:p>
      <w:pPr>
        <w:spacing w:after="0" w:line="204"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NORGES BANK (THE CENTRAL BANK OF NORWAY)</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 w:lineRule="exact"/>
        <w:rPr>
          <w:sz w:val="24"/>
          <w:szCs w:val="24"/>
          <w:color w:val="auto"/>
        </w:rPr>
      </w:pPr>
    </w:p>
    <w:p>
      <w:pPr>
        <w:ind w:left="960" w:hanging="952"/>
        <w:spacing w:after="0"/>
        <w:tabs>
          <w:tab w:leader="none" w:pos="9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169"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N/A</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218" w:right="1440" w:bottom="0" w:gutter="0" w:footer="0" w:header="0"/>
        </w:sectPr>
      </w:pPr>
    </w:p>
    <w:bookmarkStart w:id="1" w:name="page2"/>
    <w:bookmarkEnd w:id="1"/>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30"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191" w:lineRule="exact"/>
        <w:rPr>
          <w:rFonts w:ascii="Courier New" w:cs="Courier New" w:eastAsia="Courier New" w:hAnsi="Courier New"/>
          <w:sz w:val="18"/>
          <w:szCs w:val="18"/>
          <w:color w:val="auto"/>
        </w:rPr>
      </w:pPr>
    </w:p>
    <w:p>
      <w:pPr>
        <w:ind w:left="960" w:hanging="952"/>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NORWAY</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540" w:type="dxa"/>
            <w:vAlign w:val="bottom"/>
          </w:tcPr>
          <w:p>
            <w:pPr>
              <w:spacing w:after="0"/>
              <w:rPr>
                <w:sz w:val="20"/>
                <w:szCs w:val="20"/>
                <w:color w:val="auto"/>
              </w:rPr>
            </w:pPr>
            <w:r>
              <w:rPr>
                <w:rFonts w:ascii="Courier New" w:cs="Courier New" w:eastAsia="Courier New" w:hAnsi="Courier New"/>
                <w:sz w:val="18"/>
                <w:szCs w:val="18"/>
                <w:color w:val="auto"/>
              </w:rPr>
              <w:t>Number of</w:t>
            </w: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5.</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Voting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4,850,094</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Shares</w:t>
            </w:r>
          </w:p>
        </w:tc>
        <w:tc>
          <w:tcPr>
            <w:tcW w:w="88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88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6.</w:t>
            </w:r>
          </w:p>
        </w:tc>
        <w:tc>
          <w:tcPr>
            <w:tcW w:w="3120" w:type="dxa"/>
            <w:vAlign w:val="bottom"/>
            <w:vMerge w:val="restart"/>
          </w:tcPr>
          <w:p>
            <w:pPr>
              <w:spacing w:after="0"/>
              <w:rPr>
                <w:sz w:val="20"/>
                <w:szCs w:val="20"/>
                <w:color w:val="auto"/>
              </w:rPr>
            </w:pPr>
            <w:r>
              <w:rPr>
                <w:rFonts w:ascii="Courier New" w:cs="Courier New" w:eastAsia="Courier New" w:hAnsi="Courier New"/>
                <w:sz w:val="18"/>
                <w:szCs w:val="18"/>
                <w:color w:val="auto"/>
              </w:rPr>
              <w:t>Shared Voting Power</w:t>
            </w:r>
          </w:p>
        </w:tc>
        <w:tc>
          <w:tcPr>
            <w:tcW w:w="2900" w:type="dxa"/>
            <w:vAlign w:val="bottom"/>
            <w:vMerge w:val="restart"/>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1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w:t>
            </w:r>
          </w:p>
        </w:tc>
        <w:tc>
          <w:tcPr>
            <w:tcW w:w="880" w:type="dxa"/>
            <w:vAlign w:val="bottom"/>
            <w:vMerge w:val="continue"/>
          </w:tcPr>
          <w:p>
            <w:pPr>
              <w:spacing w:after="0"/>
              <w:rPr>
                <w:sz w:val="17"/>
                <w:szCs w:val="17"/>
                <w:color w:val="auto"/>
              </w:rPr>
            </w:pPr>
          </w:p>
        </w:tc>
        <w:tc>
          <w:tcPr>
            <w:tcW w:w="3120" w:type="dxa"/>
            <w:vAlign w:val="bottom"/>
            <w:vMerge w:val="continue"/>
          </w:tcPr>
          <w:p>
            <w:pPr>
              <w:spacing w:after="0"/>
              <w:rPr>
                <w:sz w:val="17"/>
                <w:szCs w:val="17"/>
                <w:color w:val="auto"/>
              </w:rPr>
            </w:pPr>
          </w:p>
        </w:tc>
        <w:tc>
          <w:tcPr>
            <w:tcW w:w="29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0"/>
                <w:szCs w:val="20"/>
                <w:color w:val="auto"/>
              </w:rPr>
            </w:pPr>
            <w:r>
              <w:rPr>
                <w:rFonts w:ascii="Courier New" w:cs="Courier New" w:eastAsia="Courier New" w:hAnsi="Courier New"/>
                <w:sz w:val="18"/>
                <w:szCs w:val="18"/>
                <w:color w:val="auto"/>
              </w:rPr>
              <w:t>Person With</w:t>
            </w:r>
          </w:p>
        </w:tc>
        <w:tc>
          <w:tcPr>
            <w:tcW w:w="4000" w:type="dxa"/>
            <w:vAlign w:val="bottom"/>
            <w:gridSpan w:val="2"/>
          </w:tcPr>
          <w:p>
            <w:pPr>
              <w:ind w:left="160"/>
              <w:spacing w:after="0"/>
              <w:rPr>
                <w:sz w:val="20"/>
                <w:szCs w:val="20"/>
                <w:color w:val="auto"/>
              </w:rPr>
            </w:pPr>
            <w:r>
              <w:rPr>
                <w:rFonts w:ascii="Courier New" w:cs="Courier New" w:eastAsia="Courier New" w:hAnsi="Courier New"/>
                <w:sz w:val="14"/>
                <w:szCs w:val="14"/>
                <w:color w:val="auto"/>
                <w:w w:val="71"/>
              </w:rPr>
              <w:t>................................................................</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7.</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Sole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4,850,094</w:t>
            </w:r>
          </w:p>
        </w:tc>
        <w:tc>
          <w:tcPr>
            <w:tcW w:w="0" w:type="dxa"/>
            <w:vAlign w:val="bottom"/>
          </w:tcPr>
          <w:p>
            <w:pPr>
              <w:spacing w:after="0"/>
              <w:rPr>
                <w:sz w:val="1"/>
                <w:szCs w:val="1"/>
                <w:color w:val="auto"/>
              </w:rPr>
            </w:pPr>
          </w:p>
        </w:tc>
      </w:tr>
      <w:tr>
        <w:trPr>
          <w:trHeight w:val="296"/>
        </w:trPr>
        <w:tc>
          <w:tcPr>
            <w:tcW w:w="1540" w:type="dxa"/>
            <w:vAlign w:val="bottom"/>
          </w:tcPr>
          <w:p>
            <w:pPr>
              <w:spacing w:after="0"/>
              <w:rPr>
                <w:sz w:val="24"/>
                <w:szCs w:val="24"/>
                <w:color w:val="auto"/>
              </w:rPr>
            </w:pPr>
          </w:p>
        </w:tc>
        <w:tc>
          <w:tcPr>
            <w:tcW w:w="6900" w:type="dxa"/>
            <w:vAlign w:val="bottom"/>
            <w:gridSpan w:val="3"/>
          </w:tcPr>
          <w:p>
            <w:pPr>
              <w:ind w:left="160"/>
              <w:spacing w:after="0"/>
              <w:rPr>
                <w:sz w:val="20"/>
                <w:szCs w:val="20"/>
                <w:color w:val="auto"/>
              </w:rPr>
            </w:pPr>
            <w:r>
              <w:rPr>
                <w:rFonts w:ascii="Courier New" w:cs="Courier New" w:eastAsia="Courier New" w:hAnsi="Courier New"/>
                <w:sz w:val="18"/>
                <w:szCs w:val="18"/>
                <w:color w:val="auto"/>
                <w:w w:val="97"/>
              </w:rPr>
              <w:t>................................................................</w:t>
            </w:r>
          </w:p>
        </w:tc>
        <w:tc>
          <w:tcPr>
            <w:tcW w:w="0" w:type="dxa"/>
            <w:vAlign w:val="bottom"/>
          </w:tcPr>
          <w:p>
            <w:pPr>
              <w:spacing w:after="0"/>
              <w:rPr>
                <w:sz w:val="1"/>
                <w:szCs w:val="1"/>
                <w:color w:val="auto"/>
              </w:rPr>
            </w:pPr>
          </w:p>
        </w:tc>
      </w:tr>
      <w:tr>
        <w:trPr>
          <w:trHeight w:val="343"/>
        </w:trPr>
        <w:tc>
          <w:tcPr>
            <w:tcW w:w="1540" w:type="dxa"/>
            <w:vAlign w:val="bottom"/>
          </w:tcPr>
          <w:p>
            <w:pPr>
              <w:spacing w:after="0"/>
              <w:rPr>
                <w:sz w:val="24"/>
                <w:szCs w:val="24"/>
                <w:color w:val="auto"/>
              </w:rPr>
            </w:pPr>
          </w:p>
        </w:tc>
        <w:tc>
          <w:tcPr>
            <w:tcW w:w="880" w:type="dxa"/>
            <w:vAlign w:val="bottom"/>
          </w:tcPr>
          <w:p>
            <w:pPr>
              <w:ind w:left="160"/>
              <w:spacing w:after="0"/>
              <w:rPr>
                <w:sz w:val="20"/>
                <w:szCs w:val="20"/>
                <w:color w:val="auto"/>
              </w:rPr>
            </w:pPr>
            <w:r>
              <w:rPr>
                <w:rFonts w:ascii="Courier New" w:cs="Courier New" w:eastAsia="Courier New" w:hAnsi="Courier New"/>
                <w:sz w:val="18"/>
                <w:szCs w:val="18"/>
                <w:color w:val="auto"/>
              </w:rPr>
              <w:t>8.</w:t>
            </w:r>
          </w:p>
        </w:tc>
        <w:tc>
          <w:tcPr>
            <w:tcW w:w="3120" w:type="dxa"/>
            <w:vAlign w:val="bottom"/>
          </w:tcPr>
          <w:p>
            <w:pPr>
              <w:spacing w:after="0"/>
              <w:rPr>
                <w:sz w:val="20"/>
                <w:szCs w:val="20"/>
                <w:color w:val="auto"/>
              </w:rPr>
            </w:pPr>
            <w:r>
              <w:rPr>
                <w:rFonts w:ascii="Courier New" w:cs="Courier New" w:eastAsia="Courier New" w:hAnsi="Courier New"/>
                <w:sz w:val="18"/>
                <w:szCs w:val="18"/>
                <w:color w:val="auto"/>
              </w:rPr>
              <w:t>Shared Dispositive Power</w:t>
            </w:r>
          </w:p>
        </w:tc>
        <w:tc>
          <w:tcPr>
            <w:tcW w:w="2900" w:type="dxa"/>
            <w:vAlign w:val="bottom"/>
          </w:tcPr>
          <w:p>
            <w:pPr>
              <w:ind w:left="580"/>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hanging="952"/>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4,850,094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1919" w:hanging="952"/>
        <w:spacing w:after="0" w:line="346" w:lineRule="auto"/>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(See Instructions)</w:t>
      </w:r>
    </w:p>
    <w:p>
      <w:pPr>
        <w:spacing w:after="0" w:line="20"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92" w:lineRule="exact"/>
        <w:rPr>
          <w:sz w:val="20"/>
          <w:szCs w:val="20"/>
          <w:color w:val="auto"/>
        </w:rPr>
      </w:pPr>
    </w:p>
    <w:p>
      <w:pPr>
        <w:ind w:left="960" w:right="4019" w:hanging="952"/>
        <w:spacing w:after="0" w:line="476"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4.87 %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24" w:lineRule="exact"/>
        <w:rPr>
          <w:sz w:val="20"/>
          <w:szCs w:val="20"/>
          <w:color w:val="auto"/>
        </w:rPr>
      </w:pPr>
    </w:p>
    <w:p>
      <w:pPr>
        <w:ind w:left="960" w:right="6559" w:hanging="952"/>
        <w:spacing w:after="0" w:line="585"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 FI</w:t>
      </w:r>
    </w:p>
    <w:p>
      <w:pPr>
        <w:sectPr>
          <w:pgSz w:w="11900" w:h="16838" w:orient="portrait"/>
          <w:cols w:equalWidth="0" w:num="1">
            <w:col w:w="10139"/>
          </w:cols>
          <w:pgMar w:left="320" w:top="110" w:right="1440"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4060" w:type="dxa"/>
            <w:vAlign w:val="bottom"/>
            <w:gridSpan w:val="2"/>
          </w:tcPr>
          <w:p>
            <w:pPr>
              <w:spacing w:after="0"/>
              <w:rPr>
                <w:sz w:val="20"/>
                <w:szCs w:val="20"/>
                <w:color w:val="auto"/>
              </w:rPr>
            </w:pPr>
            <w:r>
              <w:rPr>
                <w:rFonts w:ascii="Courier New" w:cs="Courier New" w:eastAsia="Courier New" w:hAnsi="Courier New"/>
                <w:sz w:val="18"/>
                <w:szCs w:val="18"/>
                <w:color w:val="auto"/>
              </w:rPr>
              <w:t>CUSIP No.: 60741F104</w:t>
            </w:r>
          </w:p>
        </w:tc>
        <w:tc>
          <w:tcPr>
            <w:tcW w:w="3160" w:type="dxa"/>
            <w:vAlign w:val="bottom"/>
          </w:tcPr>
          <w:p>
            <w:pPr>
              <w:ind w:left="2680"/>
              <w:spacing w:after="0"/>
              <w:rPr>
                <w:sz w:val="20"/>
                <w:szCs w:val="20"/>
                <w:color w:val="auto"/>
              </w:rPr>
            </w:pPr>
            <w:r>
              <w:rPr>
                <w:rFonts w:ascii="Courier New" w:cs="Courier New" w:eastAsia="Courier New" w:hAnsi="Courier New"/>
                <w:sz w:val="18"/>
                <w:szCs w:val="18"/>
                <w:color w:val="auto"/>
              </w:rPr>
              <w:t>Page</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3 of 5 Pages</w:t>
            </w:r>
          </w:p>
        </w:tc>
      </w:tr>
      <w:tr>
        <w:trPr>
          <w:trHeight w:val="608"/>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2680" w:type="dxa"/>
            <w:vAlign w:val="bottom"/>
          </w:tcPr>
          <w:p>
            <w:pPr>
              <w:ind w:left="320"/>
              <w:spacing w:after="0"/>
              <w:rPr>
                <w:sz w:val="20"/>
                <w:szCs w:val="20"/>
                <w:color w:val="auto"/>
              </w:rPr>
            </w:pPr>
            <w:r>
              <w:rPr>
                <w:rFonts w:ascii="Courier New" w:cs="Courier New" w:eastAsia="Courier New" w:hAnsi="Courier New"/>
                <w:sz w:val="18"/>
                <w:szCs w:val="18"/>
                <w:color w:val="auto"/>
              </w:rPr>
              <w:t>Name of Issuer:</w:t>
            </w:r>
          </w:p>
        </w:tc>
        <w:tc>
          <w:tcPr>
            <w:tcW w:w="3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05"/>
        </w:trPr>
        <w:tc>
          <w:tcPr>
            <w:tcW w:w="1380" w:type="dxa"/>
            <w:vAlign w:val="bottom"/>
          </w:tcPr>
          <w:p>
            <w:pPr>
              <w:spacing w:after="0"/>
              <w:rPr>
                <w:sz w:val="24"/>
                <w:szCs w:val="24"/>
                <w:color w:val="auto"/>
              </w:rPr>
            </w:pPr>
          </w:p>
        </w:tc>
        <w:tc>
          <w:tcPr>
            <w:tcW w:w="2680" w:type="dxa"/>
            <w:vAlign w:val="bottom"/>
          </w:tcPr>
          <w:p>
            <w:pPr>
              <w:ind w:left="320"/>
              <w:spacing w:after="0"/>
              <w:rPr>
                <w:sz w:val="20"/>
                <w:szCs w:val="20"/>
                <w:color w:val="auto"/>
              </w:rPr>
            </w:pPr>
            <w:r>
              <w:rPr>
                <w:rFonts w:ascii="Courier New" w:cs="Courier New" w:eastAsia="Courier New" w:hAnsi="Courier New"/>
                <w:sz w:val="18"/>
                <w:szCs w:val="18"/>
                <w:color w:val="auto"/>
              </w:rPr>
              <w:t>Mobileye Global Inc.</w:t>
            </w:r>
          </w:p>
        </w:tc>
        <w:tc>
          <w:tcPr>
            <w:tcW w:w="3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1"/>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1(b).</w:t>
            </w:r>
          </w:p>
        </w:tc>
        <w:tc>
          <w:tcPr>
            <w:tcW w:w="584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Address of Issuer's Principal Executive Offices:</w:t>
            </w:r>
          </w:p>
        </w:tc>
        <w:tc>
          <w:tcPr>
            <w:tcW w:w="1320" w:type="dxa"/>
            <w:vAlign w:val="bottom"/>
          </w:tcPr>
          <w:p>
            <w:pPr>
              <w:spacing w:after="0"/>
              <w:rPr>
                <w:sz w:val="24"/>
                <w:szCs w:val="24"/>
                <w:color w:val="auto"/>
              </w:rPr>
            </w:pPr>
          </w:p>
        </w:tc>
      </w:tr>
      <w:tr>
        <w:trPr>
          <w:trHeight w:val="203"/>
        </w:trPr>
        <w:tc>
          <w:tcPr>
            <w:tcW w:w="1380" w:type="dxa"/>
            <w:vAlign w:val="bottom"/>
          </w:tcPr>
          <w:p>
            <w:pPr>
              <w:spacing w:after="0"/>
              <w:rPr>
                <w:sz w:val="17"/>
                <w:szCs w:val="17"/>
                <w:color w:val="auto"/>
              </w:rPr>
            </w:pPr>
          </w:p>
        </w:tc>
        <w:tc>
          <w:tcPr>
            <w:tcW w:w="26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Har Hotzvim, 13 Hartom</w:t>
            </w:r>
          </w:p>
        </w:tc>
        <w:tc>
          <w:tcPr>
            <w:tcW w:w="3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Street</w:t>
            </w:r>
          </w:p>
        </w:tc>
        <w:tc>
          <w:tcPr>
            <w:tcW w:w="1320" w:type="dxa"/>
            <w:vAlign w:val="bottom"/>
          </w:tcPr>
          <w:p>
            <w:pPr>
              <w:spacing w:after="0"/>
              <w:rPr>
                <w:sz w:val="17"/>
                <w:szCs w:val="17"/>
                <w:color w:val="auto"/>
              </w:rPr>
            </w:pPr>
          </w:p>
        </w:tc>
      </w:tr>
      <w:tr>
        <w:trPr>
          <w:trHeight w:val="296"/>
        </w:trPr>
        <w:tc>
          <w:tcPr>
            <w:tcW w:w="1380" w:type="dxa"/>
            <w:vAlign w:val="bottom"/>
          </w:tcPr>
          <w:p>
            <w:pPr>
              <w:spacing w:after="0"/>
              <w:rPr>
                <w:sz w:val="24"/>
                <w:szCs w:val="24"/>
                <w:color w:val="auto"/>
              </w:rPr>
            </w:pPr>
          </w:p>
        </w:tc>
        <w:tc>
          <w:tcPr>
            <w:tcW w:w="2680" w:type="dxa"/>
            <w:vAlign w:val="bottom"/>
          </w:tcPr>
          <w:p>
            <w:pPr>
              <w:ind w:left="320"/>
              <w:spacing w:after="0"/>
              <w:rPr>
                <w:sz w:val="20"/>
                <w:szCs w:val="20"/>
                <w:color w:val="auto"/>
              </w:rPr>
            </w:pPr>
            <w:r>
              <w:rPr>
                <w:rFonts w:ascii="Courier New" w:cs="Courier New" w:eastAsia="Courier New" w:hAnsi="Courier New"/>
                <w:sz w:val="18"/>
                <w:szCs w:val="18"/>
                <w:color w:val="auto"/>
                <w:w w:val="98"/>
              </w:rPr>
              <w:t>PO Box 45157 Jerusalem</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9777513, Israel</w:t>
            </w:r>
          </w:p>
        </w:tc>
        <w:tc>
          <w:tcPr>
            <w:tcW w:w="1320" w:type="dxa"/>
            <w:vAlign w:val="bottom"/>
          </w:tcPr>
          <w:p>
            <w:pPr>
              <w:spacing w:after="0"/>
              <w:rPr>
                <w:sz w:val="24"/>
                <w:szCs w:val="24"/>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Item 2(a).</w:t>
            </w:r>
          </w:p>
        </w:tc>
        <w:tc>
          <w:tcPr>
            <w:tcW w:w="2680" w:type="dxa"/>
            <w:vAlign w:val="bottom"/>
          </w:tcPr>
          <w:p>
            <w:pPr>
              <w:ind w:left="320"/>
              <w:spacing w:after="0"/>
              <w:rPr>
                <w:sz w:val="20"/>
                <w:szCs w:val="20"/>
                <w:color w:val="auto"/>
              </w:rPr>
            </w:pPr>
            <w:r>
              <w:rPr>
                <w:rFonts w:ascii="Courier New" w:cs="Courier New" w:eastAsia="Courier New" w:hAnsi="Courier New"/>
                <w:sz w:val="18"/>
                <w:szCs w:val="18"/>
                <w:color w:val="auto"/>
                <w:w w:val="98"/>
              </w:rPr>
              <w:t>Name of Person Filing:</w:t>
            </w:r>
          </w:p>
        </w:tc>
        <w:tc>
          <w:tcPr>
            <w:tcW w:w="31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311"/>
        </w:trPr>
        <w:tc>
          <w:tcPr>
            <w:tcW w:w="1380" w:type="dxa"/>
            <w:vAlign w:val="bottom"/>
          </w:tcPr>
          <w:p>
            <w:pPr>
              <w:spacing w:after="0"/>
              <w:rPr>
                <w:sz w:val="24"/>
                <w:szCs w:val="24"/>
                <w:color w:val="auto"/>
              </w:rPr>
            </w:pPr>
          </w:p>
        </w:tc>
        <w:tc>
          <w:tcPr>
            <w:tcW w:w="584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9"/>
              </w:rPr>
              <w:t>This  Statement  is filed on behalf  of each of the</w:t>
            </w: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rPr>
              <w:t>following</w:t>
            </w:r>
          </w:p>
        </w:tc>
      </w:tr>
      <w:tr>
        <w:trPr>
          <w:trHeight w:val="296"/>
        </w:trPr>
        <w:tc>
          <w:tcPr>
            <w:tcW w:w="1380" w:type="dxa"/>
            <w:vAlign w:val="bottom"/>
          </w:tcPr>
          <w:p>
            <w:pPr>
              <w:spacing w:after="0"/>
              <w:rPr>
                <w:sz w:val="24"/>
                <w:szCs w:val="24"/>
                <w:color w:val="auto"/>
              </w:rPr>
            </w:pPr>
          </w:p>
        </w:tc>
        <w:tc>
          <w:tcPr>
            <w:tcW w:w="2680" w:type="dxa"/>
            <w:vAlign w:val="bottom"/>
          </w:tcPr>
          <w:p>
            <w:pPr>
              <w:ind w:left="320"/>
              <w:spacing w:after="0"/>
              <w:rPr>
                <w:sz w:val="20"/>
                <w:szCs w:val="20"/>
                <w:color w:val="auto"/>
              </w:rPr>
            </w:pPr>
            <w:r>
              <w:rPr>
                <w:rFonts w:ascii="Courier New" w:cs="Courier New" w:eastAsia="Courier New" w:hAnsi="Courier New"/>
                <w:sz w:val="18"/>
                <w:szCs w:val="18"/>
                <w:color w:val="auto"/>
                <w:w w:val="98"/>
              </w:rPr>
              <w:t>persons (collectively,</w:t>
            </w:r>
          </w:p>
        </w:tc>
        <w:tc>
          <w:tcPr>
            <w:tcW w:w="3160" w:type="dxa"/>
            <w:vAlign w:val="bottom"/>
          </w:tcPr>
          <w:p>
            <w:pPr>
              <w:ind w:left="60"/>
              <w:spacing w:after="0"/>
              <w:rPr>
                <w:sz w:val="20"/>
                <w:szCs w:val="20"/>
                <w:color w:val="auto"/>
              </w:rPr>
            </w:pPr>
            <w:r>
              <w:rPr>
                <w:rFonts w:ascii="Courier New" w:cs="Courier New" w:eastAsia="Courier New" w:hAnsi="Courier New"/>
                <w:sz w:val="18"/>
                <w:szCs w:val="18"/>
                <w:color w:val="auto"/>
              </w:rPr>
              <w:t>the "Reporting Persons"):</w:t>
            </w:r>
          </w:p>
        </w:tc>
        <w:tc>
          <w:tcPr>
            <w:tcW w:w="1320" w:type="dxa"/>
            <w:vAlign w:val="bottom"/>
          </w:tcPr>
          <w:p>
            <w:pPr>
              <w:spacing w:after="0"/>
              <w:rPr>
                <w:sz w:val="24"/>
                <w:szCs w:val="24"/>
                <w:color w:val="auto"/>
              </w:rPr>
            </w:pPr>
          </w:p>
        </w:tc>
      </w:tr>
    </w:tbl>
    <w:p>
      <w:pPr>
        <w:spacing w:after="0" w:line="10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NORGES BANK (CENTRAL BANK OF NORWAY)</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9"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Bankplassen 2</w:t>
      </w:r>
    </w:p>
    <w:p>
      <w:pPr>
        <w:ind w:left="1700"/>
        <w:spacing w:after="0" w:line="238" w:lineRule="auto"/>
        <w:rPr>
          <w:sz w:val="20"/>
          <w:szCs w:val="20"/>
          <w:color w:val="auto"/>
        </w:rPr>
      </w:pPr>
      <w:r>
        <w:rPr>
          <w:rFonts w:ascii="Courier New" w:cs="Courier New" w:eastAsia="Courier New" w:hAnsi="Courier New"/>
          <w:sz w:val="18"/>
          <w:szCs w:val="18"/>
          <w:color w:val="auto"/>
        </w:rPr>
        <w:t>PO Box 1179 Sentrum</w:t>
      </w:r>
    </w:p>
    <w:p>
      <w:pPr>
        <w:ind w:left="1700"/>
        <w:spacing w:after="0" w:line="238" w:lineRule="auto"/>
        <w:rPr>
          <w:sz w:val="20"/>
          <w:szCs w:val="20"/>
          <w:color w:val="auto"/>
        </w:rPr>
      </w:pPr>
      <w:r>
        <w:rPr>
          <w:rFonts w:ascii="Courier New" w:cs="Courier New" w:eastAsia="Courier New" w:hAnsi="Courier New"/>
          <w:sz w:val="18"/>
          <w:szCs w:val="18"/>
          <w:color w:val="auto"/>
        </w:rPr>
        <w:t>NO 0107 Oslo</w:t>
      </w:r>
    </w:p>
    <w:p>
      <w:pPr>
        <w:spacing w:after="0" w:line="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Norway</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Norwegian</w:t>
      </w:r>
    </w:p>
    <w:p>
      <w:pPr>
        <w:spacing w:after="0" w:line="169"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Class A common stock, par value $0.01</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60741F104</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240.13d-1(b) or</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240.13d-2(b) or (c), check whether the person filing is a:</w:t>
      </w:r>
    </w:p>
    <w:p>
      <w:pPr>
        <w:spacing w:after="0" w:line="169" w:lineRule="exact"/>
        <w:rPr>
          <w:sz w:val="20"/>
          <w:szCs w:val="20"/>
          <w:color w:val="auto"/>
        </w:rPr>
      </w:pPr>
    </w:p>
    <w:p>
      <w:pPr>
        <w:ind w:left="860" w:right="349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 (15 U.S.C. 78o);</w:t>
      </w:r>
    </w:p>
    <w:p>
      <w:pPr>
        <w:spacing w:after="0" w:line="19"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 (15 U.S.C. 78c);</w:t>
      </w:r>
    </w:p>
    <w:p>
      <w:pPr>
        <w:spacing w:after="0" w:line="201" w:lineRule="exact"/>
        <w:rPr>
          <w:rFonts w:ascii="Courier New" w:cs="Courier New" w:eastAsia="Courier New" w:hAnsi="Courier New"/>
          <w:sz w:val="18"/>
          <w:szCs w:val="18"/>
          <w:color w:val="auto"/>
        </w:rPr>
      </w:pPr>
    </w:p>
    <w:p>
      <w:pPr>
        <w:ind w:left="860" w:right="307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 (15 U.S.C. 78c);</w:t>
      </w:r>
    </w:p>
    <w:p>
      <w:pPr>
        <w:spacing w:after="0" w:line="19" w:lineRule="exact"/>
        <w:rPr>
          <w:rFonts w:ascii="Courier New" w:cs="Courier New" w:eastAsia="Courier New" w:hAnsi="Courier New"/>
          <w:sz w:val="18"/>
          <w:szCs w:val="18"/>
          <w:color w:val="auto"/>
        </w:rPr>
      </w:pPr>
    </w:p>
    <w:p>
      <w:pPr>
        <w:ind w:left="860" w:right="22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 of 1940 (15 U.S.C 80a-8);</w:t>
      </w:r>
    </w:p>
    <w:p>
      <w:pPr>
        <w:spacing w:after="0" w:line="19" w:lineRule="exact"/>
        <w:rPr>
          <w:rFonts w:ascii="Courier New" w:cs="Courier New" w:eastAsia="Courier New" w:hAnsi="Courier New"/>
          <w:sz w:val="18"/>
          <w:szCs w:val="18"/>
          <w:color w:val="auto"/>
        </w:rPr>
      </w:pPr>
    </w:p>
    <w:p>
      <w:pPr>
        <w:ind w:left="860" w:right="4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investment adviser in accordance with rule 240.13d-1(b)(1)(ii)(E);</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An employee benefit plan or endowment fund in accordance with 240.13d-1(b)(1)(ii)(F);</w:t>
      </w:r>
    </w:p>
    <w:p>
      <w:pPr>
        <w:spacing w:after="0" w:line="19" w:lineRule="exact"/>
        <w:rPr>
          <w:rFonts w:ascii="Courier New" w:cs="Courier New" w:eastAsia="Courier New" w:hAnsi="Courier New"/>
          <w:sz w:val="18"/>
          <w:szCs w:val="18"/>
          <w:color w:val="auto"/>
        </w:rPr>
      </w:pPr>
    </w:p>
    <w:p>
      <w:pPr>
        <w:ind w:left="860" w:right="243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parent holding company or control person in accordance with rule 240.13d-1(b)(1)(ii)(G);</w:t>
      </w:r>
    </w:p>
    <w:p>
      <w:pPr>
        <w:spacing w:after="0" w:line="19" w:lineRule="exact"/>
        <w:rPr>
          <w:rFonts w:ascii="Courier New" w:cs="Courier New" w:eastAsia="Courier New" w:hAnsi="Courier New"/>
          <w:sz w:val="18"/>
          <w:szCs w:val="18"/>
          <w:color w:val="auto"/>
        </w:rPr>
      </w:pPr>
    </w:p>
    <w:p>
      <w:pPr>
        <w:ind w:left="860" w:right="2119" w:hanging="852"/>
        <w:spacing w:after="0" w:line="346"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line="19" w:lineRule="exact"/>
        <w:rPr>
          <w:rFonts w:ascii="Courier New" w:cs="Courier New" w:eastAsia="Courier New" w:hAnsi="Courier New"/>
          <w:sz w:val="18"/>
          <w:szCs w:val="18"/>
          <w:color w:val="auto"/>
        </w:rPr>
      </w:pPr>
    </w:p>
    <w:p>
      <w:pPr>
        <w:ind w:left="860" w:right="1819" w:hanging="852"/>
        <w:spacing w:after="0" w:line="292" w:lineRule="auto"/>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A church plan that is excluded from the definition of an investment company under section 3(c)(14) of the Investment Company Act of 1940 (15 U.S.C. 80a-3);</w:t>
      </w:r>
    </w:p>
    <w:p>
      <w:pPr>
        <w:spacing w:after="0" w:line="65"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A non-U.S. institution in accordance with 240.13d-1(b)(1)(ii)(J);</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 in accordance with 240.13d-1(b)(1)(ii)(K). If filing</w:t>
      </w:r>
    </w:p>
    <w:p>
      <w:pPr>
        <w:spacing w:after="0" w:line="30" w:lineRule="exact"/>
        <w:rPr>
          <w:rFonts w:ascii="Courier New" w:cs="Courier New" w:eastAsia="Courier New" w:hAnsi="Courier New"/>
          <w:sz w:val="18"/>
          <w:szCs w:val="18"/>
          <w:color w:val="auto"/>
        </w:rPr>
      </w:pPr>
    </w:p>
    <w:p>
      <w:pPr>
        <w:ind w:left="860" w:right="223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as a non-U.S. institution in accordance with 240.13d-1(b)(1)(ii)(J) please specify the type of institution: investment adviser.</w:t>
      </w:r>
    </w:p>
    <w:p>
      <w:pPr>
        <w:sectPr>
          <w:pgSz w:w="11900" w:h="16838" w:orient="portrait"/>
          <w:cols w:equalWidth="0" w:num="1">
            <w:col w:w="10139"/>
          </w:cols>
          <w:pgMar w:left="320" w:top="690" w:right="1440" w:bottom="1440" w:gutter="0" w:footer="0" w:header="0"/>
        </w:sectPr>
      </w:pPr>
    </w:p>
    <w:bookmarkStart w:id="3" w:name="page4"/>
    <w:bookmarkEnd w:id="3"/>
    <w:p>
      <w:pPr>
        <w:spacing w:after="0"/>
        <w:tabs>
          <w:tab w:leader="none" w:pos="67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4 of 5 Pages</w:t>
      </w:r>
    </w:p>
    <w:p>
      <w:pPr>
        <w:spacing w:after="0" w:line="201"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Item 4(a)-(c)(iv).</w:t>
      </w:r>
      <w:r>
        <w:rPr>
          <w:sz w:val="20"/>
          <w:szCs w:val="20"/>
          <w:color w:val="auto"/>
        </w:rPr>
        <w:tab/>
      </w:r>
      <w:r>
        <w:rPr>
          <w:rFonts w:ascii="Courier New" w:cs="Courier New" w:eastAsia="Courier New" w:hAnsi="Courier New"/>
          <w:sz w:val="16"/>
          <w:szCs w:val="16"/>
          <w:color w:val="auto"/>
        </w:rPr>
        <w:t>Ownership: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Items 5-11 of the cover pages are incorporated by reference.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1" w:lineRule="exact"/>
        <w:rPr>
          <w:sz w:val="20"/>
          <w:szCs w:val="20"/>
          <w:color w:val="auto"/>
        </w:rPr>
      </w:pPr>
    </w:p>
    <w:p>
      <w:pPr>
        <w:jc w:val="both"/>
        <w:ind w:right="2019" w:firstLine="1895"/>
        <w:spacing w:after="0" w:line="344"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securities, check the following [x].</w:t>
      </w:r>
    </w:p>
    <w:p>
      <w:pPr>
        <w:spacing w:after="0" w:line="233" w:lineRule="exact"/>
        <w:rPr>
          <w:sz w:val="20"/>
          <w:szCs w:val="20"/>
          <w:color w:val="auto"/>
        </w:rPr>
      </w:pPr>
    </w:p>
    <w:p>
      <w:pPr>
        <w:ind w:left="1900" w:right="2339" w:hanging="1895"/>
        <w:spacing w:after="0" w:line="346" w:lineRule="auto"/>
        <w:tabs>
          <w:tab w:leader="none" w:pos="188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8"/>
          <w:szCs w:val="18"/>
          <w:color w:val="auto"/>
        </w:rPr>
        <w:t>Ownership of More than Five Percent on Behalf of Another Person:</w:t>
      </w:r>
    </w:p>
    <w:p>
      <w:pPr>
        <w:spacing w:after="0" w:line="20"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6 is not applicable.</w:t>
      </w:r>
    </w:p>
    <w:p>
      <w:pPr>
        <w:spacing w:after="0" w:line="201" w:lineRule="exact"/>
        <w:rPr>
          <w:sz w:val="20"/>
          <w:szCs w:val="20"/>
          <w:color w:val="auto"/>
        </w:rPr>
      </w:pPr>
    </w:p>
    <w:p>
      <w:pPr>
        <w:ind w:left="1900" w:right="1819" w:hanging="1894"/>
        <w:spacing w:after="0" w:line="292" w:lineRule="auto"/>
        <w:tabs>
          <w:tab w:leader="none" w:pos="188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8"/>
          <w:szCs w:val="18"/>
          <w:color w:val="auto"/>
        </w:rPr>
        <w:t>Identification and Classification of the Subsidiary Which Acquired the Security Being Reported on By the Parent Holding Company:</w:t>
      </w:r>
    </w:p>
    <w:p>
      <w:pPr>
        <w:spacing w:after="0" w:line="6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7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8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This Item 9 is not applicable.</w:t>
      </w:r>
    </w:p>
    <w:p>
      <w:pPr>
        <w:spacing w:after="0" w:line="201"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1" w:lineRule="exact"/>
        <w:rPr>
          <w:sz w:val="20"/>
          <w:szCs w:val="20"/>
          <w:color w:val="auto"/>
        </w:rPr>
      </w:pPr>
    </w:p>
    <w:p>
      <w:pPr>
        <w:ind w:right="1919" w:firstLine="1896"/>
        <w:spacing w:after="0" w:line="253"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section 240.14a-11.</w:t>
      </w:r>
    </w:p>
    <w:p>
      <w:pPr>
        <w:spacing w:after="0" w:line="103" w:lineRule="exact"/>
        <w:rPr>
          <w:sz w:val="20"/>
          <w:szCs w:val="20"/>
          <w:color w:val="auto"/>
        </w:rPr>
      </w:pPr>
    </w:p>
    <w:p>
      <w:pPr>
        <w:ind w:right="1919" w:firstLine="1896"/>
        <w:spacing w:after="0" w:line="256"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foreign regulatory scheme applicable to the investment management division of Norges Bank, the central bank of Norway, is substantially comparable to the regulatory scheme applicable to the functionally equivalent U.S. institution(s). I also undertake to furnish to the Commission staff, upon request, information that would otherwise be disclosed in a Schedule 13D.</w:t>
      </w:r>
    </w:p>
    <w:p>
      <w:pPr>
        <w:sectPr>
          <w:pgSz w:w="11900" w:h="16838" w:orient="portrait"/>
          <w:cols w:equalWidth="0" w:num="1">
            <w:col w:w="10139"/>
          </w:cols>
          <w:pgMar w:left="320" w:top="690" w:right="1440" w:bottom="1440" w:gutter="0" w:footer="0" w:header="0"/>
        </w:sectPr>
      </w:pPr>
    </w:p>
    <w:bookmarkStart w:id="4" w:name="page5"/>
    <w:bookmarkEnd w:id="4"/>
    <w:p>
      <w:pPr>
        <w:spacing w:after="0"/>
        <w:tabs>
          <w:tab w:leader="none" w:pos="6620" w:val="left"/>
        </w:tabs>
        <w:rPr>
          <w:sz w:val="20"/>
          <w:szCs w:val="20"/>
          <w:color w:val="auto"/>
        </w:rPr>
      </w:pPr>
      <w:r>
        <w:rPr>
          <w:rFonts w:ascii="Courier New" w:cs="Courier New" w:eastAsia="Courier New" w:hAnsi="Courier New"/>
          <w:sz w:val="18"/>
          <w:szCs w:val="18"/>
          <w:color w:val="auto"/>
        </w:rPr>
        <w:t>CUSIP No.: 60741F104</w:t>
      </w:r>
      <w:r>
        <w:rPr>
          <w:sz w:val="20"/>
          <w:szCs w:val="20"/>
          <w:color w:val="auto"/>
        </w:rPr>
        <w:tab/>
      </w:r>
      <w:r>
        <w:rPr>
          <w:rFonts w:ascii="Courier New" w:cs="Courier New" w:eastAsia="Courier New" w:hAnsi="Courier New"/>
          <w:sz w:val="16"/>
          <w:szCs w:val="16"/>
          <w:color w:val="auto"/>
        </w:rPr>
        <w:t>Page 5 of 5 Pages</w:t>
      </w:r>
    </w:p>
    <w:p>
      <w:pPr>
        <w:spacing w:after="0" w:line="200" w:lineRule="exact"/>
        <w:rPr>
          <w:sz w:val="20"/>
          <w:szCs w:val="20"/>
          <w:color w:val="auto"/>
        </w:rPr>
      </w:pPr>
    </w:p>
    <w:p>
      <w:pPr>
        <w:spacing w:after="0" w:line="204"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169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NORGES BANK</w:t>
      </w:r>
    </w:p>
    <w:tbl>
      <w:tblPr>
        <w:tblLayout w:type="fixed"/>
        <w:tblInd w:w="0" w:type="dxa"/>
        <w:tblCellMar>
          <w:top w:w="0" w:type="dxa"/>
          <w:left w:w="0" w:type="dxa"/>
          <w:bottom w:w="0" w:type="dxa"/>
          <w:right w:w="0" w:type="dxa"/>
        </w:tblCellMar>
      </w:tblPr>
      <w:tr>
        <w:trPr>
          <w:trHeight w:val="201"/>
        </w:trPr>
        <w:tc>
          <w:tcPr>
            <w:tcW w:w="4640" w:type="dxa"/>
            <w:vAlign w:val="bottom"/>
          </w:tcPr>
          <w:p>
            <w:pPr>
              <w:spacing w:after="0" w:line="201" w:lineRule="exact"/>
              <w:rPr>
                <w:sz w:val="20"/>
                <w:szCs w:val="20"/>
                <w:color w:val="auto"/>
              </w:rPr>
            </w:pPr>
            <w:r>
              <w:rPr>
                <w:rFonts w:ascii="Courier New" w:cs="Courier New" w:eastAsia="Courier New" w:hAnsi="Courier New"/>
                <w:sz w:val="18"/>
                <w:szCs w:val="18"/>
                <w:color w:val="auto"/>
              </w:rPr>
              <w:t>Date: October 15, 2024</w:t>
            </w:r>
          </w:p>
        </w:tc>
        <w:tc>
          <w:tcPr>
            <w:tcW w:w="5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/s/</w:t>
            </w:r>
          </w:p>
        </w:tc>
        <w:tc>
          <w:tcPr>
            <w:tcW w:w="268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Aya Sobhy</w:t>
            </w:r>
          </w:p>
        </w:tc>
        <w:tc>
          <w:tcPr>
            <w:tcW w:w="0" w:type="dxa"/>
            <w:vAlign w:val="bottom"/>
          </w:tcPr>
          <w:p>
            <w:pPr>
              <w:spacing w:after="0"/>
              <w:rPr>
                <w:sz w:val="1"/>
                <w:szCs w:val="1"/>
                <w:color w:val="auto"/>
              </w:rPr>
            </w:pPr>
          </w:p>
        </w:tc>
      </w:tr>
      <w:tr>
        <w:trPr>
          <w:trHeight w:val="203"/>
        </w:trPr>
        <w:tc>
          <w:tcPr>
            <w:tcW w:w="4640" w:type="dxa"/>
            <w:vAlign w:val="bottom"/>
          </w:tcPr>
          <w:p>
            <w:pPr>
              <w:ind w:left="3800"/>
              <w:spacing w:after="0" w:line="203" w:lineRule="exact"/>
              <w:rPr>
                <w:sz w:val="20"/>
                <w:szCs w:val="20"/>
                <w:color w:val="auto"/>
              </w:rPr>
            </w:pPr>
            <w:r>
              <w:rPr>
                <w:rFonts w:ascii="Courier New" w:cs="Courier New" w:eastAsia="Courier New" w:hAnsi="Courier New"/>
                <w:sz w:val="18"/>
                <w:szCs w:val="18"/>
                <w:color w:val="auto"/>
              </w:rPr>
              <w:t>By:</w:t>
            </w:r>
          </w:p>
        </w:tc>
        <w:tc>
          <w:tcPr>
            <w:tcW w:w="580" w:type="dxa"/>
            <w:vAlign w:val="bottom"/>
            <w:vMerge w:val="continue"/>
          </w:tcPr>
          <w:p>
            <w:pPr>
              <w:spacing w:after="0"/>
              <w:rPr>
                <w:sz w:val="17"/>
                <w:szCs w:val="17"/>
                <w:color w:val="auto"/>
              </w:rPr>
            </w:pPr>
          </w:p>
        </w:tc>
        <w:tc>
          <w:tcPr>
            <w:tcW w:w="26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40" w:type="dxa"/>
            <w:vAlign w:val="bottom"/>
            <w:vMerge w:val="restart"/>
          </w:tcPr>
          <w:p>
            <w:pPr>
              <w:ind w:left="3800"/>
              <w:spacing w:after="0"/>
              <w:rPr>
                <w:sz w:val="20"/>
                <w:szCs w:val="20"/>
                <w:color w:val="auto"/>
              </w:rPr>
            </w:pPr>
            <w:r>
              <w:rPr>
                <w:rFonts w:ascii="Courier New" w:cs="Courier New" w:eastAsia="Courier New" w:hAnsi="Courier New"/>
                <w:sz w:val="18"/>
                <w:szCs w:val="18"/>
                <w:color w:val="auto"/>
              </w:rPr>
              <w:t>Name:</w:t>
            </w:r>
          </w:p>
        </w:tc>
        <w:tc>
          <w:tcPr>
            <w:tcW w:w="580" w:type="dxa"/>
            <w:vAlign w:val="bottom"/>
            <w:vMerge w:val="restart"/>
          </w:tcPr>
          <w:p>
            <w:pPr>
              <w:ind w:left="220"/>
              <w:spacing w:after="0"/>
              <w:rPr>
                <w:sz w:val="20"/>
                <w:szCs w:val="20"/>
                <w:color w:val="auto"/>
              </w:rPr>
            </w:pPr>
            <w:r>
              <w:rPr>
                <w:rFonts w:ascii="Courier New" w:cs="Courier New" w:eastAsia="Courier New" w:hAnsi="Courier New"/>
                <w:sz w:val="18"/>
                <w:szCs w:val="18"/>
                <w:color w:val="auto"/>
              </w:rPr>
              <w:t>Aya</w:t>
            </w: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4640" w:type="dxa"/>
            <w:vAlign w:val="bottom"/>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2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Sobhy</w:t>
            </w:r>
          </w:p>
        </w:tc>
        <w:tc>
          <w:tcPr>
            <w:tcW w:w="0" w:type="dxa"/>
            <w:vAlign w:val="bottom"/>
          </w:tcPr>
          <w:p>
            <w:pPr>
              <w:spacing w:after="0"/>
              <w:rPr>
                <w:sz w:val="1"/>
                <w:szCs w:val="1"/>
                <w:color w:val="auto"/>
              </w:rPr>
            </w:pPr>
          </w:p>
        </w:tc>
      </w:tr>
      <w:tr>
        <w:trPr>
          <w:trHeight w:val="296"/>
        </w:trPr>
        <w:tc>
          <w:tcPr>
            <w:tcW w:w="4640" w:type="dxa"/>
            <w:vAlign w:val="bottom"/>
          </w:tcPr>
          <w:p>
            <w:pPr>
              <w:ind w:left="3800"/>
              <w:spacing w:after="0"/>
              <w:rPr>
                <w:sz w:val="20"/>
                <w:szCs w:val="20"/>
                <w:color w:val="auto"/>
              </w:rPr>
            </w:pPr>
            <w:r>
              <w:rPr>
                <w:rFonts w:ascii="Courier New" w:cs="Courier New" w:eastAsia="Courier New" w:hAnsi="Courier New"/>
                <w:sz w:val="18"/>
                <w:szCs w:val="18"/>
                <w:color w:val="auto"/>
              </w:rPr>
              <w:t>Title:</w:t>
            </w:r>
          </w:p>
        </w:tc>
        <w:tc>
          <w:tcPr>
            <w:tcW w:w="3260" w:type="dxa"/>
            <w:vAlign w:val="bottom"/>
            <w:gridSpan w:val="2"/>
          </w:tcPr>
          <w:p>
            <w:pPr>
              <w:ind w:left="220"/>
              <w:spacing w:after="0"/>
              <w:rPr>
                <w:sz w:val="20"/>
                <w:szCs w:val="20"/>
                <w:color w:val="auto"/>
              </w:rPr>
            </w:pPr>
            <w:r>
              <w:rPr>
                <w:rFonts w:ascii="Courier New" w:cs="Courier New" w:eastAsia="Courier New" w:hAnsi="Courier New"/>
                <w:sz w:val="18"/>
                <w:szCs w:val="18"/>
                <w:color w:val="auto"/>
                <w:w w:val="96"/>
              </w:rPr>
              <w:t>Regulatory Compliance Advisor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139"/>
      </w:cols>
      <w:pgMar w:left="320" w:top="6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2]"/>
      <w:numFmt w:val="upperLetter"/>
      <w:start w:val="24"/>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lvl w:ilvl="1">
      <w:lvlJc w:val="left"/>
      <w:lvlText w:val="(%2)"/>
      <w:numFmt w:val="lowerLetter"/>
      <w:start w:val="1"/>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9"/>
    </w:lvl>
  </w:abstractNum>
  <w:abstractNum w:abstractNumId="5">
    <w:nsid w:val="79E2A9E3"/>
    <w:multiLevelType w:val="hybridMultilevel"/>
    <w:lvl w:ilvl="0">
      <w:lvlJc w:val="left"/>
      <w:lvlText w:val="%1."/>
      <w:numFmt w:val="decimal"/>
      <w:start w:val="10"/>
    </w:lvl>
  </w:abstractNum>
  <w:abstractNum w:abstractNumId="6">
    <w:nsid w:val="7545E146"/>
    <w:multiLevelType w:val="hybridMultilevel"/>
    <w:lvl w:ilvl="0">
      <w:lvlJc w:val="left"/>
      <w:lvlText w:val="%1."/>
      <w:numFmt w:val="decimal"/>
      <w:start w:val="11"/>
    </w:lvl>
  </w:abstractNum>
  <w:abstractNum w:abstractNumId="7">
    <w:nsid w:val="515F007C"/>
    <w:multiLevelType w:val="hybridMultilevel"/>
    <w:lvl w:ilvl="0">
      <w:lvlJc w:val="left"/>
      <w:lvlText w:val="%1."/>
      <w:numFmt w:val="decimal"/>
      <w:start w:val="12"/>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2024-10-15T13:57:05Z</dcterms:created>
  <dcterms:modified xsi:type="dcterms:W3CDTF">2024-10-15T13:57:05Z</dcterms:modified>
</cp:coreProperties>
</file>