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Mobileye Global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par value $0.01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60741F104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 20,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60741F104</w:t>
      </w:r>
    </w:p>
    <w:p>
      <w:pPr>
        <w:spacing w:after="0" w:line="171"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Master Fund,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860" w:hanging="312"/>
        <w:spacing w:after="0"/>
        <w:tabs>
          <w:tab w:leader="none" w:pos="18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4,750,000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4,750,000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4,750,000</w:t>
      </w:r>
    </w:p>
    <w:p>
      <w:pPr>
        <w:spacing w:after="0" w:line="36" w:lineRule="exact"/>
        <w:rPr>
          <w:sz w:val="20"/>
          <w:szCs w:val="20"/>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60741F104</w:t>
      </w:r>
    </w:p>
    <w:p>
      <w:pPr>
        <w:spacing w:after="0" w:line="171"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Capital Advisors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4,750,000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4,750,000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4,750,000</w:t>
      </w:r>
    </w:p>
    <w:p>
      <w:pPr>
        <w:spacing w:after="0" w:line="36" w:lineRule="exact"/>
        <w:rPr>
          <w:sz w:val="20"/>
          <w:szCs w:val="20"/>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66"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60741F104</w:t>
      </w:r>
    </w:p>
    <w:p>
      <w:pPr>
        <w:spacing w:after="0" w:line="171"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Capital Advisors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4,750,000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4,750,000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4,750,000</w:t>
      </w:r>
    </w:p>
    <w:p>
      <w:pPr>
        <w:spacing w:after="0" w:line="36" w:lineRule="exact"/>
        <w:rPr>
          <w:sz w:val="20"/>
          <w:szCs w:val="20"/>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ectPr>
          <w:pgSz w:w="11900" w:h="16838" w:orient="portrait"/>
          <w:cols w:equalWidth="0" w:num="1">
            <w:col w:w="10900"/>
          </w:cols>
          <w:pgMar w:left="440" w:top="26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60741F104</w:t>
      </w:r>
    </w:p>
    <w:p>
      <w:pPr>
        <w:spacing w:after="0" w:line="171" w:lineRule="exact"/>
        <w:rPr>
          <w:sz w:val="20"/>
          <w:szCs w:val="20"/>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GP, LP</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4,750,000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4,750,000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4,750,000</w:t>
      </w:r>
    </w:p>
    <w:p>
      <w:pPr>
        <w:spacing w:after="0" w:line="36" w:lineRule="exact"/>
        <w:rPr>
          <w:sz w:val="20"/>
          <w:szCs w:val="20"/>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(Limited Partnership)</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60741F104</w:t>
      </w:r>
    </w:p>
    <w:p>
      <w:pPr>
        <w:spacing w:after="0" w:line="171" w:lineRule="exact"/>
        <w:rPr>
          <w:sz w:val="20"/>
          <w:szCs w:val="20"/>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Southpoint GP,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4,750,000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4,750,000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4,750,000</w:t>
      </w:r>
    </w:p>
    <w:p>
      <w:pPr>
        <w:spacing w:after="0" w:line="36" w:lineRule="exact"/>
        <w:rPr>
          <w:sz w:val="20"/>
          <w:szCs w:val="20"/>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(Limited Liability Company)</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60741F104</w:t>
      </w:r>
    </w:p>
    <w:p>
      <w:pPr>
        <w:spacing w:after="0" w:line="171" w:lineRule="exact"/>
        <w:rPr>
          <w:sz w:val="20"/>
          <w:szCs w:val="20"/>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 Clark II</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United States</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4,750,000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4,750,000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4,750,000</w:t>
      </w:r>
    </w:p>
    <w:p>
      <w:pPr>
        <w:spacing w:after="0" w:line="36" w:lineRule="exact"/>
        <w:rPr>
          <w:sz w:val="20"/>
          <w:szCs w:val="20"/>
          <w:color w:val="auto"/>
        </w:rPr>
      </w:pPr>
    </w:p>
    <w:p>
      <w:pPr>
        <w:ind w:left="520" w:hanging="367"/>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66"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7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Mobileye Global Inc. (the “Issuer”)</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000" w:type="dxa"/>
            <w:vAlign w:val="bottom"/>
          </w:tcPr>
          <w:p>
            <w:pPr>
              <w:spacing w:after="0"/>
              <w:rPr>
                <w:sz w:val="24"/>
                <w:szCs w:val="24"/>
                <w:color w:val="auto"/>
              </w:rPr>
            </w:pPr>
          </w:p>
        </w:tc>
        <w:tc>
          <w:tcPr>
            <w:tcW w:w="36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c/o Mobileye B.V.</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Har Hotzvim, Shlomo Momo HaLevi Street 1</w:t>
            </w:r>
          </w:p>
        </w:tc>
        <w:tc>
          <w:tcPr>
            <w:tcW w:w="7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Jerusalem 9777015, Israel</w:t>
            </w:r>
          </w:p>
        </w:tc>
        <w:tc>
          <w:tcPr>
            <w:tcW w:w="7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Names of Persons Filing:</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name of the persons filing this report (the “Reporting Persons”) are:</w:t>
            </w: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   Southpoint Master Fund, LP</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(ii)   Southpoint Capital Advisors LP</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(iii)  Southpoint Capital Advisors LLC</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(iv)  Southpoint GP, LP</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    Southpoint GP, LLC</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(vi)  John S. Clark II</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500" w:type="dxa"/>
            <w:vAlign w:val="bottom"/>
            <w:gridSpan w:val="3"/>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tc>
      </w:tr>
      <w:tr>
        <w:trPr>
          <w:trHeight w:val="306"/>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1114 Avenue of the Americas,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New York, NY 10036</w:t>
            </w:r>
          </w:p>
        </w:tc>
        <w:tc>
          <w:tcPr>
            <w:tcW w:w="7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Southpoint Master Fund, LP:</w:t>
            </w:r>
          </w:p>
        </w:tc>
        <w:tc>
          <w:tcPr>
            <w:tcW w:w="4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Southpoint Capital Advisors LP:</w:t>
            </w:r>
          </w:p>
        </w:tc>
        <w:tc>
          <w:tcPr>
            <w:tcW w:w="4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Southpoint Capital Advisors LLC:</w:t>
            </w:r>
          </w:p>
        </w:tc>
        <w:tc>
          <w:tcPr>
            <w:tcW w:w="4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Southpoint GP, LP:</w:t>
            </w:r>
          </w:p>
        </w:tc>
        <w:tc>
          <w:tcPr>
            <w:tcW w:w="4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Southpoint GP, LLC:</w:t>
            </w:r>
          </w:p>
        </w:tc>
        <w:tc>
          <w:tcPr>
            <w:tcW w:w="4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324"/>
        </w:trPr>
        <w:tc>
          <w:tcPr>
            <w:tcW w:w="10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John S. Clark II:</w:t>
            </w:r>
          </w:p>
        </w:tc>
        <w:tc>
          <w:tcPr>
            <w:tcW w:w="4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00" w:type="dxa"/>
            <w:vAlign w:val="bottom"/>
          </w:tcPr>
          <w:p>
            <w:pPr>
              <w:spacing w:after="0"/>
              <w:rPr>
                <w:sz w:val="24"/>
                <w:szCs w:val="24"/>
                <w:color w:val="auto"/>
              </w:rPr>
            </w:pP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Class A Common Stock, par value $0.01 (“Class A Common Stock”)</w:t>
            </w: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5"/>
        </w:trPr>
        <w:tc>
          <w:tcPr>
            <w:tcW w:w="1000" w:type="dxa"/>
            <w:vAlign w:val="bottom"/>
          </w:tcPr>
          <w:p>
            <w:pPr>
              <w:spacing w:after="0"/>
              <w:rPr>
                <w:sz w:val="24"/>
                <w:szCs w:val="24"/>
                <w:color w:val="auto"/>
              </w:rPr>
            </w:pPr>
          </w:p>
        </w:tc>
        <w:tc>
          <w:tcPr>
            <w:tcW w:w="1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60741F104</w:t>
            </w:r>
          </w:p>
        </w:tc>
        <w:tc>
          <w:tcPr>
            <w:tcW w:w="258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5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 240.13d-1(b) or 240.13d-2(b) or (c), check whether the person filing is a:</w:t>
            </w:r>
          </w:p>
        </w:tc>
      </w:tr>
      <w:tr>
        <w:trPr>
          <w:trHeight w:val="344"/>
        </w:trPr>
        <w:tc>
          <w:tcPr>
            <w:tcW w:w="1000" w:type="dxa"/>
            <w:vAlign w:val="bottom"/>
          </w:tcPr>
          <w:p>
            <w:pPr>
              <w:spacing w:after="0"/>
              <w:rPr>
                <w:sz w:val="24"/>
                <w:szCs w:val="24"/>
                <w:color w:val="auto"/>
              </w:rPr>
            </w:pPr>
          </w:p>
        </w:tc>
        <w:tc>
          <w:tcPr>
            <w:tcW w:w="38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00" w:type="dxa"/>
            <w:vAlign w:val="bottom"/>
            <w:tcBorders>
              <w:top w:val="single" w:sz="8" w:color="auto"/>
            </w:tcBorders>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581"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1000"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are based on 94,731,407 outstanding shares of Class A Common Stock as reported in the Issuer’s Annual Report on Form 10-K filed February 23, 2024.</w:t>
      </w:r>
    </w:p>
    <w:p>
      <w:pPr>
        <w:spacing w:after="0" w:line="68" w:lineRule="exact"/>
        <w:rPr>
          <w:sz w:val="20"/>
          <w:szCs w:val="20"/>
          <w:color w:val="auto"/>
        </w:rPr>
      </w:pPr>
    </w:p>
    <w:p>
      <w:pPr>
        <w:ind w:left="1000"/>
        <w:spacing w:after="0" w:line="258" w:lineRule="auto"/>
        <w:rPr>
          <w:sz w:val="20"/>
          <w:szCs w:val="20"/>
          <w:color w:val="auto"/>
        </w:rPr>
      </w:pPr>
      <w:r>
        <w:rPr>
          <w:rFonts w:ascii="Times New Roman" w:cs="Times New Roman" w:eastAsia="Times New Roman" w:hAnsi="Times New Roman"/>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the managing member of both Southpoint Capital Advisors LLC and Southpoint GP, LLC. Each of the Reporting Persons disclaims beneficial ownership of the shares reported herein.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1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1000" w:type="dxa"/>
            <w:vAlign w:val="bottom"/>
          </w:tcPr>
          <w:p>
            <w:pPr>
              <w:spacing w:after="0"/>
              <w:rPr>
                <w:sz w:val="24"/>
                <w:szCs w:val="24"/>
                <w:color w:val="auto"/>
              </w:rPr>
            </w:pPr>
          </w:p>
        </w:tc>
        <w:tc>
          <w:tcPr>
            <w:tcW w:w="994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467"/>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4"/>
        </w:trPr>
        <w:tc>
          <w:tcPr>
            <w:tcW w:w="1000" w:type="dxa"/>
            <w:vAlign w:val="bottom"/>
          </w:tcPr>
          <w:p>
            <w:pPr>
              <w:spacing w:after="0"/>
              <w:rPr>
                <w:sz w:val="24"/>
                <w:szCs w:val="24"/>
                <w:color w:val="auto"/>
              </w:rPr>
            </w:pPr>
          </w:p>
        </w:tc>
        <w:tc>
          <w:tcPr>
            <w:tcW w:w="5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800" w:type="dxa"/>
            <w:vAlign w:val="bottom"/>
            <w:gridSpan w:val="2"/>
          </w:tcPr>
          <w:p>
            <w:pPr>
              <w:spacing w:after="0"/>
              <w:rPr>
                <w:sz w:val="24"/>
                <w:szCs w:val="24"/>
                <w:color w:val="auto"/>
              </w:rPr>
            </w:pP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196"/>
        </w:trPr>
        <w:tc>
          <w:tcPr>
            <w:tcW w:w="1000" w:type="dxa"/>
            <w:vAlign w:val="bottom"/>
          </w:tcPr>
          <w:p>
            <w:pPr>
              <w:spacing w:after="0"/>
              <w:rPr>
                <w:sz w:val="17"/>
                <w:szCs w:val="17"/>
                <w:color w:val="auto"/>
              </w:rPr>
            </w:pPr>
          </w:p>
        </w:tc>
        <w:tc>
          <w:tcPr>
            <w:tcW w:w="9320" w:type="dxa"/>
            <w:vAlign w:val="bottom"/>
            <w:tcBorders>
              <w:top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c>
          <w:tcPr>
            <w:tcW w:w="620" w:type="dxa"/>
            <w:vAlign w:val="bottom"/>
          </w:tcPr>
          <w:p>
            <w:pPr>
              <w:spacing w:after="0"/>
              <w:rPr>
                <w:sz w:val="17"/>
                <w:szCs w:val="17"/>
                <w:color w:val="auto"/>
              </w:rPr>
            </w:pPr>
          </w:p>
        </w:tc>
      </w:tr>
      <w:tr>
        <w:trPr>
          <w:trHeight w:val="345"/>
        </w:trPr>
        <w:tc>
          <w:tcPr>
            <w:tcW w:w="1000" w:type="dxa"/>
            <w:vAlign w:val="bottom"/>
          </w:tcPr>
          <w:p>
            <w:pPr>
              <w:spacing w:after="0"/>
              <w:rPr>
                <w:sz w:val="24"/>
                <w:szCs w:val="24"/>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760" w:type="dxa"/>
            <w:vAlign w:val="bottom"/>
            <w:gridSpan w:val="6"/>
          </w:tcPr>
          <w:p>
            <w:pPr>
              <w:spacing w:after="0"/>
              <w:rPr>
                <w:sz w:val="24"/>
                <w:szCs w:val="24"/>
                <w:color w:val="auto"/>
              </w:rPr>
            </w:pP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5"/>
        </w:trPr>
        <w:tc>
          <w:tcPr>
            <w:tcW w:w="1000" w:type="dxa"/>
            <w:vAlign w:val="bottom"/>
          </w:tcPr>
          <w:p>
            <w:pPr>
              <w:spacing w:after="0"/>
              <w:rPr>
                <w:sz w:val="24"/>
                <w:szCs w:val="24"/>
                <w:color w:val="auto"/>
              </w:rPr>
            </w:pPr>
          </w:p>
        </w:tc>
        <w:tc>
          <w:tcPr>
            <w:tcW w:w="4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480" w:type="dxa"/>
            <w:vAlign w:val="bottom"/>
            <w:gridSpan w:val="3"/>
          </w:tcPr>
          <w:p>
            <w:pPr>
              <w:spacing w:after="0"/>
              <w:rPr>
                <w:sz w:val="24"/>
                <w:szCs w:val="24"/>
                <w:color w:val="auto"/>
              </w:rPr>
            </w:pP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5"/>
        </w:trPr>
        <w:tc>
          <w:tcPr>
            <w:tcW w:w="1000" w:type="dxa"/>
            <w:vAlign w:val="bottom"/>
          </w:tcPr>
          <w:p>
            <w:pPr>
              <w:spacing w:after="0"/>
              <w:rPr>
                <w:sz w:val="24"/>
                <w:szCs w:val="24"/>
                <w:color w:val="auto"/>
              </w:rPr>
            </w:pPr>
          </w:p>
        </w:tc>
        <w:tc>
          <w:tcPr>
            <w:tcW w:w="2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00" w:type="dxa"/>
            <w:vAlign w:val="bottom"/>
            <w:gridSpan w:val="5"/>
          </w:tcPr>
          <w:p>
            <w:pPr>
              <w:spacing w:after="0"/>
              <w:rPr>
                <w:sz w:val="24"/>
                <w:szCs w:val="24"/>
                <w:color w:val="auto"/>
              </w:rPr>
            </w:pP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1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960" w:type="dxa"/>
            <w:vAlign w:val="bottom"/>
            <w:gridSpan w:val="7"/>
          </w:tcPr>
          <w:p>
            <w:pPr>
              <w:spacing w:after="0" w:line="20" w:lineRule="exact"/>
              <w:rPr>
                <w:sz w:val="1"/>
                <w:szCs w:val="1"/>
                <w:color w:val="auto"/>
              </w:rPr>
            </w:pPr>
          </w:p>
        </w:tc>
      </w:tr>
      <w:tr>
        <w:trPr>
          <w:trHeight w:val="326"/>
        </w:trPr>
        <w:tc>
          <w:tcPr>
            <w:tcW w:w="1000" w:type="dxa"/>
            <w:vAlign w:val="bottom"/>
          </w:tcPr>
          <w:p>
            <w:pPr>
              <w:spacing w:after="0"/>
              <w:rPr>
                <w:sz w:val="24"/>
                <w:szCs w:val="24"/>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By signing below I certify that, to the best of my knowledge and belief, the securities referred to above were not acquired and are not held</w:t>
            </w:r>
          </w:p>
        </w:tc>
      </w:tr>
      <w:tr>
        <w:trPr>
          <w:trHeight w:val="216"/>
        </w:trPr>
        <w:tc>
          <w:tcPr>
            <w:tcW w:w="1000" w:type="dxa"/>
            <w:vAlign w:val="bottom"/>
          </w:tcPr>
          <w:p>
            <w:pPr>
              <w:spacing w:after="0"/>
              <w:rPr>
                <w:sz w:val="18"/>
                <w:szCs w:val="18"/>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for the purpose of or with the effect of changing or influencing the control of the issuer of the securities and were not acquired and are not</w:t>
            </w:r>
          </w:p>
        </w:tc>
      </w:tr>
      <w:tr>
        <w:trPr>
          <w:trHeight w:val="216"/>
        </w:trPr>
        <w:tc>
          <w:tcPr>
            <w:tcW w:w="1000" w:type="dxa"/>
            <w:vAlign w:val="bottom"/>
          </w:tcPr>
          <w:p>
            <w:pPr>
              <w:spacing w:after="0"/>
              <w:rPr>
                <w:sz w:val="18"/>
                <w:szCs w:val="18"/>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held in connection with or as a participant in any transaction having that purpose or effect, other than activities solely in connection with a</w:t>
            </w:r>
          </w:p>
        </w:tc>
      </w:tr>
      <w:tr>
        <w:trPr>
          <w:trHeight w:val="234"/>
        </w:trPr>
        <w:tc>
          <w:tcPr>
            <w:tcW w:w="1000" w:type="dxa"/>
            <w:vAlign w:val="bottom"/>
          </w:tcPr>
          <w:p>
            <w:pPr>
              <w:spacing w:after="0"/>
              <w:rPr>
                <w:sz w:val="20"/>
                <w:szCs w:val="20"/>
                <w:color w:val="auto"/>
              </w:rPr>
            </w:pPr>
          </w:p>
        </w:tc>
        <w:tc>
          <w:tcPr>
            <w:tcW w:w="9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nomination under § 240.14a-11.</w:t>
            </w:r>
          </w:p>
        </w:tc>
      </w:tr>
    </w:tbl>
    <w:p>
      <w:pPr>
        <w:sectPr>
          <w:pgSz w:w="11900" w:h="16838" w:orient="portrait"/>
          <w:cols w:equalWidth="0" w:num="1">
            <w:col w:w="10960"/>
          </w:cols>
          <w:pgMar w:left="440" w:top="590" w:right="499" w:bottom="1440" w:gutter="0" w:footer="0" w:header="0"/>
        </w:sectPr>
      </w:pPr>
    </w:p>
    <w:bookmarkStart w:id="9" w:name="page10"/>
    <w:bookmarkEnd w:id="9"/>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Capital Advisors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S. CLARK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 individually</w:t>
      </w:r>
    </w:p>
    <w:p>
      <w:pPr>
        <w:sectPr>
          <w:pgSz w:w="11900" w:h="16838" w:orient="portrait"/>
          <w:cols w:equalWidth="0" w:num="1">
            <w:col w:w="10780"/>
          </w:cols>
          <w:pgMar w:left="440" w:top="270" w:right="67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JOINT FILING AGREEMENT</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April 1, 2024, is by and among Southpoint Master Fund LP, Southpoint Capital Advisors LP, Southpoint Capital Advisors LLC, Southpoint GP, LP, Southpoint GP, LLC and John S. Clark II (collectively, the “Filers”).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13D and/or 13G with respect to the Class A Common Stock of Mobileye Global Inc. beneficially owned by them from time to time.</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Joint Filing Agreement may be terminated by any of the Filers upon written notice or such lesser period of notice as the Filers may mutually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Executed and delivered as of the date first written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Capital Advisors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Southpoint GP, LLC, 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SOUTHPOINT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S. Clark 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Managing Member</w:t>
      </w:r>
    </w:p>
    <w:p>
      <w:pPr>
        <w:sectPr>
          <w:pgSz w:w="11900" w:h="16838" w:orient="portrait"/>
          <w:cols w:equalWidth="0" w:num="1">
            <w:col w:w="10960"/>
          </w:cols>
          <w:pgMar w:left="440" w:top="266"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JOHN S. CLARK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 Clark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7559"/>
        <w:spacing w:after="0"/>
        <w:rPr>
          <w:sz w:val="20"/>
          <w:szCs w:val="20"/>
          <w:color w:val="auto"/>
        </w:rPr>
      </w:pPr>
      <w:r>
        <w:rPr>
          <w:rFonts w:ascii="Times New Roman" w:cs="Times New Roman" w:eastAsia="Times New Roman" w:hAnsi="Times New Roman"/>
          <w:sz w:val="18"/>
          <w:szCs w:val="18"/>
          <w:color w:val="auto"/>
        </w:rPr>
        <w:t>John S. Clark II, individually</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
      <w:numFmt w:val="bullet"/>
      <w:start w:val="1"/>
    </w:lvl>
    <w:lvl w:ilvl="1">
      <w:lvlJc w:val="left"/>
      <w:lvlText w:val=" "/>
      <w:numFmt w:val="bullet"/>
      <w:start w:val="1"/>
    </w:lvl>
  </w:abstractNum>
  <w:abstractNum w:abstractNumId="4">
    <w:nsid w:val="4E6AFB66"/>
    <w:multiLevelType w:val="hybridMultilevel"/>
    <w:lvl w:ilvl="0">
      <w:lvlJc w:val="left"/>
      <w:lvlText w:val=" "/>
      <w:numFmt w:val="bullet"/>
      <w:start w:val="1"/>
    </w:lvl>
  </w:abstractNum>
  <w:abstractNum w:abstractNumId="5">
    <w:nsid w:val="25E45D32"/>
    <w:multiLevelType w:val="hybridMultilevel"/>
    <w:lvl w:ilvl="0">
      <w:lvlJc w:val="left"/>
      <w:lvlText w:val="5"/>
      <w:numFmt w:val="bullet"/>
      <w:start w:val="1"/>
    </w:lvl>
  </w:abstractNum>
  <w:abstractNum w:abstractNumId="6">
    <w:nsid w:val="519B500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431BD7B7"/>
    <w:multiLevelType w:val="hybridMultilevel"/>
    <w:lvl w:ilvl="0">
      <w:lvlJc w:val="left"/>
      <w:lvlText w:val="%1"/>
      <w:numFmt w:val="decimal"/>
      <w:start w:val="10"/>
    </w:lvl>
    <w:lvl w:ilvl="1">
      <w:lvlJc w:val="left"/>
      <w:lvlText w:val=" "/>
      <w:numFmt w:val="bullet"/>
      <w:start w:val="1"/>
    </w:lvl>
  </w:abstractNum>
  <w:abstractNum w:abstractNumId="8">
    <w:nsid w:val="3F2DBA31"/>
    <w:multiLevelType w:val="hybridMultilevel"/>
    <w:lvl w:ilvl="0">
      <w:lvlJc w:val="left"/>
      <w:lvlText w:val=" "/>
      <w:numFmt w:val="bullet"/>
      <w:start w:val="1"/>
    </w:lvl>
    <w:lvl w:ilvl="1">
      <w:lvlJc w:val="left"/>
      <w:lvlText w:val=" "/>
      <w:numFmt w:val="bullet"/>
      <w:start w:val="1"/>
    </w:lvl>
  </w:abstractNum>
  <w:abstractNum w:abstractNumId="9">
    <w:nsid w:val="7C83E458"/>
    <w:multiLevelType w:val="hybridMultilevel"/>
    <w:lvl w:ilvl="0">
      <w:lvlJc w:val="left"/>
      <w:lvlText w:val=" "/>
      <w:numFmt w:val="bullet"/>
      <w:start w:val="1"/>
    </w:lvl>
  </w:abstractNum>
  <w:abstractNum w:abstractNumId="10">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62BBD95A"/>
    <w:multiLevelType w:val="hybridMultilevel"/>
    <w:lvl w:ilvl="0">
      <w:lvlJc w:val="left"/>
      <w:lvlText w:val="%1"/>
      <w:numFmt w:val="decimal"/>
      <w:start w:val="10"/>
    </w:lvl>
    <w:lvl w:ilvl="1">
      <w:lvlJc w:val="left"/>
      <w:lvlText w:val=" "/>
      <w:numFmt w:val="bullet"/>
      <w:start w:val="1"/>
    </w:lvl>
  </w:abstractNum>
  <w:abstractNum w:abstractNumId="12">
    <w:nsid w:val="436C6125"/>
    <w:multiLevelType w:val="hybridMultilevel"/>
    <w:lvl w:ilvl="0">
      <w:lvlJc w:val="left"/>
      <w:lvlText w:val=" "/>
      <w:numFmt w:val="bullet"/>
      <w:start w:val="1"/>
    </w:lvl>
    <w:lvl w:ilvl="1">
      <w:lvlJc w:val="left"/>
      <w:lvlText w:val=" "/>
      <w:numFmt w:val="bullet"/>
      <w:start w:val="1"/>
    </w:lvl>
  </w:abstractNum>
  <w:abstractNum w:abstractNumId="13">
    <w:nsid w:val="628C895D"/>
    <w:multiLevelType w:val="hybridMultilevel"/>
    <w:lvl w:ilvl="0">
      <w:lvlJc w:val="left"/>
      <w:lvlText w:val=" "/>
      <w:numFmt w:val="bullet"/>
      <w:start w:val="1"/>
    </w:lvl>
  </w:abstractNum>
  <w:abstractNum w:abstractNumId="14">
    <w:nsid w:val="333AB10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721DA317"/>
    <w:multiLevelType w:val="hybridMultilevel"/>
    <w:lvl w:ilvl="0">
      <w:lvlJc w:val="left"/>
      <w:lvlText w:val="%1"/>
      <w:numFmt w:val="decimal"/>
      <w:start w:val="10"/>
    </w:lvl>
    <w:lvl w:ilvl="1">
      <w:lvlJc w:val="left"/>
      <w:lvlText w:val=" "/>
      <w:numFmt w:val="bullet"/>
      <w:start w:val="1"/>
    </w:lvl>
  </w:abstractNum>
  <w:abstractNum w:abstractNumId="16">
    <w:nsid w:val="2443A858"/>
    <w:multiLevelType w:val="hybridMultilevel"/>
    <w:lvl w:ilvl="0">
      <w:lvlJc w:val="left"/>
      <w:lvlText w:val=" "/>
      <w:numFmt w:val="bullet"/>
      <w:start w:val="1"/>
    </w:lvl>
    <w:lvl w:ilvl="1">
      <w:lvlJc w:val="left"/>
      <w:lvlText w:val=" "/>
      <w:numFmt w:val="bullet"/>
      <w:start w:val="1"/>
    </w:lvl>
  </w:abstractNum>
  <w:abstractNum w:abstractNumId="17">
    <w:nsid w:val="2D1D5AE9"/>
    <w:multiLevelType w:val="hybridMultilevel"/>
    <w:lvl w:ilvl="0">
      <w:lvlJc w:val="left"/>
      <w:lvlText w:val=" "/>
      <w:numFmt w:val="bullet"/>
      <w:start w:val="1"/>
    </w:lvl>
  </w:abstractNum>
  <w:abstractNum w:abstractNumId="18">
    <w:nsid w:val="6763845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75A2A8D4"/>
    <w:multiLevelType w:val="hybridMultilevel"/>
    <w:lvl w:ilvl="0">
      <w:lvlJc w:val="left"/>
      <w:lvlText w:val="%1"/>
      <w:numFmt w:val="decimal"/>
      <w:start w:val="10"/>
    </w:lvl>
    <w:lvl w:ilvl="1">
      <w:lvlJc w:val="left"/>
      <w:lvlText w:val=" "/>
      <w:numFmt w:val="bullet"/>
      <w:start w:val="1"/>
    </w:lvl>
  </w:abstractNum>
  <w:abstractNum w:abstractNumId="20">
    <w:nsid w:val="8EDBDAB"/>
    <w:multiLevelType w:val="hybridMultilevel"/>
    <w:lvl w:ilvl="0">
      <w:lvlJc w:val="left"/>
      <w:lvlText w:val=" "/>
      <w:numFmt w:val="bullet"/>
      <w:start w:val="1"/>
    </w:lvl>
    <w:lvl w:ilvl="1">
      <w:lvlJc w:val="left"/>
      <w:lvlText w:val=" "/>
      <w:numFmt w:val="bullet"/>
      <w:start w:val="1"/>
    </w:lvl>
  </w:abstractNum>
  <w:abstractNum w:abstractNumId="21">
    <w:nsid w:val="79838CB2"/>
    <w:multiLevelType w:val="hybridMultilevel"/>
    <w:lvl w:ilvl="0">
      <w:lvlJc w:val="left"/>
      <w:lvlText w:val=" "/>
      <w:numFmt w:val="bullet"/>
      <w:start w:val="1"/>
    </w:lvl>
  </w:abstractNum>
  <w:abstractNum w:abstractNumId="22">
    <w:nsid w:val="4353D0C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B03E0C6"/>
    <w:multiLevelType w:val="hybridMultilevel"/>
    <w:lvl w:ilvl="0">
      <w:lvlJc w:val="left"/>
      <w:lvlText w:val="%1"/>
      <w:numFmt w:val="decimal"/>
      <w:start w:val="10"/>
    </w:lvl>
    <w:lvl w:ilvl="1">
      <w:lvlJc w:val="left"/>
      <w:lvlText w:val=" "/>
      <w:numFmt w:val="bullet"/>
      <w:start w:val="1"/>
    </w:lvl>
  </w:abstractNum>
  <w:abstractNum w:abstractNumId="24">
    <w:nsid w:val="189A769B"/>
    <w:multiLevelType w:val="hybridMultilevel"/>
    <w:lvl w:ilvl="0">
      <w:lvlJc w:val="left"/>
      <w:lvlText w:val=" "/>
      <w:numFmt w:val="bullet"/>
      <w:start w:val="1"/>
    </w:lvl>
    <w:lvl w:ilvl="1">
      <w:lvlJc w:val="left"/>
      <w:lvlText w:val=" "/>
      <w:numFmt w:val="bullet"/>
      <w:start w:val="1"/>
    </w:lvl>
  </w:abstractNum>
  <w:abstractNum w:abstractNumId="25">
    <w:nsid w:val="54E49EB4"/>
    <w:multiLevelType w:val="hybridMultilevel"/>
    <w:lvl w:ilvl="0">
      <w:lvlJc w:val="left"/>
      <w:lvlText w:val=" "/>
      <w:numFmt w:val="bullet"/>
      <w:start w:val="1"/>
    </w:lvl>
  </w:abstractNum>
  <w:abstractNum w:abstractNumId="26">
    <w:nsid w:val="71F3245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2CA88611"/>
    <w:multiLevelType w:val="hybridMultilevel"/>
    <w:lvl w:ilvl="0">
      <w:lvlJc w:val="left"/>
      <w:lvlText w:val="%1"/>
      <w:numFmt w:val="decimal"/>
      <w:start w:val="10"/>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2024-04-01T18:35:27Z</dcterms:created>
  <dcterms:modified xsi:type="dcterms:W3CDTF">2024-04-01T18:35:27Z</dcterms:modified>
</cp:coreProperties>
</file>