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jc w:val="center"/>
              <w:ind w:lef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97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Shalev-Shwartz Shai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07/10/2023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Chief Technology Officer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MOBILEYE B.V., HAR HOTZVIM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HARTOM STREET, P.O. BOX 45157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977513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246,919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246,919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246,919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-5414645</wp:posOffset>
            </wp:positionV>
            <wp:extent cx="7046595" cy="54279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forfeited earlier under the terms of the RSU Agreement, the RSUs will vest as follows: (a) 40% of the RSUs vest and convert into common stock on the first anniversary of the grant date (which grant date is July 10, 2023),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Liz Cohen-Yerushalmi,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27554" TargetMode="External"/><Relationship Id="rId9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2023-07-12T15:28:08Z</dcterms:created>
  <dcterms:modified xsi:type="dcterms:W3CDTF">2023-07-12T15:28:08Z</dcterms:modified>
</cp:coreProperties>
</file>