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p220455_4-gelsinger.xml.htm"/>
      <w:bookmarkStart w:id="1" w:name="ksdp220455_4gelsinger"/>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GELSINGER PATRICK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MOBILEYE B.V., HAR HOTZVIM</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SHLOMO MOMO HALEVI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JERUSALEM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9777015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Mobileye Global Inc.</w:t>
              </w:r>
            </w:hyperlink>
            <w:r>
              <w:rPr/>
              <w:t xml:space="preserve"> [ </w:t>
            </w:r>
            <w:r>
              <w:rPr>
                <w:rFonts w:ascii="Times;serif" w:hAnsi="Times;serif"/>
                <w:color w:val="0000FF"/>
                <w:sz w:val="24"/>
                <w:shd w:fill="FFFFFF" w:val="clear"/>
              </w:rPr>
              <w:t>MBLY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11/04/2024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14.9404</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139,456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$14.8600 to $14.9600.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updates to the relative holdings of the reporting person's Trusts compared to prior Forms 4. The reporting person's total beneficial ownership has not changed from his most recent Form 4, except to reflect the transactions reported in this Report.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Liz Cohen-Yerushalmi,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6331" TargetMode="External"/><Relationship Id="rId5" Type="http://schemas.openxmlformats.org/officeDocument/2006/relationships/hyperlink" Target="http://www.sec.gov/cgi-bin/browse-edgar?action=getcompany&amp;CIK=00019101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3677</Characters>
  <CharactersWithSpaces>4291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