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Mobileye Global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60741F104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60741F104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Manulife Financial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CANADA (FEDERAL LEVEL)</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60741F104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Manulife Investment Management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CANADA (FEDERAL LEVEL)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4,104.00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4,104.00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4,104.00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60741F104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Manulife Investment Management (US)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12,091,804.00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12,091,804.00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12,091,804.00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Mobileye Global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2999"/>
        <w:spacing w:after="0"/>
        <w:rPr>
          <w:sz w:val="20"/>
          <w:szCs w:val="20"/>
          <w:color w:val="auto"/>
        </w:rPr>
      </w:pPr>
      <w:r>
        <w:rPr>
          <w:rFonts w:ascii="Times New Roman" w:cs="Times New Roman" w:eastAsia="Times New Roman" w:hAnsi="Times New Roman"/>
          <w:sz w:val="22"/>
          <w:szCs w:val="22"/>
          <w:color w:val="auto"/>
        </w:rPr>
        <w:t>Har Hotzim, 1 Shlomo Mono HaLevi Street, Jersualem 9777015, Israel</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440" w:hanging="912"/>
        <w:spacing w:after="0" w:line="24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filing is made on behalf of Manulife Financial Corporation ("MFC") and MFC's indirect, wholly-owned subsidiaries, Manulife Investment Management (US) LLC ("MIM (US)") and Manulife Investment Management Limited ("MIML")</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jc w:val="both"/>
        <w:ind w:left="920" w:right="380" w:hanging="912"/>
        <w:spacing w:after="0" w:line="24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offices of MFC and MIML are located at 200 Bloor Street East, Toronto, Ontario, Canada, M4W 1E5. The principal business office of MIM (US) is located at 197 Clarendon Street, Boston, Massachusetts 02116.</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20" w:right="6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MFC and MIML are organized and exist under the laws of Canada. MIM (US) is organized and exists under the laws of the State of Delaware.</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60741F104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20" w:hanging="912"/>
        <w:spacing w:after="0" w:line="24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MIM (US) has beneficial ownership of 12,091,804 shares of Common Stock and MIML has beneficial ownership of 4,014 shares of Class A Common Stock. Through its parent-subsidiary relationship to MIM (US) and MIML, MFC may be deemed to have beneficial ownership of these same shares.</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hanging="912"/>
        <w:spacing w:after="0" w:line="24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216,005,938 shares of Class A Common Stock outstanding as of July 15, 2025, according to the Form 10-Q filed by the issuer with the Securities and Exchange Commission on July 24, 2025, MIM (US) held 5.60% and MIML held 0.01%.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Incorporated by reference to Item 5 of the cover page pertaining to each reporting person.</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Incorporated by reference to Item 6 of the cover page pertaining to each reporting person.</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Incorporated by reference to Item 7 of the cover page pertaining to each reporting person.</w:t>
      </w:r>
    </w:p>
    <w:p>
      <w:pPr>
        <w:sectPr>
          <w:pgSz w:w="11900" w:h="16838" w:orient="portrait"/>
          <w:cols w:equalWidth="0" w:num="1">
            <w:col w:w="11120"/>
          </w:cols>
          <w:pgMar w:left="360" w:top="112" w:right="419" w:bottom="73"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Incorporated by reference to Item 8 of the cover page pertaining to each reporting person.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ind w:right="60"/>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Items 3 and 4 above.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60" w:space="200"/>
            <w:col w:w="10280"/>
          </w:cols>
          <w:pgMar w:left="320" w:top="112" w:right="339" w:bottom="0" w:gutter="0" w:footer="0" w:header="0"/>
        </w:sectPr>
      </w:pPr>
    </w:p>
    <w:p>
      <w:pPr>
        <w:ind w:left="980" w:right="20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foreign regulatory scheme applicable to MIML is substantially comparable to the regulatory scheme applicable to the functionally equivalent U.S. institution(s). I also undertake to furnish to the Commission staff, upon request, information that would otherwise be disclosed in a Schedule 13D.</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right="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Manulife Financial Corporation</w:t>
      </w:r>
    </w:p>
    <w:p>
      <w:pPr>
        <w:spacing w:after="0" w:line="152" w:lineRule="exact"/>
        <w:rPr>
          <w:sz w:val="20"/>
          <w:szCs w:val="20"/>
          <w:color w:val="auto"/>
        </w:rPr>
      </w:pPr>
    </w:p>
    <w:p>
      <w:pPr>
        <w:ind w:left="3420"/>
        <w:spacing w:after="0"/>
        <w:tabs>
          <w:tab w:leader="none" w:pos="4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Graham Miller</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Name/Title: Graham Miller / Agent*</w:t>
      </w:r>
    </w:p>
    <w:p>
      <w:pPr>
        <w:spacing w:after="0" w:line="44" w:lineRule="exact"/>
        <w:rPr>
          <w:sz w:val="20"/>
          <w:szCs w:val="20"/>
          <w:color w:val="auto"/>
        </w:rPr>
      </w:pPr>
    </w:p>
    <w:p>
      <w:pPr>
        <w:ind w:left="3420"/>
        <w:spacing w:after="0"/>
        <w:tabs>
          <w:tab w:leader="none" w:pos="4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10/22/2025</w:t>
      </w:r>
    </w:p>
    <w:p>
      <w:pPr>
        <w:spacing w:after="0" w:line="15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Manulife Investment Management Limited</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Christopher Walker</w:t>
      </w:r>
    </w:p>
    <w:p>
      <w:pPr>
        <w:spacing w:after="0" w:line="4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Name/Title: Christopher Walker / Chief Compliance Officer</w:t>
      </w:r>
    </w:p>
    <w:p>
      <w:pPr>
        <w:spacing w:after="0" w:line="44"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Manulife Investment Management (US) LLC</w:t>
      </w:r>
    </w:p>
    <w:p>
      <w:pPr>
        <w:spacing w:after="0" w:line="152" w:lineRule="exact"/>
        <w:rPr>
          <w:sz w:val="20"/>
          <w:szCs w:val="20"/>
          <w:color w:val="auto"/>
        </w:rPr>
      </w:pPr>
    </w:p>
    <w:p>
      <w:pPr>
        <w:ind w:left="4960"/>
        <w:spacing w:after="0"/>
        <w:tabs>
          <w:tab w:leader="none" w:pos="6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Paul M. Donahue</w:t>
      </w:r>
    </w:p>
    <w:p>
      <w:pPr>
        <w:spacing w:after="0" w:line="4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Name/Title: Paul Donahue / Chief Compliance Officer</w:t>
      </w:r>
    </w:p>
    <w:p>
      <w:pPr>
        <w:spacing w:after="0" w:line="44" w:lineRule="exact"/>
        <w:rPr>
          <w:sz w:val="20"/>
          <w:szCs w:val="20"/>
          <w:color w:val="auto"/>
        </w:rPr>
      </w:pPr>
    </w:p>
    <w:p>
      <w:pPr>
        <w:ind w:left="4960"/>
        <w:spacing w:after="0"/>
        <w:tabs>
          <w:tab w:leader="none" w:pos="6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10/23/2025</w:t>
      </w:r>
    </w:p>
    <w:p>
      <w:pPr>
        <w:spacing w:after="0" w:line="31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*Signed pursuant to a Power of Attorney dated January 17, 2018 included as Exhibit A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13F-NT filed with the Securities and Exchange Commission by Manulife Financial Corporation on January 29, 2018. 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 NOTE: Schedules filed in paper format shall include a signed original and five copies of the schedule, including all exhibits. See ss.240.13d-7 for other parties for whom copies are to be sent. Attention: Intentional misstatements or omissions of fact constitute Federal criminal violations (See 18 U.S.C. 1001)</w:t>
      </w:r>
    </w:p>
    <w:p>
      <w:pPr>
        <w:spacing w:after="0" w:line="7" w:lineRule="exact"/>
        <w:rPr>
          <w:sz w:val="20"/>
          <w:szCs w:val="20"/>
          <w:color w:val="auto"/>
        </w:rPr>
      </w:pPr>
    </w:p>
    <w:p>
      <w:pPr>
        <w:jc w:val="center"/>
        <w:ind w:right="72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A - JOINT FILING AGREEMENT</w:t>
      </w:r>
    </w:p>
    <w:p>
      <w:pPr>
        <w:sectPr>
          <w:pgSz w:w="11900" w:h="16838" w:orient="portrait"/>
          <w:cols w:equalWidth="0" w:num="1">
            <w:col w:w="11240"/>
          </w:cols>
          <w:pgMar w:left="320" w:top="112" w:right="339" w:bottom="0" w:gutter="0" w:footer="0" w:header="0"/>
          <w:type w:val="continuous"/>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EXHIBIT A</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JOINT FILING AGREEMENT</w:t>
      </w:r>
    </w:p>
    <w:p>
      <w:pPr>
        <w:spacing w:after="0" w:line="38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Manulife Financial Corporation, Manulife Investment Management Limited and Manulife Investment Management (US) LLC agree that the Schedule 13G (Amendment No.3) to which this Agreement is attached, relating to the Class A Common Stock of Mobileye Global Inc. is filed on behalf of each of them.</w:t>
      </w:r>
    </w:p>
    <w:p>
      <w:pPr>
        <w:spacing w:after="0" w:line="155"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Manulife Financial Corporation</w:t>
      </w:r>
    </w:p>
    <w:p>
      <w:pPr>
        <w:spacing w:after="0" w:line="90"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October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52070</wp:posOffset>
            </wp:positionV>
            <wp:extent cx="3566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4"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Date</w:t>
      </w:r>
    </w:p>
    <w:p>
      <w:pPr>
        <w:spacing w:after="0" w:line="77"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/s/ Graham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52070</wp:posOffset>
            </wp:positionV>
            <wp:extent cx="3566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4"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Signature</w:t>
      </w:r>
    </w:p>
    <w:p>
      <w:pPr>
        <w:spacing w:after="0" w:line="77"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Graham Miller /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52070</wp:posOffset>
            </wp:positionV>
            <wp:extent cx="3566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Name / Title</w:t>
      </w:r>
    </w:p>
    <w:p>
      <w:pPr>
        <w:spacing w:after="0" w:line="252"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Manulife Investment Management Limited</w:t>
      </w:r>
    </w:p>
    <w:p>
      <w:pPr>
        <w:spacing w:after="0" w:line="90"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12-Nov-2025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52070</wp:posOffset>
            </wp:positionV>
            <wp:extent cx="3566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4"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Date</w:t>
      </w:r>
    </w:p>
    <w:p>
      <w:pPr>
        <w:spacing w:after="0" w:line="77"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 Christopher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52070</wp:posOffset>
            </wp:positionV>
            <wp:extent cx="3566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4"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Signature</w:t>
      </w:r>
    </w:p>
    <w:p>
      <w:pPr>
        <w:spacing w:after="0" w:line="77"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Christopher Walker /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52070</wp:posOffset>
            </wp:positionV>
            <wp:extent cx="3566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Name / Title</w:t>
      </w:r>
    </w:p>
    <w:p>
      <w:pPr>
        <w:spacing w:after="0" w:line="266"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Manulife Investment Management (US) LLC</w:t>
      </w:r>
    </w:p>
    <w:p>
      <w:pPr>
        <w:spacing w:after="0" w:line="90"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October 23,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52070</wp:posOffset>
            </wp:positionV>
            <wp:extent cx="35661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4"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Date</w:t>
      </w:r>
    </w:p>
    <w:p>
      <w:pPr>
        <w:spacing w:after="0" w:line="77"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Paul M.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52070</wp:posOffset>
            </wp:positionV>
            <wp:extent cx="3566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4"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Signature</w:t>
      </w:r>
    </w:p>
    <w:p>
      <w:pPr>
        <w:spacing w:after="0" w:line="77"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Paul Donahue /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52070</wp:posOffset>
            </wp:positionV>
            <wp:extent cx="35661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Name / Title</w:t>
      </w:r>
    </w:p>
    <w:p>
      <w:pPr>
        <w:spacing w:after="0" w:line="225"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*Signed pursuant to a Power of Attorney dated January 17, 2018 included as Exhibit A to Schedule 13F-NT filed with the Securities and Exchange Commission by Manulife Financial Corporation on January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80"/>
      </w:cols>
      <w:pgMar w:left="320" w:top="12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2025-11-14T09:09:57Z</dcterms:created>
  <dcterms:modified xsi:type="dcterms:W3CDTF">2025-11-14T09:09:57Z</dcterms:modified>
</cp:coreProperties>
</file>