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4, 2024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9"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Har Hotzvim, 13 Hartom Street</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P.O. Box 45157</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Jerusalem 9777513, Israel</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9777513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7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On January 4, 2024 Mobileye Global Inc. (the “Company”) issued a press release announcing preliminary financial results for the fiscal year ended December 30, 2023 and a preliminary financial outlook for the fiscal year ending December 28, 2024. A copy of the press release is furnished as Exhibit 99.1 to this Current Report on Form 8-K.</w:t>
      </w:r>
    </w:p>
    <w:p>
      <w:pPr>
        <w:spacing w:after="0" w:line="176"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640" w:type="dxa"/>
            <w:vAlign w:val="bottom"/>
          </w:tcPr>
          <w:p>
            <w:pPr>
              <w:spacing w:after="0"/>
              <w:rPr>
                <w:sz w:val="20"/>
                <w:szCs w:val="20"/>
                <w:color w:val="auto"/>
              </w:rPr>
            </w:pPr>
          </w:p>
        </w:tc>
        <w:tc>
          <w:tcPr>
            <w:tcW w:w="54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2"/>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January 4,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Moran Shemesh Rojansky</w:t>
      </w:r>
    </w:p>
    <w:p>
      <w:pPr>
        <w:spacing w:after="0" w:line="9"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Preliminary FY2023 Financial Results and Initial 2024 Outlook</w:t>
      </w:r>
    </w:p>
    <w:p>
      <w:pPr>
        <w:spacing w:after="0" w:line="20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JERUSALEM – January 4, 2023 – Mobileye Global Inc. (Nasdaq: MBLY) (“Mobileye”) today releases preliminary FY2023 results and a preliminary financial outlook for FY2024.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FY2023 and Q4 2023 Preliminary Financial Results</w:t>
      </w:r>
    </w:p>
    <w:p>
      <w:pPr>
        <w:spacing w:after="0" w:line="22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table below sets forth preliminary estimated financial results for our fourth quarter and full year of 2023. We have not yet finalized our financial results for the fourth quarter and our actual results could differ from those set forth below as we complete our financial close and our auditors complete their audit.</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preliminary results reflect revenue consistent with the guidance provided on October 26, 2023 and Operating Income (Loss) and Adjusted Operating Income that are moderately better than expected.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Preliminary Results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Previous Guidance</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Full Year 2023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Full Year 2023</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Low</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9"/>
                <w:szCs w:val="19"/>
                <w:color w:val="auto"/>
              </w:rPr>
            </w:pPr>
          </w:p>
        </w:tc>
      </w:tr>
      <w:tr>
        <w:trPr>
          <w:trHeight w:val="223"/>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2,076</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2,080</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900" w:type="dxa"/>
            <w:vAlign w:val="bottom"/>
            <w:gridSpan w:val="2"/>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900" w:type="dxa"/>
            <w:vAlign w:val="bottom"/>
            <w:gridSpan w:val="2"/>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62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Preliminary Results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Previous Implied Guidance</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374"/>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Q4</w:t>
            </w:r>
          </w:p>
        </w:tc>
        <w:tc>
          <w:tcPr>
            <w:tcW w:w="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Low</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9"/>
                <w:szCs w:val="19"/>
                <w:color w:val="auto"/>
              </w:rPr>
            </w:pPr>
          </w:p>
        </w:tc>
      </w:tr>
      <w:tr>
        <w:trPr>
          <w:trHeight w:val="223"/>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gridSpan w:val="2"/>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900" w:type="dxa"/>
            <w:vAlign w:val="bottom"/>
            <w:gridSpan w:val="2"/>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FY2024 Preliminary Financial Outlook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our standard planning process for the upcoming year, including discussions with our Tier 1 customers to determine potential orders for 2024, we have become aware of excess inventory at our customers, which we believe to be 6-7 million units of EyeQ® SoCs. Based on our discussions, we understand that much of this excess inventory reflects decisions by Tier 1 customers to build inventory in the Basic ADAS category due to supply chain constraints in 2021 and 2022 and a desire to avoid part shortages, as well as lower than-expected production at certain OEM’s during 2023. As supply chain concerns have eased, we expect that our customers will use the vast majority of this excess inventory in the first quarter of the year. As a result, we expect that first quarter 2024 revenue will be significantly below first quarter 2023 revenues and that we will see revenue normalized during the remainder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80"/>
        <w:spacing w:after="0" w:line="282" w:lineRule="auto"/>
        <w:rPr>
          <w:sz w:val="20"/>
          <w:szCs w:val="20"/>
          <w:color w:val="auto"/>
        </w:rPr>
      </w:pPr>
      <w:r>
        <w:rPr>
          <w:rFonts w:ascii="Times New Roman" w:cs="Times New Roman" w:eastAsia="Times New Roman" w:hAnsi="Times New Roman"/>
          <w:sz w:val="18"/>
          <w:szCs w:val="18"/>
          <w:color w:val="auto"/>
        </w:rPr>
        <w:t>In FY2024 we expect total revenue in the range of $1,830 - $1,960 million. This is underpinned by expected EyeQ® shipments of 31 – 33 million units (as compared to approximately 37m units in 2023) and SuperVision shipments of 175k – 195k units (as compared to approximately 100k units in 2023).</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currently expect Q1 revenue to be down approximately 50%, as compared to the $458 million revenue generated in the first quarter of 2023. We also currently believe that revenue over the balance of the year will be impacted by inventory drawdowns to a much lesser extent. As a result, we expect revenue for Q2 through Q4 2024 on a combined basis to be roughly flat to up mid single-digits as compared to the same period in 2023, and we expect inventory at our customers to be at normal levels by the end of 2024.</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anticipate that the lower-than-expected volumes in the EyeQ® SoC business will have a temporary impact on our profitability. Similar to revenue, we expect Q1 profit levels to be significantly below the subsequent quarters. We expect Q1 2024 Operating Loss to be in the range of $257 to $242 million. Excluding amortization of intangible assets and stock-based compensation, we expect Adjusted Operating Loss in the range of $80 to $65 million in the first quarter of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FY2024 Operating Loss to be in the range of $468 to $378 million. We expect Adjusted Operating Income in the range of $270 to $360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9"/>
                <w:szCs w:val="19"/>
                <w:color w:val="auto"/>
              </w:rPr>
            </w:pPr>
          </w:p>
        </w:tc>
      </w:tr>
      <w:tr>
        <w:trPr>
          <w:trHeight w:val="223"/>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1,830</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risks and assumptions referred to in the Forward-Looking Statements section of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CES presentation and webcast January 9th, 2024</w:t>
      </w:r>
    </w:p>
    <w:p>
      <w:pPr>
        <w:spacing w:after="0" w:line="233" w:lineRule="exact"/>
        <w:rPr>
          <w:sz w:val="20"/>
          <w:szCs w:val="20"/>
          <w:color w:val="auto"/>
        </w:rPr>
      </w:pPr>
    </w:p>
    <w:p>
      <w:pPr>
        <w:jc w:val="both"/>
        <w:ind w:right="40"/>
        <w:spacing w:after="0" w:line="231" w:lineRule="auto"/>
        <w:rPr>
          <w:sz w:val="20"/>
          <w:szCs w:val="20"/>
          <w:color w:val="auto"/>
        </w:rPr>
      </w:pPr>
      <w:r>
        <w:rPr>
          <w:rFonts w:ascii="Times New Roman" w:cs="Times New Roman" w:eastAsia="Times New Roman" w:hAnsi="Times New Roman"/>
          <w:sz w:val="18"/>
          <w:szCs w:val="18"/>
          <w:color w:val="auto"/>
        </w:rPr>
        <w:t>Mobileye will host a live and webcasted presentation by our CEO, Professor Amnon Shashua, at CES 2024 in Las Vegas on January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2024 at 11:00 a.m. PT (2:00 p.m. ET). During this presentation we will provide updates to our technology roadmap as well as discuss the significant traction for our advanced product portfolio that we achieved in 2023. The presentation will be accessible live via a webcast on Mobileye’s investor relations site, which can be found at </w:t>
      </w:r>
      <w:r>
        <w:rPr>
          <w:rFonts w:ascii="Times New Roman" w:cs="Times New Roman" w:eastAsia="Times New Roman" w:hAnsi="Times New Roman"/>
          <w:sz w:val="18"/>
          <w:szCs w:val="18"/>
          <w:u w:val="single" w:color="auto"/>
          <w:color w:val="auto"/>
        </w:rPr>
        <w:t>ir.mobileye.com</w:t>
      </w:r>
      <w:r>
        <w:rPr>
          <w:rFonts w:ascii="Times New Roman" w:cs="Times New Roman" w:eastAsia="Times New Roman" w:hAnsi="Times New Roman"/>
          <w:sz w:val="18"/>
          <w:szCs w:val="18"/>
          <w:color w:val="auto"/>
        </w:rPr>
        <w:t>,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2024 preliminary financial outlook and full-year and fourth quarter 2023 preliminary financial results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Important factors that may materially affect such forward-looking statements and projections include the following: our preliminary financial outlook and results are not yet finalized and could differ from those set forth above and are subject to the completion of its financial closing procedures and any adjustments arising from the audit of its 2023 financial results;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future responses to and effects of the COVID-19 pandemic;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Detailed information regarding these and other factors that could affect Mobileye’s business and results is included in Mobileye’s SEC filings, including the company’s Annual Report on Form 10-K for the year ended December 31, 2022, particularly in the section entitled “Item 1A. Risk Factors”. Copies of these filings may be obtained by visiting our Investor Relations website at ir.mobileye.com or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Operating Income, which is a non-GAAP financial measure not presented in accordance with GAAP and is calculated as Operating Loss less (i) Amortization charges related to intangible assets consisting of developed technology, customer relationships, and brands as a result of Intel’s acquisition of Mobileye in 2017 and the acquisition of Moovit in 2020 and (ii) Share-based compensation expense. We use this non-GAAP financial measure to make strategic decisions, establish business plans and forecasts, identify trends affecting our business, and evaluate performance. For example, we use this non-GAAP financial measure to assess our pricing and sourcing strategy, in the preparation of our annual operating budget, and as a measure of our operating performance. We believe that this non-GAAP financial measure may be helpful to investors because it allows for greater transparency into what measures our management uses in operating our business and measuring our performance, and enables comparison of financial trends and results between periods where items may vary independent of business performance. This non-GAAP financial measure is presented for supplemental informational purposes only, should not be considered a substitute for financial information presented in accordance with GAAP, and may be different from similarly titled non-GAAP measures used by other companies. A reconciliation of Adjusted Operating Income to the most directly comparable financial measure presented in accordance with GAAP is provided above. Investors are encouraged to review the related GAAP financial measure and the reconciliation of this non-GAAP financial measure to its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2024-01-04T05:57:57Z</dcterms:created>
  <dcterms:modified xsi:type="dcterms:W3CDTF">2024-01-04T05:57:57Z</dcterms:modified>
</cp:coreProperties>
</file>