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MOBILEYE GLOBAL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 October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420" w:right="7719" w:firstLine="9"/>
        <w:spacing w:after="0" w:line="612"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5,237,254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6,190,476</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914" w:orient="portrait"/>
          <w:cols w:equalWidth="0" w:num="1">
            <w:col w:w="10139"/>
          </w:cols>
          <w:pgMar w:left="320" w:top="218" w:right="1440" w:bottom="0" w:gutter="0" w:footer="0" w:header="0"/>
        </w:sectPr>
      </w:pPr>
    </w:p>
    <w:bookmarkStart w:id="1" w:name="page2"/>
    <w:bookmarkEnd w:id="1"/>
    <w:p>
      <w:pPr>
        <w:ind w:left="2120" w:hanging="322"/>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91" w:lineRule="exact"/>
        <w:rPr>
          <w:rFonts w:ascii="Courier New" w:cs="Courier New" w:eastAsia="Courier New" w:hAnsi="Courier New"/>
          <w:sz w:val="18"/>
          <w:szCs w:val="18"/>
          <w:color w:val="auto"/>
        </w:rPr>
      </w:pPr>
    </w:p>
    <w:p>
      <w:pPr>
        <w:ind w:left="6440" w:right="2759" w:hanging="6432"/>
        <w:spacing w:after="0" w:line="330" w:lineRule="auto"/>
        <w:tabs>
          <w:tab w:leader="none" w:pos="33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6,190,476</w:t>
      </w:r>
    </w:p>
    <w:p>
      <w:pPr>
        <w:spacing w:after="0" w:line="358" w:lineRule="exact"/>
        <w:rPr>
          <w:rFonts w:ascii="Courier New" w:cs="Courier New" w:eastAsia="Courier New" w:hAnsi="Courier New"/>
          <w:sz w:val="16"/>
          <w:szCs w:val="16"/>
          <w:color w:val="auto"/>
        </w:rPr>
      </w:pPr>
    </w:p>
    <w:p>
      <w:pPr>
        <w:ind w:left="320" w:right="2979" w:hanging="312"/>
        <w:spacing w:after="0" w:line="346"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11.93%</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Mobileye Global Inc.</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Issuer</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Har Hotzvim,</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13 Hartom Street,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P.O. Box 45157</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Courier New" w:cs="Courier New" w:eastAsia="Courier New" w:hAnsi="Courier New"/>
                <w:sz w:val="18"/>
                <w:szCs w:val="18"/>
                <w:color w:val="auto"/>
              </w:rPr>
              <w:t>Jerusalem L3 97775</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Baillie Gifford &amp; Co</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Person Filing</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Calton Square</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1 Greenside Row</w:t>
      </w:r>
    </w:p>
    <w:p>
      <w:pPr>
        <w:ind w:left="5060"/>
        <w:spacing w:after="0" w:line="238" w:lineRule="auto"/>
        <w:rPr>
          <w:sz w:val="20"/>
          <w:szCs w:val="20"/>
          <w:color w:val="auto"/>
        </w:rPr>
      </w:pPr>
      <w:r>
        <w:rPr>
          <w:rFonts w:ascii="Courier New" w:cs="Courier New" w:eastAsia="Courier New" w:hAnsi="Courier New"/>
          <w:sz w:val="18"/>
          <w:szCs w:val="18"/>
          <w:color w:val="auto"/>
        </w:rPr>
        <w:t>Edinburgh EH1 3AN</w:t>
      </w:r>
    </w:p>
    <w:p>
      <w:pPr>
        <w:ind w:left="5060"/>
        <w:spacing w:after="0" w:line="238" w:lineRule="auto"/>
        <w:rPr>
          <w:sz w:val="20"/>
          <w:szCs w:val="20"/>
          <w:color w:val="auto"/>
        </w:rPr>
      </w:pPr>
      <w:r>
        <w:rPr>
          <w:rFonts w:ascii="Courier New" w:cs="Courier New" w:eastAsia="Courier New" w:hAnsi="Courier New"/>
          <w:sz w:val="18"/>
          <w:szCs w:val="18"/>
          <w:color w:val="auto"/>
        </w:rPr>
        <w:t>Scotland</w:t>
      </w:r>
    </w:p>
    <w:p>
      <w:pPr>
        <w:spacing w:after="0" w:line="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139"/>
          </w:cols>
          <w:pgMar w:left="320" w:top="110" w:right="1440" w:bottom="0" w:gutter="0" w:footer="0" w:header="0"/>
        </w:sectPr>
      </w:pP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60741F104</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 w:lineRule="exact"/>
        <w:rPr>
          <w:sz w:val="20"/>
          <w:szCs w:val="20"/>
          <w:color w:val="auto"/>
        </w:rPr>
      </w:pPr>
    </w:p>
    <w:p>
      <w:pPr>
        <w:ind w:left="640" w:right="359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1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640" w:right="317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740" w:right="2759" w:hanging="732"/>
        <w:spacing w:after="0" w:line="34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240.13d-</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1(b)(1)(ii)(E)</w:t>
      </w:r>
    </w:p>
    <w:p>
      <w:pPr>
        <w:spacing w:after="0" w:line="169" w:lineRule="exact"/>
        <w:rPr>
          <w:sz w:val="20"/>
          <w:szCs w:val="20"/>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19" w:lineRule="exact"/>
        <w:rPr>
          <w:rFonts w:ascii="Courier New" w:cs="Courier New" w:eastAsia="Courier New" w:hAnsi="Courier New"/>
          <w:sz w:val="18"/>
          <w:szCs w:val="18"/>
          <w:color w:val="auto"/>
        </w:rPr>
      </w:pPr>
    </w:p>
    <w:p>
      <w:pPr>
        <w:ind w:left="740" w:right="265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 X</w:t>
      </w:r>
      <w:r>
        <w:rPr>
          <w:sz w:val="20"/>
          <w:szCs w:val="20"/>
          <w:color w:val="auto"/>
        </w:rPr>
        <w:tab/>
      </w:r>
      <w:r>
        <w:rPr>
          <w:rFonts w:ascii="Courier New" w:cs="Courier New" w:eastAsia="Courier New" w:hAnsi="Courier New"/>
          <w:sz w:val="16"/>
          <w:szCs w:val="16"/>
          <w:color w:val="auto"/>
        </w:rPr>
        <w:t>A non-U.S. institution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240.13d-1(b)(1)(ii)(K). If filing as a non-U.S.</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institution in accordance with 240.13d-1(b)(1)(ii)(J),</w:t>
      </w:r>
    </w:p>
    <w:p>
      <w:pPr>
        <w:ind w:left="860"/>
        <w:spacing w:after="0"/>
        <w:rPr>
          <w:sz w:val="20"/>
          <w:szCs w:val="20"/>
          <w:color w:val="auto"/>
        </w:rPr>
      </w:pPr>
      <w:r>
        <w:rPr>
          <w:rFonts w:ascii="Courier New" w:cs="Courier New" w:eastAsia="Courier New" w:hAnsi="Courier New"/>
          <w:sz w:val="18"/>
          <w:szCs w:val="18"/>
          <w:color w:val="auto"/>
        </w:rPr>
        <w:t>please specify the type of institution: ____</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Percentage of the class of securities of the issuer identified in Item 1.</w:t>
      </w:r>
    </w:p>
    <w:p>
      <w:pPr>
        <w:spacing w:after="0" w:line="22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31" w:lineRule="exact"/>
        <w:rPr>
          <w:sz w:val="20"/>
          <w:szCs w:val="20"/>
          <w:color w:val="auto"/>
        </w:rPr>
      </w:pPr>
    </w:p>
    <w:p>
      <w:pPr>
        <w:ind w:left="640" w:right="52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ind w:left="640" w:right="50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ind w:left="640" w:right="391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ind w:left="640" w:right="3699" w:hanging="632"/>
        <w:spacing w:after="0" w:line="309"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439"/>
        <w:spacing w:after="0" w:line="287" w:lineRule="auto"/>
        <w:rPr>
          <w:sz w:val="20"/>
          <w:szCs w:val="20"/>
          <w:color w:val="auto"/>
        </w:rPr>
      </w:pPr>
      <w:r>
        <w:rPr>
          <w:rFonts w:ascii="Courier New" w:cs="Courier New" w:eastAsia="Courier New" w:hAnsi="Courier New"/>
          <w:sz w:val="16"/>
          <w:szCs w:val="16"/>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Vanguard International Growth Fund, a US registered investment company sub-advised by Baillie Gifford Overseas Limited.</w:t>
      </w:r>
    </w:p>
    <w:p>
      <w:pPr>
        <w:spacing w:after="0" w:line="291"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2979" w:firstLine="8"/>
        <w:spacing w:after="0" w:line="238"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ind w:right="339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04 November 2022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Grant Miekle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3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31" w:lineRule="exact"/>
        <w:rPr>
          <w:sz w:val="20"/>
          <w:szCs w:val="20"/>
          <w:color w:val="auto"/>
        </w:rPr>
      </w:pPr>
    </w:p>
    <w:p>
      <w:pPr>
        <w:ind w:right="2439"/>
        <w:spacing w:after="0" w:line="309"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50"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2022-11-07T06:52:28Z</dcterms:created>
  <dcterms:modified xsi:type="dcterms:W3CDTF">2022-11-07T06:52:28Z</dcterms:modified>
</cp:coreProperties>
</file>