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4"/>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Shemesh Rojansky Moran</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4"/>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60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06/26/2023</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tcPr>
          <w:p>
            <w:pPr>
              <w:ind w:left="320"/>
              <w:spacing w:after="0"/>
              <w:rPr>
                <w:sz w:val="20"/>
                <w:szCs w:val="20"/>
                <w:color w:val="auto"/>
              </w:rPr>
            </w:pPr>
            <w:r>
              <w:rPr>
                <w:rFonts w:ascii="Arial" w:cs="Arial" w:eastAsia="Arial" w:hAnsi="Arial"/>
                <w:sz w:val="15"/>
                <w:szCs w:val="15"/>
                <w:color w:val="auto"/>
              </w:rPr>
              <w:t>(First)</w:t>
            </w:r>
          </w:p>
        </w:tc>
        <w:tc>
          <w:tcPr>
            <w:tcW w:w="1140" w:type="dxa"/>
            <w:vAlign w:val="bottom"/>
            <w:gridSpan w:val="2"/>
          </w:tcPr>
          <w:p>
            <w:pPr>
              <w:ind w:left="140"/>
              <w:spacing w:after="0"/>
              <w:rPr>
                <w:sz w:val="20"/>
                <w:szCs w:val="20"/>
                <w:color w:val="auto"/>
              </w:rPr>
            </w:pPr>
            <w:r>
              <w:rPr>
                <w:rFonts w:ascii="Arial" w:cs="Arial" w:eastAsia="Arial" w:hAnsi="Arial"/>
                <w:sz w:val="15"/>
                <w:szCs w:val="15"/>
                <w:color w:val="auto"/>
              </w:rPr>
              <w:t>(Middle)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color w:val="0000FF"/>
              </w:rPr>
              <w:t>C/O MOBILEYE B.V.</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2080"/>
        <w:spacing w:after="0" w:line="269" w:lineRule="auto"/>
        <w:rPr>
          <w:sz w:val="20"/>
          <w:szCs w:val="20"/>
          <w:color w:val="auto"/>
        </w:rPr>
      </w:pPr>
      <w:r>
        <w:rPr>
          <w:rFonts w:ascii="Arial" w:cs="Arial" w:eastAsia="Arial" w:hAnsi="Arial"/>
          <w:sz w:val="20"/>
          <w:szCs w:val="20"/>
          <w:color w:val="0000FF"/>
        </w:rPr>
        <w:t>HAR HOTZVIM, 13 HARTOM STREET</w:t>
      </w:r>
    </w:p>
    <w:p>
      <w:pPr>
        <w:spacing w:after="0" w:line="279"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6"/>
                <w:szCs w:val="16"/>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JERUSALEM L3</w:t>
            </w:r>
          </w:p>
        </w:tc>
        <w:tc>
          <w:tcPr>
            <w:tcW w:w="1020" w:type="dxa"/>
            <w:vAlign w:val="bottom"/>
          </w:tcPr>
          <w:p>
            <w:pPr>
              <w:jc w:val="right"/>
              <w:spacing w:after="0"/>
              <w:rPr>
                <w:sz w:val="20"/>
                <w:szCs w:val="20"/>
                <w:color w:val="auto"/>
              </w:rPr>
            </w:pPr>
            <w:r>
              <w:rPr>
                <w:rFonts w:ascii="Arial" w:cs="Arial" w:eastAsia="Arial" w:hAnsi="Arial"/>
                <w:sz w:val="20"/>
                <w:szCs w:val="20"/>
                <w:color w:val="0000FF"/>
              </w:rPr>
              <w:t>9777513</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Mobileye Global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MBLY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760" w:type="dxa"/>
            <w:vAlign w:val="bottom"/>
            <w:gridSpan w:val="2"/>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7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0"/>
        </w:trPr>
        <w:tc>
          <w:tcPr>
            <w:tcW w:w="34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5"/>
                <w:szCs w:val="15"/>
                <w:color w:val="auto"/>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0"/>
        </w:trPr>
        <w:tc>
          <w:tcPr>
            <w:tcW w:w="340" w:type="dxa"/>
            <w:vAlign w:val="bottom"/>
          </w:tcPr>
          <w:p>
            <w:pPr>
              <w:ind w:left="180"/>
              <w:spacing w:after="0" w:line="210" w:lineRule="exact"/>
              <w:rPr>
                <w:sz w:val="20"/>
                <w:szCs w:val="20"/>
                <w:color w:val="auto"/>
              </w:rPr>
            </w:pPr>
            <w:r>
              <w:rPr>
                <w:rFonts w:ascii="Arial" w:cs="Arial" w:eastAsia="Arial" w:hAnsi="Arial"/>
                <w:sz w:val="20"/>
                <w:szCs w:val="20"/>
                <w:color w:val="0000FF"/>
              </w:rPr>
              <w:t>X</w:t>
            </w:r>
          </w:p>
        </w:tc>
        <w:tc>
          <w:tcPr>
            <w:tcW w:w="1420" w:type="dxa"/>
            <w:vAlign w:val="bottom"/>
          </w:tcPr>
          <w:p>
            <w:pPr>
              <w:ind w:left="18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1420" w:type="dxa"/>
            <w:vAlign w:val="bottom"/>
          </w:tcPr>
          <w:p>
            <w:pPr>
              <w:ind w:left="180"/>
              <w:spacing w:after="0"/>
              <w:rPr>
                <w:sz w:val="20"/>
                <w:szCs w:val="20"/>
                <w:color w:val="auto"/>
              </w:rPr>
            </w:pPr>
            <w:r>
              <w:rPr>
                <w:rFonts w:ascii="Arial" w:cs="Arial" w:eastAsia="Arial" w:hAnsi="Arial"/>
                <w:sz w:val="15"/>
                <w:szCs w:val="15"/>
                <w:color w:val="auto"/>
              </w:rPr>
              <w:t>title below)</w:t>
            </w:r>
          </w:p>
        </w:tc>
        <w:tc>
          <w:tcPr>
            <w:tcW w:w="1440" w:type="dxa"/>
            <w:vAlign w:val="bottom"/>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74"/>
        </w:trPr>
        <w:tc>
          <w:tcPr>
            <w:tcW w:w="340" w:type="dxa"/>
            <w:vAlign w:val="bottom"/>
          </w:tcPr>
          <w:p>
            <w:pPr>
              <w:spacing w:after="0"/>
              <w:rPr>
                <w:sz w:val="23"/>
                <w:szCs w:val="23"/>
                <w:color w:val="auto"/>
              </w:rPr>
            </w:pPr>
          </w:p>
        </w:tc>
        <w:tc>
          <w:tcPr>
            <w:tcW w:w="2860" w:type="dxa"/>
            <w:vAlign w:val="bottom"/>
            <w:gridSpan w:val="2"/>
          </w:tcPr>
          <w:p>
            <w:pPr>
              <w:ind w:left="20"/>
              <w:spacing w:after="0"/>
              <w:rPr>
                <w:sz w:val="20"/>
                <w:szCs w:val="20"/>
                <w:color w:val="auto"/>
              </w:rPr>
            </w:pPr>
            <w:r>
              <w:rPr>
                <w:rFonts w:ascii="Arial" w:cs="Arial" w:eastAsia="Arial" w:hAnsi="Arial"/>
                <w:sz w:val="20"/>
                <w:szCs w:val="20"/>
                <w:color w:val="0000FF"/>
              </w:rPr>
              <w:t>Acting Chief Financial Officer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57"/>
        </w:trPr>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r>
      <w:tr>
        <w:trPr>
          <w:trHeight w:val="214"/>
        </w:trPr>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gridSpan w:val="2"/>
          </w:tcPr>
          <w:p>
            <w:pPr>
              <w:ind w:left="80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2"/>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20" w:type="dxa"/>
            <w:vAlign w:val="bottom"/>
            <w:gridSpan w:val="2"/>
          </w:tcPr>
          <w:p>
            <w:pPr>
              <w:ind w:left="80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800"/>
              <w:spacing w:after="0" w:line="165" w:lineRule="exact"/>
              <w:rPr>
                <w:sz w:val="20"/>
                <w:szCs w:val="20"/>
                <w:color w:val="auto"/>
              </w:rPr>
            </w:pPr>
            <w:r>
              <w:rPr>
                <w:rFonts w:ascii="Arial" w:cs="Arial" w:eastAsia="Arial" w:hAnsi="Arial"/>
                <w:sz w:val="15"/>
                <w:szCs w:val="15"/>
                <w:b w:val="1"/>
                <w:bCs w:val="1"/>
                <w:color w:val="auto"/>
                <w:w w:val="89"/>
              </w:rPr>
              <w:t>4)</w:t>
            </w:r>
          </w:p>
        </w:tc>
        <w:tc>
          <w:tcPr>
            <w:tcW w:w="1780" w:type="dxa"/>
            <w:vAlign w:val="bottom"/>
          </w:tcPr>
          <w:p>
            <w:pPr>
              <w:spacing w:after="0"/>
              <w:rPr>
                <w:sz w:val="14"/>
                <w:szCs w:val="14"/>
                <w:color w:val="auto"/>
              </w:rPr>
            </w:pPr>
          </w:p>
        </w:tc>
        <w:tc>
          <w:tcPr>
            <w:tcW w:w="13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80" w:type="dxa"/>
            <w:vAlign w:val="bottom"/>
          </w:tcPr>
          <w:p>
            <w:pPr>
              <w:ind w:left="540"/>
              <w:spacing w:after="0"/>
              <w:rPr>
                <w:sz w:val="20"/>
                <w:szCs w:val="20"/>
                <w:color w:val="auto"/>
              </w:rPr>
            </w:pPr>
            <w:r>
              <w:rPr>
                <w:rFonts w:ascii="Arial" w:cs="Arial" w:eastAsia="Arial" w:hAnsi="Arial"/>
                <w:sz w:val="20"/>
                <w:szCs w:val="20"/>
                <w:color w:val="0000FF"/>
              </w:rPr>
              <w:t>12,153</w:t>
            </w:r>
          </w:p>
        </w:tc>
        <w:tc>
          <w:tcPr>
            <w:tcW w:w="740" w:type="dxa"/>
            <w:vAlign w:val="bottom"/>
          </w:tcPr>
          <w:p>
            <w:pPr>
              <w:ind w:left="600"/>
              <w:spacing w:after="0"/>
              <w:rPr>
                <w:sz w:val="20"/>
                <w:szCs w:val="20"/>
                <w:color w:val="auto"/>
              </w:rPr>
            </w:pPr>
            <w:r>
              <w:rPr>
                <w:rFonts w:ascii="Arial" w:cs="Arial" w:eastAsia="Arial" w:hAnsi="Arial"/>
                <w:sz w:val="20"/>
                <w:szCs w:val="20"/>
                <w:color w:val="0000FF"/>
                <w:w w:val="82"/>
              </w:rPr>
              <w:t>D</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40" w:type="dxa"/>
            <w:vAlign w:val="bottom"/>
            <w:tcBorders>
              <w:bottom w:val="single" w:sz="8" w:color="2C2C2C"/>
            </w:tcBorders>
            <w:gridSpan w:val="5"/>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040" w:type="dxa"/>
            <w:vAlign w:val="bottom"/>
            <w:tcBorders>
              <w:top w:val="single" w:sz="8" w:color="2C2C2C"/>
            </w:tcBorders>
            <w:gridSpan w:val="5"/>
          </w:tcPr>
          <w:p>
            <w:pPr>
              <w:ind w:left="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40" w:type="dxa"/>
            <w:vAlign w:val="bottom"/>
          </w:tcPr>
          <w:p>
            <w:pPr>
              <w:spacing w:after="0"/>
              <w:rPr>
                <w:sz w:val="17"/>
                <w:szCs w:val="17"/>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740" w:type="dxa"/>
            <w:vAlign w:val="bottom"/>
          </w:tcPr>
          <w:p>
            <w:pPr>
              <w:ind w:left="100"/>
              <w:spacing w:after="0" w:line="161" w:lineRule="exact"/>
              <w:rPr>
                <w:sz w:val="20"/>
                <w:szCs w:val="20"/>
                <w:color w:val="auto"/>
              </w:rPr>
            </w:pPr>
            <w:r>
              <w:rPr>
                <w:rFonts w:ascii="Arial" w:cs="Arial" w:eastAsia="Arial" w:hAnsi="Arial"/>
                <w:sz w:val="15"/>
                <w:szCs w:val="15"/>
                <w:b w:val="1"/>
                <w:bCs w:val="1"/>
                <w:color w:val="auto"/>
              </w:rPr>
              <w:t>Number</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7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vMerge w:val="continue"/>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Restricted Stock Units</w:t>
            </w:r>
          </w:p>
        </w:tc>
        <w:tc>
          <w:tcPr>
            <w:tcW w:w="13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1780" w:type="dxa"/>
            <w:vAlign w:val="bottom"/>
          </w:tcPr>
          <w:p>
            <w:pPr>
              <w:ind w:left="200"/>
              <w:spacing w:after="0"/>
              <w:rPr>
                <w:sz w:val="20"/>
                <w:szCs w:val="20"/>
                <w:color w:val="auto"/>
              </w:rPr>
            </w:pPr>
            <w:r>
              <w:rPr>
                <w:rFonts w:ascii="Arial" w:cs="Arial" w:eastAsia="Arial" w:hAnsi="Arial"/>
                <w:sz w:val="20"/>
                <w:szCs w:val="20"/>
                <w:color w:val="0000FF"/>
              </w:rPr>
              <w:t>Class A Common</w:t>
            </w:r>
          </w:p>
        </w:tc>
        <w:tc>
          <w:tcPr>
            <w:tcW w:w="740" w:type="dxa"/>
            <w:vAlign w:val="bottom"/>
            <w:vMerge w:val="restart"/>
          </w:tcPr>
          <w:p>
            <w:pPr>
              <w:ind w:left="120"/>
              <w:spacing w:after="0"/>
              <w:rPr>
                <w:sz w:val="20"/>
                <w:szCs w:val="20"/>
                <w:color w:val="auto"/>
              </w:rPr>
            </w:pPr>
            <w:r>
              <w:rPr>
                <w:rFonts w:ascii="Arial" w:cs="Arial" w:eastAsia="Arial" w:hAnsi="Arial"/>
                <w:sz w:val="20"/>
                <w:szCs w:val="20"/>
                <w:color w:val="0000FF"/>
                <w:w w:val="98"/>
              </w:rPr>
              <w:t>14,190</w:t>
            </w:r>
          </w:p>
        </w:tc>
        <w:tc>
          <w:tcPr>
            <w:tcW w:w="6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380" w:type="dxa"/>
            <w:vAlign w:val="bottom"/>
          </w:tcPr>
          <w:p>
            <w:pPr>
              <w:spacing w:after="0"/>
              <w:rPr>
                <w:sz w:val="24"/>
                <w:szCs w:val="24"/>
                <w:color w:val="auto"/>
              </w:rPr>
            </w:pP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780" w:type="dxa"/>
            <w:vAlign w:val="bottom"/>
            <w:vMerge w:val="restart"/>
          </w:tcPr>
          <w:p>
            <w:pPr>
              <w:ind w:left="660"/>
              <w:spacing w:after="0"/>
              <w:rPr>
                <w:sz w:val="20"/>
                <w:szCs w:val="20"/>
                <w:color w:val="auto"/>
              </w:rPr>
            </w:pPr>
            <w:r>
              <w:rPr>
                <w:rFonts w:ascii="Arial" w:cs="Arial" w:eastAsia="Arial" w:hAnsi="Arial"/>
                <w:sz w:val="20"/>
                <w:szCs w:val="20"/>
                <w:color w:val="0000FF"/>
              </w:rPr>
              <w:t>Stock</w:t>
            </w:r>
          </w:p>
        </w:tc>
        <w:tc>
          <w:tcPr>
            <w:tcW w:w="7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restricted stock unit (RSU) represents the right to receive, following vesting, one share of Class A common stock of Mobileye Global Inc.</w:t>
      </w:r>
    </w:p>
    <w:p>
      <w:pPr>
        <w:spacing w:after="0" w:line="52" w:lineRule="exact"/>
        <w:rPr>
          <w:rFonts w:ascii="Arial" w:cs="Arial" w:eastAsia="Arial" w:hAnsi="Arial"/>
          <w:sz w:val="15"/>
          <w:szCs w:val="15"/>
          <w:color w:val="008000"/>
        </w:rPr>
      </w:pPr>
    </w:p>
    <w:p>
      <w:pPr>
        <w:jc w:val="both"/>
        <w:ind w:left="40" w:right="12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Unless forfeited earlier under the terms of the RSU Agreement, the RSUs will vest as follows: (a) 33% of the RSUs vested and converted into common stock on the six-month anniversary of the grant date (which grant date is October 26, 2022), (b) 33% of the RSUs vest and convert into common stock on the twenty-month anniversary of the grant date and (c) 34% of the RSUs vest and convert into common stock on the thirty-two month anniversary of the grant date. If a vesting date falls on a non-business date, the next business date shall apply.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ind w:left="6560"/>
        <w:spacing w:after="0" w:line="181" w:lineRule="auto"/>
        <w:rPr>
          <w:sz w:val="20"/>
          <w:szCs w:val="20"/>
          <w:color w:val="auto"/>
        </w:rPr>
      </w:pPr>
      <w:r>
        <w:rPr>
          <w:rFonts w:ascii="Arial" w:cs="Arial" w:eastAsia="Arial" w:hAnsi="Arial"/>
          <w:sz w:val="20"/>
          <w:szCs w:val="20"/>
          <w:color w:val="0000FF"/>
        </w:rPr>
        <w:t xml:space="preserve">/s/ Liz Cohen-Yerushalmi,  </w:t>
      </w:r>
      <w:r>
        <w:rPr>
          <w:rFonts w:ascii="Arial" w:cs="Arial" w:eastAsia="Arial" w:hAnsi="Arial"/>
          <w:sz w:val="39"/>
          <w:szCs w:val="39"/>
          <w:color w:val="0000FF"/>
          <w:vertAlign w:val="subscript"/>
        </w:rPr>
        <w:t>07/05/2023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-31115</wp:posOffset>
            </wp:positionV>
            <wp:extent cx="130556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556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-25400</wp:posOffset>
            </wp:positionV>
            <wp:extent cx="8324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832485" cy="952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60"/>
        <w:spacing w:after="0" w:line="213" w:lineRule="auto"/>
        <w:rPr>
          <w:sz w:val="20"/>
          <w:szCs w:val="20"/>
          <w:color w:val="auto"/>
        </w:rPr>
      </w:pPr>
      <w:r>
        <w:rPr>
          <w:rFonts w:ascii="Arial" w:cs="Arial" w:eastAsia="Arial" w:hAnsi="Arial"/>
          <w:sz w:val="15"/>
          <w:szCs w:val="15"/>
          <w:color w:val="auto"/>
        </w:rPr>
        <w:t>** Signature of Reporting</w:t>
      </w:r>
    </w:p>
    <w:p>
      <w:pPr>
        <w:ind w:left="6560"/>
        <w:spacing w:after="0" w:line="208" w:lineRule="auto"/>
        <w:tabs>
          <w:tab w:leader="none" w:pos="8740" w:val="left"/>
        </w:tabs>
        <w:rPr>
          <w:sz w:val="20"/>
          <w:szCs w:val="20"/>
          <w:color w:val="auto"/>
        </w:rPr>
      </w:pPr>
      <w:r>
        <w:rPr>
          <w:rFonts w:ascii="Arial" w:cs="Arial" w:eastAsia="Arial" w:hAnsi="Arial"/>
          <w:sz w:val="15"/>
          <w:szCs w:val="15"/>
          <w:color w:val="auto"/>
        </w:rPr>
        <w:t>Person</w:t>
      </w:r>
      <w:r>
        <w:rPr>
          <w:sz w:val="20"/>
          <w:szCs w:val="20"/>
          <w:color w:val="auto"/>
        </w:rPr>
        <w:tab/>
      </w:r>
      <w:r>
        <w:rPr>
          <w:rFonts w:ascii="Arial" w:cs="Arial" w:eastAsia="Arial" w:hAnsi="Arial"/>
          <w:sz w:val="30"/>
          <w:szCs w:val="30"/>
          <w:color w:val="auto"/>
          <w:vertAlign w:val="superscript"/>
        </w:rPr>
        <w:t>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POWER OF ATTORNEY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(For Executing Form ID and Forms 3, 4 and 5)</w:t>
      </w:r>
    </w:p>
    <w:p>
      <w:pPr>
        <w:spacing w:after="0" w:line="250" w:lineRule="exact"/>
        <w:rPr>
          <w:sz w:val="20"/>
          <w:szCs w:val="20"/>
          <w:color w:val="auto"/>
        </w:rPr>
      </w:pPr>
    </w:p>
    <w:p>
      <w:pPr>
        <w:jc w:val="both"/>
        <w:ind w:left="120" w:right="120" w:firstLine="916"/>
        <w:spacing w:after="0" w:line="264" w:lineRule="auto"/>
        <w:rPr>
          <w:sz w:val="20"/>
          <w:szCs w:val="20"/>
          <w:color w:val="auto"/>
        </w:rPr>
      </w:pPr>
      <w:r>
        <w:rPr>
          <w:rFonts w:ascii="Arial" w:cs="Arial" w:eastAsia="Arial" w:hAnsi="Arial"/>
          <w:sz w:val="20"/>
          <w:szCs w:val="20"/>
          <w:color w:val="auto"/>
        </w:rPr>
        <w:t>Know all by these presents, that the undersigned hereby constitutes and appoints each of Liz Cohen Yerushalmi, Jesse Infeld, Sandra Manor Richter, Saul Brownstein, Tali Har Oz and Rinat Kriheli of Mobileye Global Inc. (the “Company”), signing individually, the undersigned’s true and lawful attorneys-in-fact and agents to:</w:t>
      </w:r>
    </w:p>
    <w:p>
      <w:pPr>
        <w:spacing w:after="0" w:line="202" w:lineRule="exact"/>
        <w:rPr>
          <w:sz w:val="20"/>
          <w:szCs w:val="20"/>
          <w:color w:val="auto"/>
        </w:rPr>
      </w:pPr>
    </w:p>
    <w:p>
      <w:pPr>
        <w:jc w:val="both"/>
        <w:ind w:left="120" w:right="120" w:firstLine="916"/>
        <w:spacing w:after="0" w:line="257" w:lineRule="auto"/>
        <w:tabs>
          <w:tab w:leader="none" w:pos="2412"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9" w:lineRule="exact"/>
        <w:rPr>
          <w:rFonts w:ascii="Arial" w:cs="Arial" w:eastAsia="Arial" w:hAnsi="Arial"/>
          <w:sz w:val="20"/>
          <w:szCs w:val="20"/>
          <w:color w:val="auto"/>
        </w:rPr>
      </w:pPr>
    </w:p>
    <w:p>
      <w:pPr>
        <w:jc w:val="both"/>
        <w:ind w:left="120" w:right="120" w:firstLine="916"/>
        <w:spacing w:after="0" w:line="259" w:lineRule="auto"/>
        <w:tabs>
          <w:tab w:leader="none" w:pos="2438"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08" w:lineRule="exact"/>
        <w:rPr>
          <w:sz w:val="20"/>
          <w:szCs w:val="20"/>
          <w:color w:val="auto"/>
        </w:rPr>
      </w:pPr>
    </w:p>
    <w:p>
      <w:pPr>
        <w:jc w:val="both"/>
        <w:ind w:left="120" w:right="120" w:firstLine="916"/>
        <w:spacing w:after="0" w:line="277" w:lineRule="auto"/>
        <w:rPr>
          <w:sz w:val="20"/>
          <w:szCs w:val="20"/>
          <w:color w:val="auto"/>
        </w:rPr>
      </w:pPr>
      <w:r>
        <w:rPr>
          <w:rFonts w:ascii="Arial" w:cs="Arial" w:eastAsia="Arial" w:hAnsi="Arial"/>
          <w:sz w:val="19"/>
          <w:szCs w:val="19"/>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2" w:lineRule="exact"/>
        <w:rPr>
          <w:sz w:val="20"/>
          <w:szCs w:val="20"/>
          <w:color w:val="auto"/>
        </w:rPr>
      </w:pPr>
    </w:p>
    <w:p>
      <w:pPr>
        <w:jc w:val="both"/>
        <w:ind w:left="120" w:right="120" w:firstLine="916"/>
        <w:spacing w:after="0" w:line="287" w:lineRule="auto"/>
        <w:rPr>
          <w:sz w:val="20"/>
          <w:szCs w:val="20"/>
          <w:color w:val="auto"/>
        </w:rPr>
      </w:pPr>
      <w:r>
        <w:rPr>
          <w:rFonts w:ascii="Arial" w:cs="Arial" w:eastAsia="Arial" w:hAnsi="Arial"/>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left="120" w:right="120" w:firstLine="916"/>
        <w:spacing w:after="0" w:line="287" w:lineRule="auto"/>
        <w:rPr>
          <w:sz w:val="20"/>
          <w:szCs w:val="20"/>
          <w:color w:val="auto"/>
        </w:rPr>
      </w:pPr>
      <w:r>
        <w:rPr>
          <w:rFonts w:ascii="Arial" w:cs="Arial" w:eastAsia="Arial" w:hAnsi="Arial"/>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1" w:lineRule="exact"/>
        <w:rPr>
          <w:sz w:val="20"/>
          <w:szCs w:val="20"/>
          <w:color w:val="auto"/>
        </w:rPr>
      </w:pPr>
    </w:p>
    <w:p>
      <w:pPr>
        <w:ind w:left="120" w:right="120"/>
        <w:spacing w:after="0" w:line="261" w:lineRule="auto"/>
        <w:tabs>
          <w:tab w:leader="none" w:pos="415"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revocation by the undersigned in a signed writing delivered to the Company and the foregoing attorneys-in-fact or (c) as to any attorney-in-fact individually, until such attorney-in-fact is no longer employed by the Company, as applicable.</w:t>
      </w:r>
    </w:p>
    <w:p>
      <w:pPr>
        <w:spacing w:after="0" w:line="20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Date: July 2, 2023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 Moran Shemesh Rojansky</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Name: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29679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967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1178560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982649"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2023-07-05T16:56:21Z</dcterms:created>
  <dcterms:modified xsi:type="dcterms:W3CDTF">2023-07-05T16:56:21Z</dcterms:modified>
</cp:coreProperties>
</file>