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1, 2023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w:t>
      </w:r>
    </w:p>
    <w:p>
      <w:pPr>
        <w:ind w:left="220" w:hanging="212"/>
        <w:spacing w:after="0" w:line="186" w:lineRule="auto"/>
        <w:tabs>
          <w:tab w:leader="none" w:pos="22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284" w:lineRule="exact"/>
        <w:rPr>
          <w:sz w:val="24"/>
          <w:szCs w:val="24"/>
          <w:color w:val="auto"/>
        </w:rPr>
      </w:pPr>
    </w:p>
    <w:p>
      <w:pPr>
        <w:ind w:left="2960"/>
        <w:spacing w:after="0"/>
        <w:tabs>
          <w:tab w:leader="none" w:pos="5980" w:val="left"/>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001-41541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Mobileye Global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7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c/o Mobileye B.V.</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+972-2-541-7333</w:t>
      </w:r>
    </w:p>
    <w:p>
      <w:pPr>
        <w:spacing w:after="0" w:line="9" w:lineRule="exact"/>
        <w:rPr>
          <w:sz w:val="24"/>
          <w:szCs w:val="24"/>
          <w:color w:val="auto"/>
        </w:rPr>
      </w:pPr>
    </w:p>
    <w:p>
      <w:pPr>
        <w:sectPr>
          <w:pgSz w:w="11900" w:h="16838" w:orient="portrait"/>
          <w:cols w:equalWidth="0" w:num="2">
            <w:col w:w="5460" w:space="720"/>
            <w:col w:w="3740"/>
          </w:cols>
          <w:pgMar w:left="980" w:top="665" w:right="999" w:bottom="1440" w:gutter="0" w:footer="0" w:header="0"/>
          <w:type w:val="continuous"/>
        </w:sectPr>
      </w:pPr>
    </w:p>
    <w:p>
      <w:pPr>
        <w:jc w:val="center"/>
        <w:ind w:right="500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4"/>
          <w:szCs w:val="24"/>
          <w:color w:val="auto"/>
        </w:rPr>
      </w:pPr>
    </w:p>
    <w:p>
      <w:pPr>
        <w:jc w:val="center"/>
        <w:ind w:right="5000"/>
        <w:spacing w:after="0"/>
        <w:rPr>
          <w:sz w:val="20"/>
          <w:szCs w:val="20"/>
          <w:color w:val="auto"/>
        </w:rPr>
      </w:pPr>
      <w:r>
        <w:rPr>
          <w:rFonts w:ascii="Arial" w:cs="Arial" w:eastAsia="Arial" w:hAnsi="Arial"/>
          <w:sz w:val="16"/>
          <w:szCs w:val="16"/>
          <w:color w:val="auto"/>
        </w:rPr>
        <w:t>P.O. Box 45157 Jerusalem 9777513, Israel</w:t>
      </w:r>
    </w:p>
    <w:p>
      <w:pPr>
        <w:sectPr>
          <w:pgSz w:w="11900" w:h="16838" w:orient="portrait"/>
          <w:cols w:equalWidth="0" w:num="1">
            <w:col w:w="9920"/>
          </w:cols>
          <w:pgMar w:left="980" w:top="665" w:right="999" w:bottom="1440" w:gutter="0" w:footer="0" w:header="0"/>
          <w:type w:val="continuous"/>
        </w:sectPr>
      </w:pPr>
    </w:p>
    <w:p>
      <w:pPr>
        <w:spacing w:after="0" w:line="32" w:lineRule="exact"/>
        <w:rPr>
          <w:sz w:val="24"/>
          <w:szCs w:val="24"/>
          <w:color w:val="auto"/>
        </w:rPr>
      </w:pPr>
    </w:p>
    <w:p>
      <w:pPr>
        <w:ind w:left="620"/>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sectPr>
          <w:pgSz w:w="11900" w:h="16838" w:orient="portrait"/>
          <w:cols w:equalWidth="0" w:num="2">
            <w:col w:w="4880" w:space="720"/>
            <w:col w:w="4320"/>
          </w:cols>
          <w:pgMar w:left="980" w:top="665" w:right="999" w:bottom="1440" w:gutter="0" w:footer="0" w:header="0"/>
          <w:type w:val="continuous"/>
        </w:sect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9920"/>
          </w:cols>
          <w:pgMar w:left="980" w:top="665" w:right="999" w:bottom="1440" w:gutter="0" w:footer="0" w:header="0"/>
          <w:type w:val="continuous"/>
        </w:sectPr>
      </w:pPr>
    </w:p>
    <w:p>
      <w:pPr>
        <w:spacing w:after="0" w:line="150"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Class A common stock, par value $0.01</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MBLY</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40"/>
        <w:spacing w:after="0" w:line="312" w:lineRule="auto"/>
        <w:rPr>
          <w:sz w:val="20"/>
          <w:szCs w:val="20"/>
          <w:color w:val="auto"/>
        </w:rPr>
      </w:pPr>
      <w:r>
        <w:rPr>
          <w:rFonts w:ascii="Arial" w:cs="Arial" w:eastAsia="Arial" w:hAnsi="Arial"/>
          <w:sz w:val="17"/>
          <w:szCs w:val="17"/>
          <w:b w:val="1"/>
          <w:bCs w:val="1"/>
          <w:color w:val="auto"/>
        </w:rPr>
        <w:t xml:space="preserve">Name of Each Exchange on Which Registered </w:t>
      </w:r>
      <w:r>
        <w:rPr>
          <w:rFonts w:ascii="Arial" w:cs="Arial" w:eastAsia="Arial" w:hAnsi="Arial"/>
          <w:sz w:val="17"/>
          <w:szCs w:val="17"/>
          <w:color w:val="auto"/>
        </w:rPr>
        <w:t>The Nasdaq Global Select Market</w:t>
      </w:r>
    </w:p>
    <w:p>
      <w:pPr>
        <w:spacing w:after="0" w:line="9" w:lineRule="exact"/>
        <w:rPr>
          <w:sz w:val="24"/>
          <w:szCs w:val="24"/>
          <w:color w:val="auto"/>
        </w:rPr>
      </w:pPr>
    </w:p>
    <w:p>
      <w:pPr>
        <w:sectPr>
          <w:pgSz w:w="11900" w:h="16838" w:orient="portrait"/>
          <w:cols w:equalWidth="0" w:num="3">
            <w:col w:w="3600" w:space="720"/>
            <w:col w:w="1320" w:space="720"/>
            <w:col w:w="3560"/>
          </w:cols>
          <w:pgMar w:left="980" w:top="665" w:right="999" w:bottom="1440" w:gutter="0" w:footer="0" w:header="0"/>
          <w:type w:val="continuous"/>
        </w:sect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4" w:lineRule="exact"/>
        <w:rPr>
          <w:sz w:val="24"/>
          <w:szCs w:val="24"/>
          <w:color w:val="auto"/>
        </w:rPr>
      </w:pPr>
    </w:p>
    <w:p>
      <w:pPr>
        <w:ind w:left="10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13" w:lineRule="exact"/>
        <w:rPr>
          <w:sz w:val="24"/>
          <w:szCs w:val="24"/>
          <w:color w:val="auto"/>
        </w:rPr>
      </w:pPr>
    </w:p>
    <w:p>
      <w:pPr>
        <w:sectPr>
          <w:pgSz w:w="11900" w:h="16838" w:orient="portrait"/>
          <w:cols w:equalWidth="0" w:num="2">
            <w:col w:w="4420" w:space="720"/>
            <w:col w:w="4780"/>
          </w:cols>
          <w:pgMar w:left="980" w:top="665" w:right="999" w:bottom="1440" w:gutter="0" w:footer="0" w:header="0"/>
          <w:type w:val="continuous"/>
        </w:sectPr>
      </w:pPr>
    </w:p>
    <w:p>
      <w:pPr>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ind w:left="928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There were 94,162,090 shares of Class A common stock, $0.01 par value, outstanding at July 1, 2023</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940435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50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8"/>
          </w:tcPr>
          <w:p>
            <w:pPr>
              <w:jc w:val="center"/>
              <w:ind w:right="1020"/>
              <w:spacing w:after="0"/>
              <w:rPr>
                <w:sz w:val="20"/>
                <w:szCs w:val="20"/>
                <w:color w:val="auto"/>
              </w:rPr>
            </w:pPr>
            <w:r>
              <w:rPr>
                <w:rFonts w:ascii="Arial" w:cs="Arial" w:eastAsia="Arial" w:hAnsi="Arial"/>
                <w:sz w:val="18"/>
                <w:szCs w:val="18"/>
                <w:b w:val="1"/>
                <w:bCs w:val="1"/>
                <w:color w:val="auto"/>
              </w:rPr>
              <w:t>MOBILEYE GLOBAL INC.</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gridSpan w:val="7"/>
          </w:tcPr>
          <w:p>
            <w:pPr>
              <w:jc w:val="center"/>
              <w:ind w:right="1660"/>
              <w:spacing w:after="0"/>
              <w:rPr>
                <w:sz w:val="20"/>
                <w:szCs w:val="20"/>
                <w:color w:val="auto"/>
              </w:rPr>
            </w:pPr>
            <w:r>
              <w:rPr>
                <w:rFonts w:ascii="Arial" w:cs="Arial" w:eastAsia="Arial" w:hAnsi="Arial"/>
                <w:sz w:val="18"/>
                <w:szCs w:val="18"/>
                <w:b w:val="1"/>
                <w:bCs w:val="1"/>
                <w:color w:val="auto"/>
                <w:w w:val="99"/>
              </w:rPr>
              <w:t>FORM 10-Q</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1"/>
          </w:tcPr>
          <w:p>
            <w:pPr>
              <w:jc w:val="center"/>
              <w:ind w:right="500"/>
              <w:spacing w:after="0"/>
              <w:rPr>
                <w:sz w:val="20"/>
                <w:szCs w:val="20"/>
                <w:color w:val="auto"/>
              </w:rPr>
            </w:pPr>
            <w:r>
              <w:rPr>
                <w:rFonts w:ascii="Arial" w:cs="Arial" w:eastAsia="Arial" w:hAnsi="Arial"/>
                <w:sz w:val="18"/>
                <w:szCs w:val="18"/>
                <w:b w:val="1"/>
                <w:bCs w:val="1"/>
                <w:color w:val="auto"/>
                <w:w w:val="90"/>
              </w:rPr>
              <w:t>For the quarterly period ended July 1, 2023</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8"/>
          </w:tcPr>
          <w:p>
            <w:pPr>
              <w:jc w:val="center"/>
              <w:ind w:right="1040"/>
              <w:spacing w:after="0"/>
              <w:rPr>
                <w:sz w:val="20"/>
                <w:szCs w:val="20"/>
                <w:color w:val="auto"/>
              </w:rPr>
            </w:pPr>
            <w:r>
              <w:rPr>
                <w:rFonts w:ascii="Arial" w:cs="Arial" w:eastAsia="Arial" w:hAnsi="Arial"/>
                <w:sz w:val="18"/>
                <w:szCs w:val="18"/>
                <w:b w:val="1"/>
                <w:bCs w:val="1"/>
                <w:color w:val="auto"/>
                <w:w w:val="98"/>
              </w:rPr>
              <w:t>TABLE OF CONTENTS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0000EE"/>
                <w:w w:val="87"/>
              </w:rPr>
              <w:t>Part I.</w:t>
            </w:r>
          </w:p>
        </w:tc>
        <w:tc>
          <w:tcPr>
            <w:tcW w:w="200" w:type="dxa"/>
            <w:vAlign w:val="bottom"/>
            <w:gridSpan w:val="2"/>
            <w:vMerge w:val="restart"/>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Arial" w:cs="Arial" w:eastAsia="Arial" w:hAnsi="Arial"/>
                <w:sz w:val="18"/>
                <w:szCs w:val="18"/>
                <w:color w:val="0000EE"/>
                <w:w w:val="99"/>
              </w:rPr>
              <w:t>FINANCIAL INFORMATION</w:t>
            </w:r>
          </w:p>
        </w:tc>
        <w:tc>
          <w:tcPr>
            <w:tcW w:w="4200" w:type="dxa"/>
            <w:vAlign w:val="bottom"/>
            <w:gridSpan w:val="10"/>
            <w:vMerge w:val="restart"/>
          </w:tcPr>
          <w:p>
            <w:pPr>
              <w:spacing w:after="0"/>
              <w:rPr>
                <w:sz w:val="24"/>
                <w:szCs w:val="24"/>
                <w:color w:val="auto"/>
              </w:rPr>
            </w:pPr>
          </w:p>
        </w:tc>
        <w:tc>
          <w:tcPr>
            <w:tcW w:w="2320" w:type="dxa"/>
            <w:vAlign w:val="bottom"/>
          </w:tcPr>
          <w:p>
            <w:pPr>
              <w:ind w:left="198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4200" w:type="dxa"/>
            <w:vAlign w:val="bottom"/>
            <w:gridSpan w:val="10"/>
            <w:vMerge w:val="continue"/>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Financial Statements (Unaudited)</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w w:val="90"/>
              </w:rPr>
              <w:t>Condensed Consolidated Statements of Operations and Comprehensive Income (Loss)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Condensed Consolidated Statements of Changes in Equity</w:t>
            </w:r>
          </w:p>
        </w:tc>
        <w:tc>
          <w:tcPr>
            <w:tcW w:w="20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gridSpan w:val="2"/>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4680" w:type="dxa"/>
            <w:vAlign w:val="bottom"/>
            <w:gridSpan w:val="12"/>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Part II.</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OTHER INFORMATION</w:t>
            </w:r>
          </w:p>
        </w:tc>
        <w:tc>
          <w:tcPr>
            <w:tcW w:w="4560" w:type="dxa"/>
            <w:vAlign w:val="bottom"/>
            <w:gridSpan w:val="11"/>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5120" w:type="dxa"/>
            <w:vAlign w:val="bottom"/>
            <w:gridSpan w:val="13"/>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Item 1A.</w:t>
            </w:r>
          </w:p>
        </w:tc>
        <w:tc>
          <w:tcPr>
            <w:tcW w:w="34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Risk Factors</w:t>
            </w:r>
          </w:p>
        </w:tc>
        <w:tc>
          <w:tcPr>
            <w:tcW w:w="5540" w:type="dxa"/>
            <w:vAlign w:val="bottom"/>
            <w:gridSpan w:val="15"/>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2100" w:type="dxa"/>
            <w:vAlign w:val="bottom"/>
            <w:gridSpan w:val="3"/>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3"/>
          </w:tcPr>
          <w:p>
            <w:pPr>
              <w:spacing w:after="0"/>
              <w:rPr>
                <w:sz w:val="17"/>
                <w:szCs w:val="17"/>
                <w:color w:val="auto"/>
              </w:rPr>
            </w:pPr>
          </w:p>
        </w:tc>
        <w:tc>
          <w:tcPr>
            <w:tcW w:w="4140" w:type="dxa"/>
            <w:vAlign w:val="bottom"/>
            <w:gridSpan w:val="9"/>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0000EE"/>
                <w:w w:val="87"/>
              </w:rPr>
              <w:t>Item 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Other Information</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Item 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Exhibits</w:t>
            </w:r>
          </w:p>
        </w:tc>
        <w:tc>
          <w:tcPr>
            <w:tcW w:w="5140" w:type="dxa"/>
            <w:vAlign w:val="bottom"/>
            <w:gridSpan w:val="14"/>
          </w:tcPr>
          <w:p>
            <w:pPr>
              <w:spacing w:after="0"/>
              <w:rPr>
                <w:sz w:val="17"/>
                <w:szCs w:val="17"/>
                <w:color w:val="auto"/>
              </w:rPr>
            </w:pP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Signatures</w:t>
            </w:r>
          </w:p>
        </w:tc>
        <w:tc>
          <w:tcPr>
            <w:tcW w:w="2320" w:type="dxa"/>
            <w:vAlign w:val="bottom"/>
          </w:tcPr>
          <w:p>
            <w:pPr>
              <w:jc w:val="center"/>
              <w:ind w:left="1930"/>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00" w:right="10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6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We have a 52 or 53-week fiscal year that ends on the last Saturday in December. Fiscal year 2022 was a 53-week fiscal year; fiscal year 2023 is a 52-week fiscal year. The additional week in fiscal year 2022 was added in the first quarter, which consisted of 14 weeks.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Trade accounts receivable, net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1,516</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13,925</w:t>
            </w: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15,430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15,441</w:t>
            </w: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Employee related accrued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payable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employee benefits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r>
      <w:tr>
        <w:trPr>
          <w:trHeight w:val="249"/>
        </w:trPr>
        <w:tc>
          <w:tcPr>
            <w:tcW w:w="20" w:type="dxa"/>
            <w:vAlign w:val="bottom"/>
          </w:tcPr>
          <w:p>
            <w:pPr>
              <w:spacing w:after="0"/>
              <w:rPr>
                <w:sz w:val="21"/>
                <w:szCs w:val="21"/>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r>
      <w:tr>
        <w:trPr>
          <w:trHeight w:val="197"/>
        </w:trPr>
        <w:tc>
          <w:tcPr>
            <w:tcW w:w="20" w:type="dxa"/>
            <w:vAlign w:val="bottom"/>
          </w:tcPr>
          <w:p>
            <w:pPr>
              <w:spacing w:after="0"/>
              <w:rPr>
                <w:sz w:val="17"/>
                <w:szCs w:val="17"/>
                <w:color w:val="auto"/>
              </w:rPr>
            </w:pPr>
          </w:p>
        </w:tc>
        <w:tc>
          <w:tcPr>
            <w:tcW w:w="71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Equity</w:t>
            </w:r>
          </w:p>
        </w:tc>
        <w:tc>
          <w:tcPr>
            <w:tcW w:w="4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Class A common stock: $0.01 par value; 4,000,000,000 shares authorized; shares issued and</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94,162,090 as of July 1, 2023 and 51,911,905 as of December 31, 2022</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7140" w:type="dxa"/>
            <w:vAlign w:val="bottom"/>
          </w:tcPr>
          <w:p>
            <w:pPr>
              <w:ind w:left="100"/>
              <w:spacing w:after="0" w:line="201" w:lineRule="exact"/>
              <w:rPr>
                <w:sz w:val="20"/>
                <w:szCs w:val="20"/>
                <w:color w:val="auto"/>
              </w:rPr>
            </w:pPr>
            <w:r>
              <w:rPr>
                <w:rFonts w:ascii="Arial" w:cs="Arial" w:eastAsia="Arial" w:hAnsi="Arial"/>
                <w:sz w:val="18"/>
                <w:szCs w:val="18"/>
                <w:color w:val="auto"/>
                <w:w w:val="94"/>
              </w:rPr>
              <w:t>Class B common stock: $0.01 par value; 1,500,000,000 shares authorized; shares issued and</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220"/>
              <w:spacing w:after="0"/>
              <w:rPr>
                <w:sz w:val="20"/>
                <w:szCs w:val="20"/>
                <w:color w:val="auto"/>
              </w:rPr>
            </w:pPr>
            <w:r>
              <w:rPr>
                <w:rFonts w:ascii="Arial" w:cs="Arial" w:eastAsia="Arial" w:hAnsi="Arial"/>
                <w:sz w:val="18"/>
                <w:szCs w:val="18"/>
                <w:color w:val="auto"/>
                <w:w w:val="99"/>
              </w:rPr>
              <w:t>outstanding: 711,500,000 as of July 1, 2023 and 750,000,000 as of December 31, 2022</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 (accumulated deficit)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14,794</w:t>
            </w:r>
          </w:p>
        </w:tc>
      </w:tr>
      <w:tr>
        <w:trPr>
          <w:trHeight w:val="229"/>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15,441</w:t>
            </w: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1,</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July 2,</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July 1,</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2"/>
              <w:spacing w:after="0" w:line="119" w:lineRule="exact"/>
              <w:rPr>
                <w:sz w:val="20"/>
                <w:szCs w:val="20"/>
                <w:color w:val="auto"/>
              </w:rPr>
            </w:pPr>
            <w:r>
              <w:rPr>
                <w:rFonts w:ascii="Arial" w:cs="Arial" w:eastAsia="Arial" w:hAnsi="Arial"/>
                <w:sz w:val="13"/>
                <w:szCs w:val="13"/>
                <w:b w:val="1"/>
                <w:bCs w:val="1"/>
                <w:color w:val="auto"/>
              </w:rPr>
              <w:t>July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 except per share amounts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related party</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 with related party</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financial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Earnings (loss) per share attributed to Class A and Class B stockholders: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Weighted-average number of shares used in computation of earnings (loss)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7"/>
              </w:rPr>
              <w:t>per share attributed to Class A and Class B stockholders (in millions):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0"/>
              </w:rPr>
              <w:t>Accumulated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2"/>
                <w:szCs w:val="12"/>
                <w:color w:val="auto"/>
              </w:rPr>
            </w:pPr>
          </w:p>
        </w:tc>
        <w:tc>
          <w:tcPr>
            <w:tcW w:w="640" w:type="dxa"/>
            <w:vAlign w:val="bottom"/>
          </w:tcPr>
          <w:p>
            <w:pPr>
              <w:jc w:val="right"/>
              <w:ind w:right="197"/>
              <w:spacing w:after="0" w:line="14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paid-in</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Parent Net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9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7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53"/>
        </w:trPr>
        <w:tc>
          <w:tcPr>
            <w:tcW w:w="3620" w:type="dxa"/>
            <w:vAlign w:val="bottom"/>
            <w:gridSpan w:val="3"/>
          </w:tcPr>
          <w:p>
            <w:pPr>
              <w:spacing w:after="0"/>
              <w:rPr>
                <w:sz w:val="20"/>
                <w:szCs w:val="20"/>
                <w:color w:val="auto"/>
              </w:rPr>
            </w:pPr>
            <w:r>
              <w:rPr>
                <w:rFonts w:ascii="Arial" w:cs="Arial" w:eastAsia="Arial" w:hAnsi="Arial"/>
                <w:sz w:val="13"/>
                <w:szCs w:val="13"/>
                <w:b w:val="1"/>
                <w:bCs w:val="1"/>
                <w:color w:val="auto"/>
              </w:rPr>
              <w:t>U.S. dollars in millions, except per share amounts</w:t>
            </w: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capital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deficit)</w:t>
            </w: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as of April 1, 2023</w:t>
            </w:r>
          </w:p>
        </w:tc>
        <w:tc>
          <w:tcPr>
            <w:tcW w:w="6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802</w:t>
            </w: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w:t>
            </w:r>
          </w:p>
        </w:tc>
        <w:tc>
          <w:tcPr>
            <w:tcW w:w="2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14,800</w:t>
            </w:r>
          </w:p>
        </w:tc>
        <w:tc>
          <w:tcPr>
            <w:tcW w:w="60" w:type="dxa"/>
            <w:vAlign w:val="bottom"/>
          </w:tcPr>
          <w:p>
            <w:pPr>
              <w:spacing w:after="0"/>
              <w:rPr>
                <w:sz w:val="11"/>
                <w:szCs w:val="11"/>
                <w:color w:val="auto"/>
              </w:rPr>
            </w:pPr>
          </w:p>
        </w:tc>
        <w:tc>
          <w:tcPr>
            <w:tcW w:w="1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(22)</w:t>
            </w:r>
          </w:p>
        </w:tc>
        <w:tc>
          <w:tcPr>
            <w:tcW w:w="14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14,787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Tax sharing agreement with Parent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Share-based compensation expense</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Recharge to Parent for Share-based compensation</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common stock under employee share-based</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compensation plans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Secondary offering</w:t>
            </w: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July 1, 2023</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806</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14,842</w:t>
            </w:r>
          </w:p>
        </w:tc>
        <w:tc>
          <w:tcPr>
            <w:tcW w:w="6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(50)</w:t>
            </w: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14,800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as of April 2, 2022</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15,937</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15,939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comprehensive income (loss), net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Tax sharing agreement with Parent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Net transfer from (to) Parent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Dividend Note with related party</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Dividend distribution</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92"/>
              </w:rPr>
              <w:t>Equity transaction in connection with the legal purchase of Moovit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20"/>
              <w:spacing w:after="0"/>
              <w:rPr>
                <w:sz w:val="20"/>
                <w:szCs w:val="20"/>
                <w:color w:val="auto"/>
              </w:rPr>
            </w:pPr>
            <w:r>
              <w:rPr>
                <w:rFonts w:ascii="Arial" w:cs="Arial" w:eastAsia="Arial" w:hAnsi="Arial"/>
                <w:sz w:val="13"/>
                <w:szCs w:val="13"/>
                <w:color w:val="auto"/>
              </w:rPr>
              <w:t>entities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July 2, 2022</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11,223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11,199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Six Months Ended</w:t>
            </w:r>
          </w:p>
        </w:tc>
        <w:tc>
          <w:tcPr>
            <w:tcW w:w="14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2022</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802</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14,737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w:t>
            </w:r>
          </w:p>
        </w:tc>
        <w:tc>
          <w:tcPr>
            <w:tcW w:w="12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57</w:t>
            </w:r>
          </w:p>
        </w:tc>
        <w:tc>
          <w:tcPr>
            <w:tcW w:w="1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14,794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Other comprehensive income (loss), net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Share-based compensation expense</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Recharge to Parent for Share-based compensation</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common stock under employee share-based</w:t>
            </w: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compensation plans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Secondary offering</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July 1, 2023</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14,842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14,800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as of December 25, 2021</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15,884</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15,889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comprehensive income (loss), net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92"/>
              </w:rPr>
              <w:t>Equity transaction in connection with the legal purchase of Moovit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20"/>
              <w:spacing w:after="0"/>
              <w:rPr>
                <w:sz w:val="20"/>
                <w:szCs w:val="20"/>
                <w:color w:val="auto"/>
              </w:rPr>
            </w:pPr>
            <w:r>
              <w:rPr>
                <w:rFonts w:ascii="Arial" w:cs="Arial" w:eastAsia="Arial" w:hAnsi="Arial"/>
                <w:sz w:val="13"/>
                <w:szCs w:val="13"/>
                <w:color w:val="auto"/>
              </w:rPr>
              <w:t>entities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Dividend Note with related party</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Dividend distribution</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Tax sharing agreement with Parent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Net transfer from (to) Parent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July 2, 2022</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11,223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11,199</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*Rounding of Class A and Class B share amounts due to Secondary offering.</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July 1,</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July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(107)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Adjustments to reconcile net income (loss) to net cash provided by operating activities: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Depreciation of property and equipment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Share-based compensation</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Amortization of intangible assets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Exchange rate differences on cash and cash equivalents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on Dividend Note to related party, net</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Interest with related party, net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Changes in operating assets and liabilities: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Decrease (increase) in trade accounts receivable</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Decrease (increase) in other current assets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Decrease (increase) in inventories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Increase (decrease) in accounts payable, accrued expenses and related party payable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Increase (decrease) in employee-related accrued expenses and long term benefits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Increase (decrease) in other current liabilities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Decrease (increase) in other long term assets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Increase (decrease) in long term liabilities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Purchase of property and equipment</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Repayment of loan due from related party</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Issuance of loan to related party</w:t>
            </w: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Net transfers from Parent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Dividend paid</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Share-based compensation recharge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Deferred offering costs</w:t>
            </w: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of cash, cash equivalents and restricted cash, at beginning of year</w:t>
            </w: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Balance of cash, cash equivalents and restricted cash, at end of period</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1,157</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784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Supplementary non-cash investing and financing activities:</w:t>
            </w:r>
          </w:p>
        </w:tc>
        <w:tc>
          <w:tcPr>
            <w:tcW w:w="6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Non-cash purchase of property and equipment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Non-cash share based compensation recharge</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Dividend Note with related party</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 transaction</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received (paid) for income taxes, net of refunds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Interest received from related party</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the completion of the Mobileye IPO and the Reorganization (both as defined below) in October 2022, the Company consisted of the “Mobileye Group”, which combined the operations of Cyclops Holdings LLC (“Cyclops”), Mobileye B.V. and its subsidiaries, GG Acquisition Ltd. and Moovit App Global Ltd. and its subsidiaries (“Moovit”) and certain Intel employees mainly in research and development (the “Intel Aligned Groups”).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Mobileye IPO</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28, 2022, the initial public offering of Mobileye (the “Mobileye IPO”) was completed and we issued 41,000,000 shares of our Class A common stock, at $21 per share, before underwriting discounts and commissions. Concurrently with the closing of the Mobileye IPO, the Company issued an additional 4,761,905 shares of its Class A common stock to General Atlantic (ME), L.P., a Delaware limited partnership, at $21 per share, pursuant to a private placement exempt from registration under Section 4(a)(2) of the Securities Act of 1933, as amended, for gross proceeds of $100 million (the “Concurrent Private Placement”). On November 1, 2022, we closed the sale of an additional 6,150,000 Class A shares pursuant to the exercise of the underwriters’ over-allotment option.</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Upon completion of the Mobileye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“Secondary Offering”). The Company did not receive any proceeds from this offering. The Company paid the costs associated with the registration of shares in connection with the Secondary Offering in the amount of $1 million, other than underwriting discounts, fees and commissions. These costs were expensed as incurred within general and administrative expenses. Upon the completion of the Secondary Offering, Intel continues to directly or indirectly hold all of the Class B common stock of Mobileye, which represents approximately 88.3% of our outstanding common stock and 98.7% of the voting power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a 52- or 53-week fiscal year that ends on the last Saturday in December. Fiscal year 2022 was a 53-week fiscal year; fiscal year 2023 is a 52-week fiscal year. The additional week in fiscal year 2022 was added in the first quarter, which consisted of 14 weeks.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results of operations for the three and six months ended July 1, 2023 shown in this report are not necessarily indicative of the results to be expected for the full year ending 2023. The condensed consolidated financial statements should be read in conjunction with the audited consolidated financial statements for the fiscal year ended December 31, 2022.</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condensed consolidated financial statements on a historical cost basis, as included in the consolidated financial statements of Intel.</w:t>
      </w:r>
    </w:p>
    <w:p>
      <w:pPr>
        <w:spacing w:after="0" w:line="1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completion of the Mobileye IPO, the condensed consolidated financial statements include the accounts of the Company and its wholly-owned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in our significant accounting policies as described in our consolidated financial statements for the fiscal year ended December 31, 2022. For further detail, see Note 2 in the audited consolidated financial statements for the fiscal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on-going basis, management evaluates its estimates, judgments, and assumptions. The most significant estimates and assumptions relate to useful lives of intangible assets, impairment assessment of goodwill and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cash, cash equivalents and restricted cash as of each period 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85"/>
              </w:rPr>
              <w:t>As of</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9"/>
              </w:rPr>
              <w:t>July 1, 2023</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Short term deposits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(within other current and other long-term assets)</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short term deposits classified as cash equivalents approximates their fair value due to the short maturity of these items.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investment in money market funds is measured at fair value and consists of financial assets for which quoted prices are available in an active market. Interest income related to money market funds for the three and six months ended July 1, 2023 amounted to $12 million and $20 million,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accounts receivable and accounts payable approximate fair value because of their generally short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personnel, facilities, equipment, and supplies for research and development activities.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$16 million, and $11 million were offset against research and development costs in the three months ended July 1, 2023 and July 2, 2022, respectively; and $33 million and $25 million were offset in the six months ended July 1, 2023 and July 2,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2021, as part of Intel’s corporate hedging program, Intel hedges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fourth quarter of 2022, the Company de-designated its remaining cash flow hedges for forecasted operating expenses denominated in ILS.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 As of July 1, 2023, there are no outstanding hedging instruments and all of the related accumulated other comprehensive income (loss) was reclassified into the statement of operations and comprehensive income (loss).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notional amount and fair value of derivatives outstanding at Intel on behalf of Mobileye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July 1, 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 of derivatives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Fair value of derivatives receivable from (payable to) Intel</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ind w:left="96"/>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accumulated other comprehensive income (loss) relating to gains (losses) on derivatives used for hedging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6"/>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July 1, 2023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July 2, 2022</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July 1, 2023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9"/>
              </w:rPr>
              <w:t>July 2,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Other comprehensive income (loss) before reclassifications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Amounts reclassified out of accumulated 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Tax effects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90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Less than $1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for the year for which no benefit can be recognized are excluded from the calculation of the worldwide estimated annual effective tax rate, and any associated tax expense or benefit for those jurisdictions is recorded separately.</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periods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reflects tax loss and tax credit carry-forward attributes under the separate return method approach. Such tax attributes may not be benefited in the same period as the Company’s Parent on a consolidated tax return.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there are no current matters that would have a material effect on the Company’s condensed consolidated balance sheets, statements of operations or cash flows. Legal fees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Accordingly, management believes that these bank deposits and money market funds, have minimal credit risk.</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for accounts receivable by considering a number of factors, including the length of time accounts receivable are past due, the Company’s previous loss history from such customers, and the customers’ current ability to pay its obligation to the Company. As of July 1, 2023 and December 31, 2022, the credit losses for accounts receivable were not material. The Company writes off accounts receivable when they are deemed uncollectible. For the three and six months ended July 1, 2023 and July 2, 2022, the charge-offs and recoveries in relation to the credit losses accounts were not material.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 risk</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a single supplier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experienced during 2022 and may experience in the future, including in ECUs for SuperVision™ and other components for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the fiscal year ended December 31, 2022, due to global supply chain constraints and shortage of semiconductors, the Company’s sole supplier was not able to meet demand of the Company for EyeQ® SoCs, causing a significant reduction in the Company’s inventory levels. We may experience a shortfall of EyeQ® SoCs, ECUs for SuperVision™ and other components for our products. The reoccurrence of shortages and supply chain constraints in EyeQ® SoCs and ECUs for SuperVision™ and in components of our other products, may impair the Company’s ability to meet its customers’ requirements in a timely manner and may adversely affect the Company’s business, results of operations and financial condition. Moreover, to the extent that a global semiconductor shortage results in reduced production or production delays by automakers, those delays could result in reduced or delayed demand for the Company’s products. In addition, issues relating to the COVID-19 pandemic led to port congestion and intermittent supplier shutdowns and delays in the delivery of critical components, which resulted in additional expenses to expedite delivery of critical parts. Sustaining the Company’s production trajectory requires the readiness and solvency of its suppliers and vendors, a stable and motivated production workforce and ongoing government cooperation, including for travel and visa allowances, which governments may restrict. Although we cannot fully predict the length and the severity of the impact these pressures would have on a long-term basis, we do not anticipate that short-term supply chain constraints would materially adversely affect our results of operations, capital resources, sales, profits, and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320" w:type="dxa"/>
            <w:vAlign w:val="bottom"/>
            <w:tcBorders>
              <w:bottom w:val="single" w:sz="8" w:color="auto"/>
            </w:tcBorders>
          </w:tcPr>
          <w:p>
            <w:pPr>
              <w:spacing w:after="0"/>
              <w:rPr>
                <w:sz w:val="14"/>
                <w:szCs w:val="14"/>
                <w:color w:val="auto"/>
              </w:rPr>
            </w:pPr>
          </w:p>
        </w:tc>
      </w:tr>
      <w:tr>
        <w:trPr>
          <w:trHeight w:val="210"/>
        </w:trPr>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 dollars in millions</w:t>
            </w:r>
          </w:p>
        </w:tc>
        <w:tc>
          <w:tcPr>
            <w:tcW w:w="3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July 1, 2023</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December 31, 2022</w:t>
            </w:r>
          </w:p>
        </w:tc>
      </w:tr>
      <w:tr>
        <w:trPr>
          <w:trHeight w:val="209"/>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Work in process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3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8"/>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36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846"/>
        </w:trPr>
        <w:tc>
          <w:tcPr>
            <w:tcW w:w="3140" w:type="dxa"/>
            <w:vAlign w:val="bottom"/>
          </w:tcPr>
          <w:p>
            <w:pPr>
              <w:spacing w:after="0"/>
              <w:rPr>
                <w:sz w:val="24"/>
                <w:szCs w:val="24"/>
                <w:color w:val="auto"/>
              </w:rPr>
            </w:pPr>
          </w:p>
        </w:tc>
        <w:tc>
          <w:tcPr>
            <w:tcW w:w="3640" w:type="dxa"/>
            <w:vAlign w:val="bottom"/>
          </w:tcPr>
          <w:p>
            <w:pPr>
              <w:jc w:val="right"/>
              <w:ind w:right="16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Inventory write-downs and write-offs were not material for the periods presented in these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79"/>
              </w:rPr>
              <w:t>As of</w:t>
            </w:r>
          </w:p>
        </w:tc>
        <w:tc>
          <w:tcPr>
            <w:tcW w:w="1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July 1, 2023</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Computers, electronic equipment and software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furniture and equipment</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 property and equipment, gross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Depreciation expenses totaled $8 million and $5 million for the three months ended July 1, 2023 and July 2, 2022, respectively; and $15 million and $10 million for the six months ended July 1, 2023 and July 2,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Mobileye Plan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activity for the six months ended July 1, 2023 for RSUs granted to Company’s employees under the 2022 Plan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Number of RSUs</w:t>
            </w:r>
          </w:p>
        </w:tc>
        <w:tc>
          <w:tcPr>
            <w:tcW w:w="1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3"/>
              </w:rPr>
              <w:t>U.S. dollars</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12,564</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July 1, 2023</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9,354</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844"/>
        </w:trPr>
        <w:tc>
          <w:tcPr>
            <w:tcW w:w="386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1630"/>
              <w:spacing w:after="0"/>
              <w:rPr>
                <w:sz w:val="20"/>
                <w:szCs w:val="20"/>
                <w:color w:val="auto"/>
              </w:rPr>
            </w:pPr>
            <w:r>
              <w:rPr>
                <w:rFonts w:ascii="Arial" w:cs="Arial" w:eastAsia="Arial" w:hAnsi="Arial"/>
                <w:sz w:val="18"/>
                <w:szCs w:val="18"/>
                <w:color w:val="auto"/>
              </w:rPr>
              <w:t>14</w:t>
            </w: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activity for the three months ended July 1, 2023 for RSUs granted to Company’s employees under the 2022 Plan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 RSUs</w:t>
            </w:r>
          </w:p>
        </w:tc>
        <w:tc>
          <w:tcPr>
            <w:tcW w:w="1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3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April 1, 2023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12,758</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July 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1, 2023, the unrecognized compensation cost related to all unvested RSUs granted under the 2022 Plan, was $169 million, which is expected to be recognized as expense over a weighted-average period of 2.4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 Plan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and exercisable options for Intel’s common stock under Intel’s plan as of July 1, 2023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2"/>
                <w:szCs w:val="12"/>
                <w:color w:val="auto"/>
              </w:rPr>
            </w:pPr>
          </w:p>
        </w:tc>
        <w:tc>
          <w:tcPr>
            <w:tcW w:w="13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6"/>
              </w:rPr>
              <w:t>Weighted average</w:t>
            </w:r>
          </w:p>
        </w:tc>
        <w:tc>
          <w:tcPr>
            <w:tcW w:w="1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28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 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 life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4"/>
              </w:rPr>
              <w:t>exercise price</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U.S. dollars</w:t>
            </w:r>
          </w:p>
        </w:tc>
        <w:tc>
          <w:tcPr>
            <w:tcW w:w="2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U.S. dollars</w:t>
            </w:r>
          </w:p>
        </w:tc>
        <w:tc>
          <w:tcPr>
            <w:tcW w:w="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$ 4.0 - 21.6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88"/>
              </w:rPr>
              <w:t>$ 22.4 - 26.9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3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option activity for the six months ended July 1, 2023 for options granted to the Company’s employees for Intel’s common stock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Aggregated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value(1)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U.S. dollars</w:t>
            </w:r>
          </w:p>
        </w:tc>
        <w:tc>
          <w:tcPr>
            <w:tcW w:w="160" w:type="dxa"/>
            <w:vAlign w:val="bottom"/>
          </w:tcPr>
          <w:p>
            <w:pPr>
              <w:spacing w:after="0"/>
              <w:rPr>
                <w:sz w:val="12"/>
                <w:szCs w:val="12"/>
                <w:color w:val="auto"/>
              </w:rPr>
            </w:pPr>
          </w:p>
        </w:tc>
        <w:tc>
          <w:tcPr>
            <w:tcW w:w="1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U.S. dollars in millions</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July 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Options exercisable as of July 1, 2023</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2,245</w:t>
            </w: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0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option activity for the three months ended July 1, 2023 for options granted to the Company’s employees for Intel’s common stock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Aggregated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value(1)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U.S. dollars</w:t>
            </w:r>
          </w:p>
        </w:tc>
        <w:tc>
          <w:tcPr>
            <w:tcW w:w="160" w:type="dxa"/>
            <w:vAlign w:val="bottom"/>
          </w:tcPr>
          <w:p>
            <w:pPr>
              <w:spacing w:after="0"/>
              <w:rPr>
                <w:sz w:val="12"/>
                <w:szCs w:val="12"/>
                <w:color w:val="auto"/>
              </w:rPr>
            </w:pPr>
          </w:p>
        </w:tc>
        <w:tc>
          <w:tcPr>
            <w:tcW w:w="1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U.S. dollars in millions</w:t>
            </w: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April 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July 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2,252</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Options exercisable as of July 1, 2023</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2,245</w:t>
            </w: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27.1</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8"/>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awards and the closing stock price of Intel’s ordinary share. On July 1, 2023, Intel’s ordinary share price was $33.4. This represents the potential pre-tax amount receivable by the option holders had all option holders exercised their options as of such date.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remaining options expected to vest as of July 1, 2023 are 7 thousand options with an average weighted exercise price of $21.6.</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RSUs activity for the six months ended July 1, 2023 for RSUs granted to the Company’s employees for Intel’s common stock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3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90"/>
              </w:rPr>
              <w:t>U.S. dollars</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Outstanding as of July 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activity for the three months ended July 1, 2023 for RSUs granted to the Company’s employees for Intel’s common stock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Number of RSUs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8"/>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April 1, 2023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9"/>
        </w:trPr>
        <w:tc>
          <w:tcPr>
            <w:tcW w:w="7040" w:type="dxa"/>
            <w:vAlign w:val="bottom"/>
          </w:tcPr>
          <w:p>
            <w:pPr>
              <w:spacing w:after="0"/>
              <w:rPr>
                <w:sz w:val="20"/>
                <w:szCs w:val="20"/>
                <w:color w:val="auto"/>
              </w:rPr>
            </w:pPr>
            <w:r>
              <w:rPr>
                <w:rFonts w:ascii="Arial" w:cs="Arial" w:eastAsia="Arial" w:hAnsi="Arial"/>
                <w:sz w:val="18"/>
                <w:szCs w:val="18"/>
                <w:b w:val="1"/>
                <w:bCs w:val="1"/>
                <w:color w:val="auto"/>
              </w:rPr>
              <w:t>Outstanding as of July 1, 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1, 2023, the unrecognized compensation cost related to stock options and RSUs granted under the Intel 2006 Plan was $137 million, which will be recognized over a weighted average period of 1.4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 expense summary (for both Mobileye and Intel Plans)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Share-based compensation expenses included in the condensed consolidated statements of operations and comprehensive income (loss) was as follows:</w:t>
      </w:r>
    </w:p>
    <w:p>
      <w:pPr>
        <w:sectPr>
          <w:pgSz w:w="11900" w:h="16838" w:orient="portrait"/>
          <w:cols w:equalWidth="0" w:num="1">
            <w:col w:w="9920"/>
          </w:cols>
          <w:pgMar w:left="980" w:top="517" w:right="999" w:bottom="144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share-based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EARNINGS (LOSS) PER SHARE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July 1, 2023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July 2, 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9"/>
              </w:rPr>
              <w:t>July 1, 2023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4"/>
              </w:rPr>
              <w:t>July 2, 2022</w:t>
            </w:r>
          </w:p>
        </w:tc>
      </w:tr>
      <w:tr>
        <w:trPr>
          <w:trHeight w:val="19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-719455</wp:posOffset>
            </wp:positionV>
            <wp:extent cx="629221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-445135</wp:posOffset>
            </wp:positionV>
            <wp:extent cx="62922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-162560</wp:posOffset>
            </wp:positionV>
            <wp:extent cx="629221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320" w:space="720"/>
            <w:col w:w="4880"/>
          </w:cols>
          <w:pgMar w:left="980" w:top="517" w:right="999" w:bottom="1440" w:gutter="0" w:footer="0" w:header="0"/>
          <w:type w:val="continuous"/>
        </w:sectPr>
      </w:pPr>
    </w:p>
    <w:p>
      <w:pPr>
        <w:spacing w:after="0" w:line="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Before the Mobileye IPO, Intel held directly or indirectly the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had 750,000,000 Class B shares, all held by Intel. Per ASC 260-10-55-12, this share amount is being retroactively utilized for the calculation of basic and diluted earnings (loss) per share (“EPS”) for all periods presented.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Mobileye IPO, we issued 41,000,000 shares of our Class A common stock to the public at a public offering price of $21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12, 2023, we completed the Secondary Offering, pursuant to which 38,500,000 shares of Class B common stock held by Intel were converted into an equal number of shares of Class A common stock. Accordingly, as of July 1, 2023, we have 711,500,000 Class B shares, all held by Intel, and 94,162,090 Class A shares, both of which are utilized for the calculation of basic and diluted EPS. The outstanding Class A shares also include shares issued upon vesting of outstanding RSUs, see note 4.</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six months ended July 1, 2023, the computation of diluted earnings (loss) per share attributable to common stockholders does not include 6.2 million and 6.7 million potential common shares, respectively, based on the treasury stock method, related to restricted stock units granted under the 2022 Plan to the Company’s employees, as the effect of their inclusion would have been anti-dilutive.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basic earnings (loss) per share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1,</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July 2,</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July 1,</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8"/>
              <w:spacing w:after="0" w:line="119" w:lineRule="exact"/>
              <w:rPr>
                <w:sz w:val="20"/>
                <w:szCs w:val="20"/>
                <w:color w:val="auto"/>
              </w:rPr>
            </w:pPr>
            <w:r>
              <w:rPr>
                <w:rFonts w:ascii="Arial" w:cs="Arial" w:eastAsia="Arial" w:hAnsi="Arial"/>
                <w:sz w:val="13"/>
                <w:szCs w:val="13"/>
                <w:b w:val="1"/>
                <w:bCs w:val="1"/>
                <w:color w:val="auto"/>
              </w:rPr>
              <w:t>July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w w:val="99"/>
              </w:rPr>
              <w:t>Weighted average common shares - basic and diluted</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0" w:type="dxa"/>
            <w:vAlign w:val="bottom"/>
            <w:vMerge w:val="restart"/>
          </w:tcPr>
          <w:p>
            <w:pPr>
              <w:jc w:val="right"/>
              <w:ind w:right="8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4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income tax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differences between taxes currently payable to the Company’s Parent under the Tax Sharing Agreement and the current tax provision computed on a separate return basis, is reflected as adjustments to additional paid-in capital (see also Note 2). The adjustment to additional paid-in capital for the three and six months ended July 1, 2023 was an increase of $5 million and $0 million, respectively, based on estimates of forecasted 2023 US taxes payable under the separate return method for those periods. The adjustment to additional paid-in capital for the three and six months ended July 2, 2022 was an aggregate decrease of $7 million, because amounts payable under the Tax Sharing Agreement in respect of the three and six months periods, exceeded the amounts calculated under the separate return method.</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expense for the three and six months ended July 1, 2023 and July 2, 2022, was unfavorably impacted by a valuation allowance for certain jurisdictions. A withholding tax expense of $14 million related to a dividend distribution between entities within the Mobileye Group was recorded in the six months ended July 2, 2022. As the Company has jurisdictions that have sustained recent losses based on the separate return method, a valuation allowance is required for deferred tax assets for which no benefit can be currently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PARTIES TRANSACTIONS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entered into a series of related party arrangements with Intel. For further description of the arrangements refer to Note 9 of the notes to consolidated financial statement for the year ended December 31,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 Recharge Agreement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consolidated balance sheets, under related party payable was approximately $10 million and $1 million as of July 1, 2023 and December 31, 2022, respectively. The reimbursement amounts recorded as an adjustment to additional paid-in capital (and to parent net investment prior to the Mobileye IPO) in the condensed consolidated statement of changes in equity were $18 million and $11 million for the three months ended July 1, 2023 and July 2, 2022, respectively and $22 million and $40 million for the six months ended July 1, 2023 and July 2, 2022,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agreements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July 1, 2023 and July 2, 2022, were $1.1 million and $0.3 million, respectively and $2.4 million and $0.7 million for the six months ended July 1, 2023 and July 2,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 to a related party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reimbursed its Chief Executive Officer for reasonable travel related expenses incurred while conducting business on behalf of the Company. Travel related reimbursements totaled $0.5 million and $0.3 million for the three months ended July 1, 2023 and July 2, 2022, respectively and $1.2 million and $0.3 million for the six months ended July 1, 2023 and July 2, 2022, respectively.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Administrative Services Agreement, effective as of the completion of the Mobileye IPO, Intel provides the Company with administrative, financial, legal, tax, and other services. The Company pays fees to Intel for the services rendered based on pricing per service agreed between the Company and Intel.</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costs incurred under this agreement for the three and six months ended July 1, 2023 were $0.8 million and $1.2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Technology and Services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Technology and Services Agreement, effective as of the completion of the Mobileye IPO,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for which the LiDAR Product Collaboration Agreement applies. Pursuant to the Technology and Services Agreement, the Company and Intel will agree to statements of work with additional terms for Technology Projects.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incurred under this agreement for the three and six months ended July 1, 2023 were $1.4 million and $2.4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LiDAR Product Collaboration Agreement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LiDAR Product Collaboration Agreement, effective as of the completion of the Mobileye IPO,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amounts received or receivable from Intel under this agreement for the three and six months ended July 1,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Sharing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July 1, 2023 and December 31, 2022, the related party payable to Intel, pursuant to the Tax Sharing Agreement, was $34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IDENTIFIED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July 1, 2023</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w w:val="96"/>
              </w:rPr>
              <w:t>December 31, 2022</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Gross Assets</w:t>
            </w:r>
          </w:p>
        </w:tc>
        <w:tc>
          <w:tcPr>
            <w:tcW w:w="1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Gross Assets</w:t>
            </w:r>
          </w:p>
        </w:tc>
        <w:tc>
          <w:tcPr>
            <w:tcW w:w="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$ 1,886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$ 2,103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Customer relationships &amp; brands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$ 2,527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amortization expenses recorded for these identified intangible assets and their weighted average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Customer relationships &amp; brands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amortization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future amortization expenses for the next five years and thereafter to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Remainder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of 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Future amortization expenses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2,276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Mobileye is the Company’s only reportable operating segment and Moovit is presented within “Other” as per ASC 280, Segment Reporting. Segment performance is the operating income reported excluding the amortization of acquisition-related intangible assets. The measure of assets has not been disclosed for each segment as it is not regularly reviewed by the CODM.</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accounting policies of the individual segments are the same as those described in the summary of significant accounting policies in Note 2 to the audited consolidated financial statements for the fiscal year ended December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segment results for each period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1"/>
              </w:rPr>
              <w:t>Three months ended July 1, 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5"/>
              </w:rPr>
              <w:t>segments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b w:val="1"/>
                <w:bCs w:val="1"/>
                <w:color w:val="auto"/>
              </w:rPr>
              <w:t>Segment performance</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w:t>
            </w:r>
          </w:p>
        </w:tc>
        <w:tc>
          <w:tcPr>
            <w:tcW w:w="4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financial income (expense), net</w:t>
            </w:r>
          </w:p>
        </w:tc>
        <w:tc>
          <w:tcPr>
            <w:tcW w:w="1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Depreciation of property and equipment</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1"/>
              </w:rPr>
              <w:t>Three months ended July 2, 2022</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Amounts not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5"/>
              </w:rPr>
              <w:t>segments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b w:val="1"/>
                <w:bCs w:val="1"/>
                <w:color w:val="auto"/>
              </w:rPr>
              <w:t>Segment performance</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80" w:type="dxa"/>
            <w:vAlign w:val="bottom"/>
          </w:tcPr>
          <w:p>
            <w:pPr>
              <w:spacing w:after="0"/>
              <w:rPr>
                <w:sz w:val="18"/>
                <w:szCs w:val="18"/>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 net</w:t>
            </w: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financial income (expense), net</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taxes on income</w:t>
            </w: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line="196" w:lineRule="exact"/>
              <w:rPr>
                <w:sz w:val="20"/>
                <w:szCs w:val="20"/>
                <w:color w:val="auto"/>
              </w:rPr>
            </w:pPr>
            <w:r>
              <w:rPr>
                <w:rFonts w:ascii="Arial" w:cs="Arial" w:eastAsia="Arial" w:hAnsi="Arial"/>
                <w:sz w:val="18"/>
                <w:szCs w:val="18"/>
                <w:color w:val="auto"/>
              </w:rPr>
              <w:t>Share-based compensation</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Six months ended July 1,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100" w:type="dxa"/>
            <w:vAlign w:val="bottom"/>
          </w:tcPr>
          <w:p>
            <w:pPr>
              <w:spacing w:after="0"/>
              <w:rPr>
                <w:sz w:val="12"/>
                <w:szCs w:val="12"/>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segments</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Segment performance</w:t>
            </w:r>
          </w:p>
        </w:tc>
        <w:tc>
          <w:tcPr>
            <w:tcW w:w="1500" w:type="dxa"/>
            <w:vAlign w:val="bottom"/>
            <w:tcBorders>
              <w:bottom w:val="single" w:sz="8" w:color="CCEEFF"/>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tcBorders>
              <w:bottom w:val="single" w:sz="8" w:color="CCEEFF"/>
            </w:tcBorders>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financial income (expense), net</w:t>
            </w: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before taxes on income</w:t>
            </w:r>
          </w:p>
        </w:tc>
        <w:tc>
          <w:tcPr>
            <w:tcW w:w="14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compensation</w:t>
            </w: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Depreciation of property and equipment</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180" w:type="dxa"/>
            <w:vAlign w:val="bottom"/>
          </w:tcPr>
          <w:p>
            <w:pPr>
              <w:spacing w:after="0"/>
              <w:rPr>
                <w:sz w:val="24"/>
                <w:szCs w:val="24"/>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Six months ended July 2, 2022</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5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Amounts not</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Mobileye</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5"/>
              </w:rPr>
              <w:t>segments</w:t>
            </w:r>
          </w:p>
        </w:tc>
        <w:tc>
          <w:tcPr>
            <w:tcW w:w="1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20" w:type="dxa"/>
            <w:vAlign w:val="bottom"/>
          </w:tcPr>
          <w:p>
            <w:pPr>
              <w:spacing w:after="0"/>
              <w:rPr>
                <w:sz w:val="14"/>
                <w:szCs w:val="14"/>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b w:val="1"/>
                <w:bCs w:val="1"/>
                <w:color w:val="auto"/>
              </w:rPr>
              <w:t>Segment performance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52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financial income (expense),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21"/>
                <w:szCs w:val="21"/>
                <w:color w:val="auto"/>
              </w:rPr>
            </w:pPr>
          </w:p>
        </w:tc>
      </w:tr>
      <w:tr>
        <w:trPr>
          <w:trHeight w:val="197"/>
        </w:trPr>
        <w:tc>
          <w:tcPr>
            <w:tcW w:w="5660" w:type="dxa"/>
            <w:vAlign w:val="bottom"/>
          </w:tcPr>
          <w:p>
            <w:pPr>
              <w:spacing w:after="0" w:line="196" w:lineRule="exact"/>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based on the country that the product was shipped to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July 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July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July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July 2,</w:t>
            </w:r>
          </w:p>
        </w:tc>
      </w:tr>
      <w:tr>
        <w:trPr>
          <w:trHeight w:val="171"/>
        </w:trPr>
        <w:tc>
          <w:tcPr>
            <w:tcW w:w="57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Poland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Hungary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854</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generate the majority of our revenue from the sale of our EyeQ® SoCs to OEMs through sales to Tier 1 automotive suppliers. EyeQ® SoC sales represented approximately 92% and 92% of our revenue for each of the three months ended July 1, 2023 and July 2, 2022, respectively and 90% and 92% of our revenue for each of the six months ended July 1, 2023 and July 2, 2022,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major customers that amount to 10% or more of total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r>
      <w:tr>
        <w:trPr>
          <w:trHeight w:val="160"/>
        </w:trPr>
        <w:tc>
          <w:tcPr>
            <w:tcW w:w="3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1"/>
              </w:rPr>
              <w:t>July 1,</w:t>
            </w:r>
          </w:p>
        </w:tc>
        <w:tc>
          <w:tcPr>
            <w:tcW w:w="10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6"/>
              </w:rPr>
              <w:t>July 2,</w:t>
            </w:r>
          </w:p>
        </w:tc>
        <w:tc>
          <w:tcPr>
            <w:tcW w:w="10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1"/>
              </w:rPr>
              <w:t>July 1,</w:t>
            </w: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1"/>
              </w:rPr>
              <w:t>July 2,</w:t>
            </w:r>
          </w:p>
        </w:tc>
      </w:tr>
      <w:tr>
        <w:trPr>
          <w:trHeight w:val="171"/>
        </w:trPr>
        <w:tc>
          <w:tcPr>
            <w:tcW w:w="3420" w:type="dxa"/>
            <w:vAlign w:val="bottom"/>
          </w:tcPr>
          <w:p>
            <w:pPr>
              <w:spacing w:after="0"/>
              <w:rPr>
                <w:sz w:val="14"/>
                <w:szCs w:val="14"/>
                <w:color w:val="auto"/>
              </w:rPr>
            </w:pPr>
          </w:p>
        </w:tc>
        <w:tc>
          <w:tcPr>
            <w:tcW w:w="31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r>
      <w:tr>
        <w:trPr>
          <w:trHeight w:val="223"/>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 of total revenues:</w:t>
            </w:r>
          </w:p>
        </w:tc>
        <w:tc>
          <w:tcPr>
            <w:tcW w:w="236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Customer A</w:t>
            </w:r>
          </w:p>
        </w:tc>
        <w:tc>
          <w:tcPr>
            <w:tcW w:w="3400" w:type="dxa"/>
            <w:vAlign w:val="bottom"/>
            <w:gridSpan w:val="3"/>
          </w:tcPr>
          <w:p>
            <w:pPr>
              <w:jc w:val="right"/>
              <w:ind w:right="120"/>
              <w:spacing w:after="0"/>
              <w:rPr>
                <w:sz w:val="20"/>
                <w:szCs w:val="20"/>
                <w:color w:val="auto"/>
              </w:rPr>
            </w:pPr>
            <w:r>
              <w:rPr>
                <w:rFonts w:ascii="Arial" w:cs="Arial" w:eastAsia="Arial" w:hAnsi="Arial"/>
                <w:sz w:val="18"/>
                <w:szCs w:val="18"/>
                <w:color w:val="auto"/>
              </w:rPr>
              <w:t>32 %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Customer C</w:t>
            </w:r>
          </w:p>
        </w:tc>
        <w:tc>
          <w:tcPr>
            <w:tcW w:w="3400" w:type="dxa"/>
            <w:vAlign w:val="bottom"/>
            <w:gridSpan w:val="3"/>
          </w:tcPr>
          <w:p>
            <w:pPr>
              <w:jc w:val="right"/>
              <w:ind w:right="120"/>
              <w:spacing w:after="0"/>
              <w:rPr>
                <w:sz w:val="20"/>
                <w:szCs w:val="20"/>
                <w:color w:val="auto"/>
              </w:rPr>
            </w:pPr>
            <w:r>
              <w:rPr>
                <w:rFonts w:ascii="Arial" w:cs="Arial" w:eastAsia="Arial" w:hAnsi="Arial"/>
                <w:sz w:val="18"/>
                <w:szCs w:val="18"/>
                <w:color w:val="auto"/>
              </w:rPr>
              <w:t>14 %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15 %</w:t>
            </w:r>
          </w:p>
        </w:tc>
      </w:tr>
      <w:tr>
        <w:trPr>
          <w:trHeight w:val="634"/>
        </w:trPr>
        <w:tc>
          <w:tcPr>
            <w:tcW w:w="3420" w:type="dxa"/>
            <w:vAlign w:val="bottom"/>
          </w:tcPr>
          <w:p>
            <w:pPr>
              <w:spacing w:after="0"/>
              <w:rPr>
                <w:sz w:val="24"/>
                <w:szCs w:val="24"/>
                <w:color w:val="auto"/>
              </w:rPr>
            </w:pPr>
          </w:p>
        </w:tc>
        <w:tc>
          <w:tcPr>
            <w:tcW w:w="2360" w:type="dxa"/>
            <w:vAlign w:val="bottom"/>
          </w:tcPr>
          <w:p>
            <w:pPr>
              <w:jc w:val="right"/>
              <w:ind w:right="634"/>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balances of major customers that amount to 10% or more of total accounts receivable balance: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1"/>
              </w:rPr>
              <w:t>As of</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7420" w:type="dxa"/>
            <w:vAlign w:val="bottom"/>
          </w:tcPr>
          <w:p>
            <w:pPr>
              <w:spacing w:after="0"/>
              <w:rPr>
                <w:sz w:val="10"/>
                <w:szCs w:val="10"/>
                <w:color w:val="auto"/>
              </w:rPr>
            </w:pPr>
          </w:p>
        </w:tc>
        <w:tc>
          <w:tcPr>
            <w:tcW w:w="780" w:type="dxa"/>
            <w:vAlign w:val="bottom"/>
          </w:tcPr>
          <w:p>
            <w:pPr>
              <w:jc w:val="center"/>
              <w:ind w:left="191"/>
              <w:spacing w:after="0" w:line="119" w:lineRule="exact"/>
              <w:rPr>
                <w:sz w:val="20"/>
                <w:szCs w:val="20"/>
                <w:color w:val="auto"/>
              </w:rPr>
            </w:pPr>
            <w:r>
              <w:rPr>
                <w:rFonts w:ascii="Arial" w:cs="Arial" w:eastAsia="Arial" w:hAnsi="Arial"/>
                <w:sz w:val="13"/>
                <w:szCs w:val="13"/>
                <w:b w:val="1"/>
                <w:bCs w:val="1"/>
                <w:color w:val="auto"/>
                <w:w w:val="98"/>
              </w:rPr>
              <w:t>July 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r>
      <w:tr>
        <w:trPr>
          <w:trHeight w:val="171"/>
        </w:trPr>
        <w:tc>
          <w:tcPr>
            <w:tcW w:w="7420" w:type="dxa"/>
            <w:vAlign w:val="bottom"/>
          </w:tcPr>
          <w:p>
            <w:pPr>
              <w:spacing w:after="0"/>
              <w:rPr>
                <w:sz w:val="14"/>
                <w:szCs w:val="14"/>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09"/>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 of total accounts receivables balance: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32 %</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21 %</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18 %</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25 %</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2023, the Company’s compensation committee approved the issuance of restricted stock units to be issued under our 2022 Equity Incentive Plan. The total aggregate fair value of RSUs granted was $223.4 million, which consisted of 5,524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financial data for periods ending or as of dates prior to the completion of the Mobileye IPO have been derived from the consolidated financial statements and accounting records of Intel Corporation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July 1, 2023, our solutions had been installed in approximately 800 vehicle models (including local country, year, and other vehicle model variations), and our System-on-Chips (“SoCs”) had been deployed in over 150 million vehicles. We are actively working with more than 50 Original Equipment Manufacturers (“OEMs”) worldwide on the implementation of our ADAS solutions. In the six months ended July 1, 2023, we shipped approximately 16.4 million of our systems, the substantial majority of which were EyeQ® SoCs. This represents an increase from the approximately 15.9 million of our systems that we shipped in the six months ended July 2, 2022.</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(as defined below) and the Mobileye IPO in October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under the ticker symbol “MBLY” on October 26, 2022. Prior to the completion of the Mobileye IPO, we were a wholly-owned business of Intel. On November 1, 2022, we closed the sale of additional shares pursuant to the exercise of the underwriters’ the over-allotment option.</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further information and descriptions of the transactions in the Reorganization related to the Mobileye IPO, see Note 1 of the notes to the Consolidated Financial Statements in Part II, Item 8 of the 2022 Annual Report on Form 10-K, as filed with the Securities and Exchange Commission (the “SEC”) on March 9, 2023 (the “2022 Form 10-K”), and the section entitled “Certain Relationships and Related Party Transactions” in the Company’s Definitive Proxy Statement on Schedule 14A, as filed with the SEC on April 28, 2023.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Company did not receive any proceeds from this offering. The Company paid the costs associated with the registration of shares in connection with the offering, other than underwriting discounts, fees and commissions. Upon the completion of the offering, Intel continues to directly or indirectly hold all of the Class B common stock of Mobileye, which represents approximately 88.3% of our outstanding common stock and 98.7% of the voting power of our outstanding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In the future, propelled by our next generation of EyeQ®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a relationship with Quanta Computer to develop and assemble our ECUs, including the design for our Mobileye SuperVision™, which includes our EyeQ®5 SoCs manufactured by STMicroelectronics.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and will continue to be of significant value to us as we collaborate with regulators who are preparing frameworks to enable commercial deployment of AVs.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there are several important factors that have affected and that we expect to continue to affect our results of operations:</w:t>
      </w:r>
    </w:p>
    <w:p>
      <w:pPr>
        <w:spacing w:after="0" w:line="24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b w:val="1"/>
          <w:bCs w:val="1"/>
          <w:i w:val="1"/>
          <w:iCs w:val="1"/>
          <w:color w:val="auto"/>
        </w:rPr>
        <w:t xml:space="preserve">Global demand for automotive vehicles. </w:t>
      </w:r>
      <w:r>
        <w:rPr>
          <w:rFonts w:ascii="Arial" w:cs="Arial" w:eastAsia="Arial" w:hAnsi="Arial"/>
          <w:sz w:val="16"/>
          <w:szCs w:val="16"/>
          <w:color w:val="auto"/>
        </w:rPr>
        <w:t>Our business performance is related to global automotive sales and automotive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6% growth in global vehicle production year over year in 2022, production in 2022 was still approximately 8% below the 2019 level. Moreover, automakers continue to face supply chain shortages, and we expect that global vehicle production will remain below pre-COVID-19 pandemic levels in 2023. Furthermore, current uncertain economic conditions and inflation may contribute to a reduction in consumer demand, which may reduce vehicle production over at least the next several quarters. For example, in the first quarter of 2023, the Chinese electric vehicle market was negatively impacted by price reductions by a global electric vehicle OEM, reduction in government electric vehicle subsidies, and general economic weakness in the country. Our current primary customer for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reduced orders for this product for calendar year 2023 as a result.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$912 million in the six months ended July 1, 2023 was up 7% year-over-year. However, continued or future constraints on global automotive production resulting from supply chain shortages and the effects of economic uncertainty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Design wins with new and existing customers. </w:t>
      </w:r>
      <w:r>
        <w:rPr>
          <w:rFonts w:ascii="Arial" w:cs="Arial" w:eastAsia="Arial" w:hAnsi="Arial"/>
          <w:sz w:val="18"/>
          <w:szCs w:val="18"/>
          <w:color w:val="auto"/>
        </w:rPr>
        <w:t>Global OEMs are continuously looking for innovative ways to improve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Investment in technology leadership and product development. </w:t>
      </w:r>
      <w:r>
        <w:rPr>
          <w:rFonts w:ascii="Arial" w:cs="Arial" w:eastAsia="Arial" w:hAnsi="Arial"/>
          <w:sz w:val="17"/>
          <w:szCs w:val="17"/>
          <w:color w:val="auto"/>
        </w:rPr>
        <w:t>We believe our ability to continue to develop and design highly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Regulation for ADAS and autonomous driving solutions. </w:t>
      </w:r>
      <w:r>
        <w:rPr>
          <w:rFonts w:ascii="Arial" w:cs="Arial" w:eastAsia="Arial" w:hAnsi="Arial"/>
          <w:sz w:val="16"/>
          <w:szCs w:val="16"/>
          <w:color w:val="auto"/>
        </w:rPr>
        <w:t>Demand for our solutions is influenced by the impact of regulation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Consumer adoption of our ADAS and autonomous driving solutions. </w:t>
      </w:r>
      <w:r>
        <w:rPr>
          <w:rFonts w:ascii="Arial" w:cs="Arial" w:eastAsia="Arial" w:hAnsi="Arial"/>
          <w:sz w:val="18"/>
          <w:szCs w:val="18"/>
          <w:color w:val="auto"/>
        </w:rPr>
        <w:t>Our financial performance is in part driven by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Solution mix, pricing, and product costs. </w:t>
      </w:r>
      <w:r>
        <w:rPr>
          <w:rFonts w:ascii="Arial" w:cs="Arial" w:eastAsia="Arial" w:hAnsi="Arial"/>
          <w:sz w:val="18"/>
          <w:szCs w:val="18"/>
          <w:color w:val="auto"/>
        </w:rPr>
        <w:t>Solution mix is among the most important factors affecting our revenue and gross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delivering full system solutions consisting of higher-function products such as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other advanced solutions become a larger portion of our product mix.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have experienced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Computer on a continuous basis to manage material costs, increase yields and improve manufacturing, assembly, and test costs.</w:t>
      </w:r>
    </w:p>
    <w:p>
      <w:pPr>
        <w:spacing w:after="0" w:line="18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b w:val="1"/>
          <w:bCs w:val="1"/>
          <w:i w:val="1"/>
          <w:iCs w:val="1"/>
          <w:color w:val="auto"/>
        </w:rPr>
        <w:t xml:space="preserve">Supply and manufacturing capacity. </w:t>
      </w:r>
      <w:r>
        <w:rPr>
          <w:rFonts w:ascii="Arial" w:cs="Arial" w:eastAsia="Arial" w:hAnsi="Arial"/>
          <w:sz w:val="16"/>
          <w:szCs w:val="16"/>
          <w:color w:val="auto"/>
        </w:rPr>
        <w:t>Our solutions are dependent on the global semiconductor supply chain. The continued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 SoCs as a result of the limited supply during 2021. Further, STMicroelectronics, our sole supplier of EyeQ® SoCs, was not able to meet our demand for EyeQ® SoCs during 2022, causing a significant reduction in our inventory level. Starting in late 2022 and early 2023 such supply chain disruptions, raw material shortages and manufacturing limitations abated and during the first six months of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ECUs on hand. As a result, we are substantially reliant on timely shipments of EyeQ® SoCs from STMicroelectronics and ECUs from Quanta Computer (or other suppliers) to fulfill customer orders and if such a shortfall of chips or ECUs were to occur in 2023, we may be unable to offset future supply constraints through the use of inventory on hand. Our results of operations in the three and six months ended July 1, 2023 have not been impacted by any shortfall of chips. Our reliance on single or limited suppliers and vendors for certain components, equipment, and services and the aforementioned shortages of substrates and other components have led to increased supply chain risks and may stress our ability to meet the supply demands of our customers. To mitigate these supply chain constraints, management monitors inventory levels on an ongoing basis. Although we cannot fully predict the length and the severity of the impact these pressures may have on a long-term basis, we do not anticipate that potential supply chain constraints would materially adversely affect our results of operations, capital resources, sales, profits, and liquidity on a long-term basis.</w:t>
      </w:r>
    </w:p>
    <w:p>
      <w:pPr>
        <w:spacing w:after="0" w:line="1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As a recently public company, we will be implementing additional procedures and processes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 Segment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EyeQ® SoC sales represented approximately 92% and 92% of our revenue for the three months ended July 1, 2023 and July 2, 2022, respectively, and 90% and 92% of our revenue for the six months ended July 1, 2023 and July 2, 2022, respectively. Sales of our SuperVision™ product represented approximately half of the remainder of our revenue for the three and six months ended July 1, 2023 and also for the three and six months ended July 2, 2022. Revenue from the sale of our EyeQ®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 consists primarily of expenses associated with the manufacturing cost of our EyeQ® SoCs and our SuperVision™ products,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primarily consist of expenses related to personnel, facilities, equipment and supplies for research and development activities including share-based compensation, materials, parts and other prototype development, cloud computing services, consulting, and other professional services, including data labeling, quality assurance within the development programs, and allocated overhead costs.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2022,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with related party, net and Other Financial Income (Expense),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21, 2022, we and Intel entered into a loan agreement whereby we distributed to Intel the Dividend Note in an aggregate principal amount of $3.5 billion (the “Dividend Note”). The Dividend Note accrued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and six months ended July 1, 2023 we had no interest income (expense) with related party since the outstanding balance of both the Dividend Note and a loan to Intel were zero as of December 31, 2022. In the three and six months ended July 2, 2022, we incurred interest expense of $6 million and $5 million, respectively, which mainly relates to accrued interest on the Dividend Note to Intel.</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financial income (expense), net, consists primarily of income related to investment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periods presented in our condensed consolidated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related to U.S. branch deferred tax assets not currently expected to be realized given that we have sustained recent losses based on the separate return method.</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results of operations in dollars and as a percentage of revenue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5"/>
          </w:tcPr>
          <w:p>
            <w:pPr>
              <w:jc w:val="center"/>
              <w:ind w:right="390"/>
              <w:spacing w:after="0" w:line="119" w:lineRule="exact"/>
              <w:rPr>
                <w:sz w:val="20"/>
                <w:szCs w:val="20"/>
                <w:color w:val="auto"/>
              </w:rPr>
            </w:pPr>
            <w:r>
              <w:rPr>
                <w:rFonts w:ascii="Arial" w:cs="Arial" w:eastAsia="Arial" w:hAnsi="Arial"/>
                <w:sz w:val="13"/>
                <w:szCs w:val="13"/>
                <w:b w:val="1"/>
                <w:bCs w:val="1"/>
                <w:color w:val="auto"/>
              </w:rPr>
              <w:t>July 1,</w:t>
            </w:r>
          </w:p>
        </w:tc>
        <w:tc>
          <w:tcPr>
            <w:tcW w:w="1420" w:type="dxa"/>
            <w:vAlign w:val="bottom"/>
            <w:gridSpan w:val="5"/>
          </w:tcPr>
          <w:p>
            <w:pPr>
              <w:jc w:val="right"/>
              <w:ind w:right="478"/>
              <w:spacing w:after="0" w:line="119" w:lineRule="exact"/>
              <w:rPr>
                <w:sz w:val="20"/>
                <w:szCs w:val="20"/>
                <w:color w:val="auto"/>
              </w:rPr>
            </w:pPr>
            <w:r>
              <w:rPr>
                <w:rFonts w:ascii="Arial" w:cs="Arial" w:eastAsia="Arial" w:hAnsi="Arial"/>
                <w:sz w:val="13"/>
                <w:szCs w:val="13"/>
                <w:b w:val="1"/>
                <w:bCs w:val="1"/>
                <w:color w:val="auto"/>
              </w:rPr>
              <w:t>July 2,</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right"/>
              <w:ind w:right="130"/>
              <w:spacing w:after="0" w:line="119" w:lineRule="exact"/>
              <w:rPr>
                <w:sz w:val="20"/>
                <w:szCs w:val="20"/>
                <w:color w:val="auto"/>
              </w:rPr>
            </w:pPr>
            <w:r>
              <w:rPr>
                <w:rFonts w:ascii="Arial" w:cs="Arial" w:eastAsia="Arial" w:hAnsi="Arial"/>
                <w:sz w:val="13"/>
                <w:szCs w:val="13"/>
                <w:b w:val="1"/>
                <w:bCs w:val="1"/>
                <w:color w:val="auto"/>
              </w:rPr>
              <w:t>July 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4"/>
          </w:tcPr>
          <w:p>
            <w:pPr>
              <w:jc w:val="right"/>
              <w:ind w:right="454"/>
              <w:spacing w:after="0" w:line="119" w:lineRule="exact"/>
              <w:rPr>
                <w:sz w:val="20"/>
                <w:szCs w:val="20"/>
                <w:color w:val="auto"/>
              </w:rPr>
            </w:pPr>
            <w:r>
              <w:rPr>
                <w:rFonts w:ascii="Arial" w:cs="Arial" w:eastAsia="Arial" w:hAnsi="Arial"/>
                <w:sz w:val="13"/>
                <w:szCs w:val="13"/>
                <w:b w:val="1"/>
                <w:bCs w:val="1"/>
                <w:color w:val="auto"/>
              </w:rPr>
              <w:t>July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9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Revenue</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9"/>
                <w:szCs w:val="19"/>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100 %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56"/>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tcBorders>
              <w:top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top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39 %</w:t>
            </w:r>
          </w:p>
        </w:tc>
        <w:tc>
          <w:tcPr>
            <w:tcW w:w="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56"/>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2 %</w:t>
            </w:r>
          </w:p>
        </w:tc>
        <w:tc>
          <w:tcPr>
            <w:tcW w:w="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8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441</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color w:val="auto"/>
                <w:w w:val="94"/>
              </w:rPr>
              <w:t>Interest Income (expense) with related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party, net and Other Financial</w:t>
            </w: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vMerge w:val="restart"/>
          </w:tcPr>
          <w:p>
            <w:pPr>
              <w:jc w:val="right"/>
              <w:ind w:right="56"/>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8"/>
                <w:szCs w:val="18"/>
                <w:color w:val="auto"/>
              </w:rPr>
              <w:t>Income (expense), net</w:t>
            </w: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(loss) before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2 %</w:t>
            </w:r>
          </w:p>
        </w:tc>
        <w:tc>
          <w:tcPr>
            <w:tcW w:w="8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5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80" w:type="dxa"/>
            <w:vAlign w:val="bottom"/>
            <w:tcBorders>
              <w:right w:val="single" w:sz="8" w:color="CCEEFF"/>
            </w:tcBorders>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11"/>
          </w:tcPr>
          <w:p>
            <w:pPr>
              <w:spacing w:after="0"/>
              <w:rPr>
                <w:sz w:val="20"/>
                <w:szCs w:val="20"/>
                <w:color w:val="auto"/>
              </w:rPr>
            </w:pPr>
            <w:r>
              <w:rPr>
                <w:rFonts w:ascii="Arial" w:cs="Arial" w:eastAsia="Arial" w:hAnsi="Arial"/>
                <w:sz w:val="18"/>
                <w:szCs w:val="18"/>
                <w:color w:val="auto"/>
              </w:rPr>
              <w:t>(1) Includes amortization of acquired intangible assets, as follows: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right"/>
              <w:ind w:right="41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1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rPr>
              <w:t>July 1,</w:t>
            </w:r>
          </w:p>
        </w:tc>
        <w:tc>
          <w:tcPr>
            <w:tcW w:w="80" w:type="dxa"/>
            <w:vAlign w:val="bottom"/>
          </w:tcPr>
          <w:p>
            <w:pPr>
              <w:spacing w:after="0"/>
              <w:rPr>
                <w:sz w:val="10"/>
                <w:szCs w:val="10"/>
                <w:color w:val="auto"/>
              </w:rPr>
            </w:pPr>
          </w:p>
        </w:tc>
        <w:tc>
          <w:tcPr>
            <w:tcW w:w="720" w:type="dxa"/>
            <w:vAlign w:val="bottom"/>
            <w:gridSpan w:val="2"/>
          </w:tcPr>
          <w:p>
            <w:pPr>
              <w:jc w:val="center"/>
              <w:ind w:left="196"/>
              <w:spacing w:after="0" w:line="119" w:lineRule="exact"/>
              <w:rPr>
                <w:sz w:val="20"/>
                <w:szCs w:val="20"/>
                <w:color w:val="auto"/>
              </w:rPr>
            </w:pPr>
            <w:r>
              <w:rPr>
                <w:rFonts w:ascii="Arial" w:cs="Arial" w:eastAsia="Arial" w:hAnsi="Arial"/>
                <w:sz w:val="13"/>
                <w:szCs w:val="13"/>
                <w:b w:val="1"/>
                <w:bCs w:val="1"/>
                <w:color w:val="auto"/>
                <w:w w:val="98"/>
              </w:rPr>
              <w:t>July 2,</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tcPr>
          <w:p>
            <w:pPr>
              <w:jc w:val="center"/>
              <w:ind w:right="273"/>
              <w:spacing w:after="0" w:line="119" w:lineRule="exact"/>
              <w:rPr>
                <w:sz w:val="20"/>
                <w:szCs w:val="20"/>
                <w:color w:val="auto"/>
              </w:rPr>
            </w:pPr>
            <w:r>
              <w:rPr>
                <w:rFonts w:ascii="Arial" w:cs="Arial" w:eastAsia="Arial" w:hAnsi="Arial"/>
                <w:sz w:val="13"/>
                <w:szCs w:val="13"/>
                <w:b w:val="1"/>
                <w:bCs w:val="1"/>
                <w:color w:val="auto"/>
              </w:rPr>
              <w:t>July 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90"/>
              <w:spacing w:after="0" w:line="119" w:lineRule="exact"/>
              <w:rPr>
                <w:sz w:val="20"/>
                <w:szCs w:val="20"/>
                <w:color w:val="auto"/>
              </w:rPr>
            </w:pPr>
            <w:r>
              <w:rPr>
                <w:rFonts w:ascii="Arial" w:cs="Arial" w:eastAsia="Arial" w:hAnsi="Arial"/>
                <w:sz w:val="13"/>
                <w:szCs w:val="13"/>
                <w:b w:val="1"/>
                <w:bCs w:val="1"/>
                <w:color w:val="auto"/>
              </w:rPr>
              <w:t>July 2,</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5"/>
          </w:tcPr>
          <w:p>
            <w:pPr>
              <w:jc w:val="center"/>
              <w:ind w:left="131"/>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left w:val="single" w:sz="8" w:color="CCEEFF"/>
            </w:tcBorders>
            <w:gridSpan w:val="2"/>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92"/>
              </w:rPr>
              <w:t>Total amortization of acquired intangible assets</w:t>
            </w:r>
          </w:p>
        </w:tc>
        <w:tc>
          <w:tcPr>
            <w:tcW w:w="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left w:val="single" w:sz="8" w:color="CCEEFF"/>
              <w:bottom w:val="single" w:sz="8" w:color="auto"/>
            </w:tcBorders>
            <w:gridSpan w:val="2"/>
            <w:shd w:val="clear" w:color="auto" w:fill="CCEEFF"/>
          </w:tcPr>
          <w:p>
            <w:pPr>
              <w:jc w:val="right"/>
              <w:ind w:right="516"/>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 Includes share-based compensation expense, as follows: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w w:val="97"/>
              </w:rPr>
              <w:t>July1,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July 2,</w:t>
            </w:r>
          </w:p>
        </w:tc>
      </w:tr>
      <w:tr>
        <w:trPr>
          <w:trHeight w:val="171"/>
        </w:trPr>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right"/>
              <w:ind w:right="580"/>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6"/>
                <w:szCs w:val="16"/>
                <w:color w:val="auto"/>
              </w:rPr>
            </w:pPr>
          </w:p>
        </w:tc>
        <w:tc>
          <w:tcPr>
            <w:tcW w:w="700" w:type="dxa"/>
            <w:vAlign w:val="bottom"/>
            <w:tcBorders>
              <w:top w:val="single" w:sz="8" w:color="auto"/>
            </w:tcBorders>
          </w:tcPr>
          <w:p>
            <w:pPr>
              <w:jc w:val="right"/>
              <w:ind w:right="549"/>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55</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-719455</wp:posOffset>
            </wp:positionV>
            <wp:extent cx="62922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-445135</wp:posOffset>
            </wp:positionV>
            <wp:extent cx="629221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-161925</wp:posOffset>
            </wp:positionV>
            <wp:extent cx="629221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4540"/>
          </w:cols>
          <w:pgMar w:left="980" w:top="517" w:right="9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July 1, 2023 and July 2,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three months ended July 1, 2023, revenue decreased by $6 million, or 1%, compared to the three months ended July 2,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in revenue was primarily due to a decrease in sales of EyeQ® SoC and SuperVision systems.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six months ended July 1, 2023, revenue increased by $58 million, or 7%, compared to the six months ended July 2, 2022. This increase was primarily due to an increase of $48 million, or 6%, in EyeQ® and SuperVision sales, attributable to a 3% increase in volume and a 2% increase in Average System Price which is calculated as the sum of revenue related to EyeQ® and SuperVision systems, divided by the number of systems delivered.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three months ended July 1, 2023, our cost of revenue decreased by $1 million compared to the three months ended July 2, 2022. This decrease was primarily due to a decrease of $14 million in amortization of intangible assets, offset mainly by the rise in the cost of our EyeQ® SoCs due to the global semiconductor shortage and inflationary pressures.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six months ended July 1, 2023, our cost of revenue increased by $32 million, or 7%, compared to the six months ended July 2, 2022. This increase was primarily due to an increase of $51 million in manufacturing costs relating primarily to increased sales of our EyeQ® SoC and our sales of SuperVision™ systems, as well as to a rise in the cost of our EyeQ® SoCs, partially offset by a decrease of $23 million in amortization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July 1 2023, our gross profit decreased by $5 million, or 2% compared to the three months ended July 2, 2022. The decrease was mainly due to a decrease in sales of EyeQ® SoCs and SuperVision systems.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six months ended July 1 2023, our gross profit increased by $26 million, or 6%, compared to the six months ended July 2, 2022. This increase was mainly driven by the increase in sales of both EyeQ® SoC and SuperVision™ systems.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gross margin remained largely consistent at 49% in the three months ended July 1, 2023, compared to 50% in the three months ended July 2, 2022. Our gross margin was 47% in both six months ended July 2, 2022 and the six months ended July 1, 2023. This is due to the fact that the downward impact of the increased cost of our EyeQ® SoCs (which was passed through as a price increase to our customers on a zero-margin basis) was mostly offset by lower impact of the cost attributable to amortization of intangible assets as a percentage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net, in the three months ended July 1, 2023, increased by $32 million, or 18%, compared to the three months ended July 2, 2022. This increase was primarily due to an increase of $24 million in payroll and related expenses, resulting from an increase in average research and development headcount of 455 employees and an increase in payroll costs, including an increase of $13 million in share-based compensation. The remaining increase is mainly related to occupancy and related expenses associated with the lease of new office space in additional sites.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net, in the six months ended July 1, 2023, increased by $87 million, or 24%, compared to the six months ended July 2, 2022. This increase was primarily due to an increase of $67 million in payroll and related expenses, resulting from an increase in average research and development headcount of 468 employees and an increase in payroll costs, including an increase of $36 million in share-based compensation. The remaining increase is mainly related to occupancy and related expenses associated with the lease of new office space in additional sites.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 expenses in the three months ended July 1 2023 remained flat compared to the three months ended July 2, 2022.</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and marketing expenses in the six months ended July 1 2023, decreased by $2 million, or 3%, compared to the six months ended July 1, 2023. This decrease was mainly due to a decrease of $8 million in amortization of customer relationship and brand-related intangible assets partially offset by an increase of $5 million in advertising and marketing expenses.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in the three months ended July 1, 2023, increased by $6 million, or 55%, compared to the three months ended July 2, 2022. This increase was mainly due to an increase in payroll and related expenses, including an increase of $4 million in share-based compensation, as well as costs related to being a public company, partially offset by the Mobileye IPO related expenses incurred in prior year period.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in the six months ended July 1, 2023, increased by $19, or 106%, compared to the six months ended July 2, 2022. This increase was mainly due to an increase in payroll and related expenses, including an increase of $11 million in share-based compensation, as well as costs related to being a public company, partially offset by the Mobileye IPO related expenses incurred in prior year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with related party, net and Other Financial Income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with related party, net in the three months ended July 1, 2023 was $0 million compared to $6 million in the three months ended July 2, 2022, and $0 million compared to $5 million in the six months ended July 1, 2023 and six months ended July 2, 2022, respectively. These changes were due to zero outstanding balances of both the Dividend Note and a loan to Intel as of December 31, 2022.</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financial income, net, in the three months ended July 1, 2023, was $15 million compared to $4 million in the three months ended July 2, 2022 and $23 million compared to $5 million in the six months ended July 1, 2023 and six months ended July 2, 2022, respectively. This increase was mainly due to interest earned on investment in money market funds, as well as higher interest earned on short term bank deposits.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(Provision) for Income Tax</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three months ended July 1, 2023, provision for income tax decreased by $5 million, compared to the three months ended July 2, 2022. This decrease was mainly driven by a change in the jurisdictional composition of our taxable income based on operational results.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six months ended July 1, 2023, provision for income tax decreased by $15 million, compared to the six months ended July 2, 2022. This decrease was mainly due to a withholding tax expense of $14 million related to a dividend distribution between entities within the Mobileye Group in the six months ended July 2,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uses of funds have been for funding increases in headcount in our research and development departments and investments attributable to new product development, as well as for funding our capital expenditures. Our capital expenditures have related mainly to the construction of our new sites and campus, data storage and other computer related equipment and were $58 million and $53 million for the six months ended July 1, 2023 and July 2,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fund our cash requirements in the ordinary course of business, we anticipate that we will continue to primarily rely on operating cash flows, supplemented by our total cash and cash equivalents. We expect our total capital expenditures for 2023 to be above our total capital expenditures in 2022, mainly given the expansion to additional facilities required to accommodate our headcount growth, as well as investments in equipment related to the development of our next generation products. The construction of our campus is planned to be completed in 2023, with a remaining cost we estimate to be between $30 million and $40 million. Our future capital requirements will depend on many factors, including our growth rate and the timing and extent of operating expenses.</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consolidated statements of cash flow data:</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operating activities</w:t>
      </w:r>
    </w:p>
    <w:p>
      <w:pPr>
        <w:spacing w:after="0" w:line="7" w:lineRule="exact"/>
        <w:rPr>
          <w:sz w:val="20"/>
          <w:szCs w:val="20"/>
          <w:color w:val="auto"/>
        </w:rPr>
      </w:pPr>
    </w:p>
    <w:p>
      <w:pPr>
        <w:ind w:right="2260"/>
        <w:spacing w:after="0" w:line="281" w:lineRule="auto"/>
        <w:rPr>
          <w:sz w:val="20"/>
          <w:szCs w:val="20"/>
          <w:color w:val="auto"/>
        </w:rPr>
      </w:pPr>
      <w:r>
        <w:rPr>
          <w:rFonts w:ascii="Arial" w:cs="Arial" w:eastAsia="Arial" w:hAnsi="Arial"/>
          <w:sz w:val="16"/>
          <w:szCs w:val="16"/>
          <w:color w:val="auto"/>
        </w:rPr>
        <w:t>Net cash provided by (used in) investing activities 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right="900"/>
        <w:spacing w:after="0" w:line="376" w:lineRule="auto"/>
        <w:rPr>
          <w:sz w:val="20"/>
          <w:szCs w:val="20"/>
          <w:color w:val="auto"/>
        </w:rPr>
      </w:pPr>
      <w:r>
        <w:rPr>
          <w:rFonts w:ascii="Arial" w:cs="Arial" w:eastAsia="Arial" w:hAnsi="Arial"/>
          <w:sz w:val="16"/>
          <w:szCs w:val="16"/>
          <w:color w:val="auto"/>
        </w:rPr>
        <w:t xml:space="preserve">Effect of foreign exchange rate changes on cash and cash equivalents </w:t>
      </w:r>
      <w:r>
        <w:rPr>
          <w:rFonts w:ascii="Arial" w:cs="Arial" w:eastAsia="Arial" w:hAnsi="Arial"/>
          <w:sz w:val="16"/>
          <w:szCs w:val="16"/>
          <w:b w:val="1"/>
          <w:bCs w:val="1"/>
          <w:color w:val="auto"/>
        </w:rPr>
        <w:t>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629221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Six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July 1, 2023</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July 2, 2022</w:t>
            </w:r>
          </w:p>
        </w:tc>
        <w:tc>
          <w:tcPr>
            <w:tcW w:w="20" w:type="dxa"/>
            <w:vAlign w:val="bottom"/>
          </w:tcPr>
          <w:p>
            <w:pPr>
              <w:spacing w:after="0"/>
              <w:rPr>
                <w:sz w:val="12"/>
                <w:szCs w:val="12"/>
                <w:color w:val="auto"/>
              </w:rPr>
            </w:pPr>
          </w:p>
        </w:tc>
      </w:tr>
      <w:tr>
        <w:trPr>
          <w:trHeight w:val="195"/>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233</w:t>
            </w: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r>
      <w:tr>
        <w:trPr>
          <w:trHeight w:val="230"/>
        </w:trPr>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9"/>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2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900" w:space="720"/>
            <w:col w:w="3300"/>
          </w:cols>
          <w:pgMar w:left="980" w:top="517" w:right="99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six months ended July 1, 2023 compared to the six months ended July 2, 2022, the $36 million decrease in cash provided by operating activities was mainly due to an increase in inventories, as part of a planned initiative to rebuild our strategic inventory of EyeQ chips that was largely consumed during the supply chain crisis in 2021 and 2022, which was partially offset by a change in employee related balances in the first half of 2022 which was due to our recruitment of certain employees relating to the Mobileye business from Intel during the first half of 2022, as well as a decrease in accounts receivable in comparison to an increase in prior year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in the six months ended July 1, 2023 was $58 million, consisting of capital expenditures.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investing activities in the six months ended July 2, 2022 was $344 million consisting primarily of a $397 million net loan repayment by Intel to Mobileye, partially offset by capital expenditures.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in the six months ended July 1, 2023 was $12 million, consisting of share-based compensation recharge payments made to Intel.</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in the six months ended July 2, 2022 was $415 million, consisting primarily of $186 million share-based compensation recharge payments and $336 million dividend contribution made to Intel, partially offset by $121 million of a net contribution from Intel.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Liability in respect of employee rights upon retirement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pay liability decreased from $56 million as of December 31, 2022, to $55 million as of July 1, 2023, reflecting mainly the impact of fluctuations in value due to foreign exchange differences between New Israeli Shekel and USD.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several bank guarantees aggregating approximately $15 million (mainly denominated in New Israeli Shekels) mainly in connection with lease agreements and import of vehicles.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in connection with the Reorganization and the Mobileye IPO, on April 21, 2022, we distributed to Intel the Dividend Note, in the aggregate principal amount of $3.5 billion. In November 2022, we used approximately $0.9 billion out of the net proceeds from the Mobileye IPO, to repay a portion of indebtedness under the Dividend Note, and Intel contributed to Mobileye the remaining portion of the Dividend Note such that no amounts under the Dividend Note remain owed by us to Intel.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1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gross profit to Adjusted Gross Profit and the calculations of gross margin and Adjusted Gross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Six months Ended</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80" w:type="dxa"/>
            <w:vAlign w:val="bottom"/>
          </w:tcPr>
          <w:p>
            <w:pPr>
              <w:spacing w:after="0"/>
              <w:rPr>
                <w:sz w:val="12"/>
                <w:szCs w:val="12"/>
                <w:color w:val="auto"/>
              </w:rPr>
            </w:pPr>
          </w:p>
        </w:tc>
        <w:tc>
          <w:tcPr>
            <w:tcW w:w="176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July 1, 2023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July 2, 2022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left="194"/>
              <w:spacing w:after="0" w:line="142" w:lineRule="exact"/>
              <w:rPr>
                <w:sz w:val="20"/>
                <w:szCs w:val="20"/>
                <w:color w:val="auto"/>
              </w:rPr>
            </w:pPr>
            <w:r>
              <w:rPr>
                <w:rFonts w:ascii="Arial" w:cs="Arial" w:eastAsia="Arial" w:hAnsi="Arial"/>
                <w:sz w:val="14"/>
                <w:szCs w:val="14"/>
                <w:b w:val="1"/>
                <w:bCs w:val="1"/>
                <w:color w:val="auto"/>
                <w:w w:val="91"/>
              </w:rPr>
              <w:t>July 1, 2023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July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of Revenue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9"/>
              </w:rPr>
              <w:t>Amount  % of Revenue</w:t>
            </w:r>
          </w:p>
        </w:tc>
        <w:tc>
          <w:tcPr>
            <w:tcW w:w="200" w:type="dxa"/>
            <w:vAlign w:val="bottom"/>
          </w:tcPr>
          <w:p>
            <w:pPr>
              <w:spacing w:after="0"/>
              <w:rPr>
                <w:sz w:val="12"/>
                <w:szCs w:val="12"/>
                <w:color w:val="auto"/>
              </w:rPr>
            </w:pPr>
          </w:p>
        </w:tc>
        <w:tc>
          <w:tcPr>
            <w:tcW w:w="156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Amount  % of Revenue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profit and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49 %</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50 %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47 %</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97"/>
              </w:rPr>
              <w:t>47 %</w:t>
            </w:r>
          </w:p>
        </w:tc>
        <w:tc>
          <w:tcPr>
            <w:tcW w:w="0" w:type="dxa"/>
            <w:vAlign w:val="bottom"/>
          </w:tcPr>
          <w:p>
            <w:pPr>
              <w:spacing w:after="0"/>
              <w:rPr>
                <w:sz w:val="1"/>
                <w:szCs w:val="1"/>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240" w:type="dxa"/>
            <w:vAlign w:val="bottom"/>
            <w:gridSpan w:val="3"/>
          </w:tcPr>
          <w:p>
            <w:pPr>
              <w:ind w:left="780"/>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97"/>
              </w:rPr>
              <w:t>25 %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24 %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240</w:t>
            </w: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w w:val="97"/>
              </w:rPr>
              <w:t>28 %</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Adjusted gross profit and</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60" w:type="dxa"/>
            <w:vAlign w:val="bottom"/>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w:t>
            </w:r>
          </w:p>
        </w:tc>
        <w:tc>
          <w:tcPr>
            <w:tcW w:w="140" w:type="dxa"/>
            <w:vAlign w:val="bottom"/>
            <w:vMerge w:val="restart"/>
          </w:tcPr>
          <w:p>
            <w:pPr>
              <w:spacing w:after="0"/>
              <w:rPr>
                <w:sz w:val="15"/>
                <w:szCs w:val="15"/>
                <w:color w:val="auto"/>
              </w:rPr>
            </w:pPr>
          </w:p>
        </w:tc>
        <w:tc>
          <w:tcPr>
            <w:tcW w:w="1320" w:type="dxa"/>
            <w:vAlign w:val="bottom"/>
            <w:gridSpan w:val="4"/>
            <w:vMerge w:val="restart"/>
          </w:tcPr>
          <w:p>
            <w:pPr>
              <w:ind w:left="640"/>
              <w:spacing w:after="0"/>
              <w:rPr>
                <w:sz w:val="20"/>
                <w:szCs w:val="20"/>
                <w:color w:val="auto"/>
              </w:rPr>
            </w:pPr>
            <w:r>
              <w:rPr>
                <w:rFonts w:ascii="Arial" w:cs="Arial" w:eastAsia="Arial" w:hAnsi="Arial"/>
                <w:sz w:val="18"/>
                <w:szCs w:val="18"/>
                <w:b w:val="1"/>
                <w:bCs w:val="1"/>
                <w:color w:val="auto"/>
              </w:rPr>
              <w:t>72 % $</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75 %$</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71 % $</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645</w:t>
            </w:r>
          </w:p>
        </w:tc>
        <w:tc>
          <w:tcPr>
            <w:tcW w:w="1220" w:type="dxa"/>
            <w:vAlign w:val="bottom"/>
            <w:gridSpan w:val="3"/>
            <w:vMerge w:val="restart"/>
          </w:tcPr>
          <w:p>
            <w:pPr>
              <w:ind w:left="800"/>
              <w:spacing w:after="0"/>
              <w:rPr>
                <w:sz w:val="20"/>
                <w:szCs w:val="20"/>
                <w:color w:val="auto"/>
              </w:rPr>
            </w:pPr>
            <w:r>
              <w:rPr>
                <w:rFonts w:ascii="Arial" w:cs="Arial" w:eastAsia="Arial" w:hAnsi="Arial"/>
                <w:sz w:val="18"/>
                <w:szCs w:val="18"/>
                <w:b w:val="1"/>
                <w:bCs w:val="1"/>
                <w:color w:val="auto"/>
                <w:w w:val="97"/>
              </w:rPr>
              <w:t>76 %</w:t>
            </w:r>
          </w:p>
        </w:tc>
        <w:tc>
          <w:tcPr>
            <w:tcW w:w="0" w:type="dxa"/>
            <w:vAlign w:val="bottom"/>
          </w:tcPr>
          <w:p>
            <w:pPr>
              <w:spacing w:after="0"/>
              <w:rPr>
                <w:sz w:val="1"/>
                <w:szCs w:val="1"/>
                <w:color w:val="auto"/>
              </w:rPr>
            </w:pPr>
          </w:p>
        </w:tc>
      </w:tr>
      <w:tr>
        <w:trPr>
          <w:trHeight w:val="221"/>
        </w:trPr>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margin</w:t>
            </w:r>
          </w:p>
        </w:tc>
        <w:tc>
          <w:tcPr>
            <w:tcW w:w="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2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Adjusted Gross Margin decreased from 75% for the three months ended July 2, 2022 to 72% for the three months ended July 1, 2023 and from 76% for the six months ended July 2, 2022 to 71% for the six months ended July 1, 2023. The decrease in both periods was primarily due to increased cost of our EyeQ® SoCs, due to the global semiconductor shortage and inflationary pressures, which was passed through as a price increase to our customers at the beginning of 2023 on a zero-margin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Operating Income as operating loss presented in accordance with GAAP, adjusted to exclude amortization of acquisition related intangibles, share-based compensation expenses and expenses related to the Mobileye IPO. Operating margin is calculated as operating loss divided by total revenue, and Adjusted Operating Margin is calculated as Adjusted Operating Income divided by total revenue.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operating income (loss) to Adjusted Operating Income and the calculations of Operating Margin and Adjusted Operating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60" w:type="dxa"/>
            <w:vAlign w:val="bottom"/>
          </w:tcPr>
          <w:p>
            <w:pPr>
              <w:spacing w:after="0"/>
              <w:rPr>
                <w:sz w:val="12"/>
                <w:szCs w:val="12"/>
                <w:color w:val="auto"/>
              </w:rPr>
            </w:pPr>
          </w:p>
        </w:tc>
        <w:tc>
          <w:tcPr>
            <w:tcW w:w="1760" w:type="dxa"/>
            <w:vAlign w:val="bottom"/>
            <w:gridSpan w:val="5"/>
          </w:tcPr>
          <w:p>
            <w:pPr>
              <w:jc w:val="right"/>
              <w:ind w:right="688"/>
              <w:spacing w:after="0" w:line="142" w:lineRule="exact"/>
              <w:rPr>
                <w:sz w:val="20"/>
                <w:szCs w:val="20"/>
                <w:color w:val="auto"/>
              </w:rPr>
            </w:pPr>
            <w:r>
              <w:rPr>
                <w:rFonts w:ascii="Arial" w:cs="Arial" w:eastAsia="Arial" w:hAnsi="Arial"/>
                <w:sz w:val="14"/>
                <w:szCs w:val="14"/>
                <w:b w:val="1"/>
                <w:bCs w:val="1"/>
                <w:color w:val="auto"/>
              </w:rPr>
              <w:t>July 1, 2023</w:t>
            </w:r>
          </w:p>
        </w:tc>
        <w:tc>
          <w:tcPr>
            <w:tcW w:w="1080" w:type="dxa"/>
            <w:vAlign w:val="bottom"/>
            <w:gridSpan w:val="3"/>
          </w:tcPr>
          <w:p>
            <w:pPr>
              <w:jc w:val="center"/>
              <w:ind w:left="73"/>
              <w:spacing w:after="0" w:line="142" w:lineRule="exact"/>
              <w:rPr>
                <w:sz w:val="20"/>
                <w:szCs w:val="20"/>
                <w:color w:val="auto"/>
              </w:rPr>
            </w:pPr>
            <w:r>
              <w:rPr>
                <w:rFonts w:ascii="Arial" w:cs="Arial" w:eastAsia="Arial" w:hAnsi="Arial"/>
                <w:sz w:val="14"/>
                <w:szCs w:val="14"/>
                <w:b w:val="1"/>
                <w:bCs w:val="1"/>
                <w:color w:val="auto"/>
                <w:w w:val="91"/>
              </w:rPr>
              <w:t>July 2, 2022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right"/>
              <w:ind w:right="688"/>
              <w:spacing w:after="0" w:line="142" w:lineRule="exact"/>
              <w:rPr>
                <w:sz w:val="20"/>
                <w:szCs w:val="20"/>
                <w:color w:val="auto"/>
              </w:rPr>
            </w:pPr>
            <w:r>
              <w:rPr>
                <w:rFonts w:ascii="Arial" w:cs="Arial" w:eastAsia="Arial" w:hAnsi="Arial"/>
                <w:sz w:val="14"/>
                <w:szCs w:val="14"/>
                <w:b w:val="1"/>
                <w:bCs w:val="1"/>
                <w:color w:val="auto"/>
              </w:rPr>
              <w:t>July 1, 2023</w:t>
            </w:r>
          </w:p>
        </w:tc>
        <w:tc>
          <w:tcPr>
            <w:tcW w:w="14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July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of Revenue</w:t>
            </w:r>
          </w:p>
        </w:tc>
        <w:tc>
          <w:tcPr>
            <w:tcW w:w="180" w:type="dxa"/>
            <w:vAlign w:val="bottom"/>
          </w:tcPr>
          <w:p>
            <w:pPr>
              <w:spacing w:after="0"/>
              <w:rPr>
                <w:sz w:val="12"/>
                <w:szCs w:val="12"/>
                <w:color w:val="auto"/>
              </w:rPr>
            </w:pPr>
          </w:p>
        </w:tc>
        <w:tc>
          <w:tcPr>
            <w:tcW w:w="15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Amount  % of Revenue</w:t>
            </w:r>
          </w:p>
        </w:tc>
        <w:tc>
          <w:tcPr>
            <w:tcW w:w="16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Amount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of Revenue</w:t>
            </w:r>
          </w:p>
        </w:tc>
        <w:tc>
          <w:tcPr>
            <w:tcW w:w="18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Amount</w:t>
            </w: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Operating income (loss) and</w:t>
            </w: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6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(7)%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 $</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Add: Expenses related to the IPO</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Adjusted operating income and</w:t>
            </w: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0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vMerge w:val="restart"/>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31 %$</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c>
          <w:tcPr>
            <w:tcW w:w="0" w:type="dxa"/>
            <w:vAlign w:val="bottom"/>
          </w:tcPr>
          <w:p>
            <w:pPr>
              <w:spacing w:after="0"/>
              <w:rPr>
                <w:sz w:val="1"/>
                <w:szCs w:val="1"/>
                <w:color w:val="auto"/>
              </w:rPr>
            </w:pPr>
          </w:p>
        </w:tc>
      </w:tr>
      <w:tr>
        <w:trPr>
          <w:trHeight w:val="221"/>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margin</w:t>
            </w:r>
          </w:p>
        </w:tc>
        <w:tc>
          <w:tcPr>
            <w:tcW w:w="1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gridSpan w:val="3"/>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three months ended July 1, 2023 ended with an operating loss of $33 million compared to a $10 million operating income in the three months ended July 2, 2022, and with an operating loss higher by $78 million in the six months ended July 1, 2023 compared to the six months ended July 2, 2022, mainly due to an increase in share-based compensation expense, as well as an increase in research and development expenses attributable to headcount growth, partially offset by a decrease in amortization expense of acquired intangible assets.</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Adjusted Operating Income decreased by $42 million in the three months ended July 1, 2023 compared to the three months ended July 2, 2022, and by $61 million in the six months ended July 1, 2023 compared to the six months ended July 2, 2022. The decrease in both periods was primarily due to an increase in research and development expenses attributable to headcount growth.</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Adjusted Operating Margin decreased from 40% for the three months ended July 2, 2022 to 31% for the three months ended July 1, 2023, and from 38% for the six months ended July 2, 2022 to 29% for the six months ended July 1, 2023, mainly due to an increase in research and development expenses attributable to headcount growth, as well as lower Adjusted Gross Margin.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Adjusted Net Income as net loss presented in accordance with GAAP, adjusted to exclude amortization of acquisition related intangibles, share-based compensation expense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60" w:type="dxa"/>
            <w:vAlign w:val="bottom"/>
          </w:tcPr>
          <w:p>
            <w:pPr>
              <w:spacing w:after="0"/>
              <w:rPr>
                <w:sz w:val="12"/>
                <w:szCs w:val="12"/>
                <w:color w:val="auto"/>
              </w:rPr>
            </w:pPr>
          </w:p>
        </w:tc>
        <w:tc>
          <w:tcPr>
            <w:tcW w:w="1760" w:type="dxa"/>
            <w:vAlign w:val="bottom"/>
            <w:gridSpan w:val="5"/>
          </w:tcPr>
          <w:p>
            <w:pPr>
              <w:jc w:val="right"/>
              <w:ind w:right="688"/>
              <w:spacing w:after="0" w:line="142" w:lineRule="exact"/>
              <w:rPr>
                <w:sz w:val="20"/>
                <w:szCs w:val="20"/>
                <w:color w:val="auto"/>
              </w:rPr>
            </w:pPr>
            <w:r>
              <w:rPr>
                <w:rFonts w:ascii="Arial" w:cs="Arial" w:eastAsia="Arial" w:hAnsi="Arial"/>
                <w:sz w:val="14"/>
                <w:szCs w:val="14"/>
                <w:b w:val="1"/>
                <w:bCs w:val="1"/>
                <w:color w:val="auto"/>
              </w:rPr>
              <w:t>July 1, 2023</w:t>
            </w:r>
          </w:p>
        </w:tc>
        <w:tc>
          <w:tcPr>
            <w:tcW w:w="1080" w:type="dxa"/>
            <w:vAlign w:val="bottom"/>
            <w:gridSpan w:val="3"/>
          </w:tcPr>
          <w:p>
            <w:pPr>
              <w:jc w:val="center"/>
              <w:ind w:left="73"/>
              <w:spacing w:after="0" w:line="142" w:lineRule="exact"/>
              <w:rPr>
                <w:sz w:val="20"/>
                <w:szCs w:val="20"/>
                <w:color w:val="auto"/>
              </w:rPr>
            </w:pPr>
            <w:r>
              <w:rPr>
                <w:rFonts w:ascii="Arial" w:cs="Arial" w:eastAsia="Arial" w:hAnsi="Arial"/>
                <w:sz w:val="14"/>
                <w:szCs w:val="14"/>
                <w:b w:val="1"/>
                <w:bCs w:val="1"/>
                <w:color w:val="auto"/>
                <w:w w:val="91"/>
              </w:rPr>
              <w:t>July 2, 2022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July 1, 2023</w:t>
            </w:r>
          </w:p>
        </w:tc>
        <w:tc>
          <w:tcPr>
            <w:tcW w:w="14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July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of Revenue</w:t>
            </w:r>
          </w:p>
        </w:tc>
        <w:tc>
          <w:tcPr>
            <w:tcW w:w="180" w:type="dxa"/>
            <w:vAlign w:val="bottom"/>
          </w:tcPr>
          <w:p>
            <w:pPr>
              <w:spacing w:after="0"/>
              <w:rPr>
                <w:sz w:val="12"/>
                <w:szCs w:val="12"/>
                <w:color w:val="auto"/>
              </w:rPr>
            </w:pPr>
          </w:p>
        </w:tc>
        <w:tc>
          <w:tcPr>
            <w:tcW w:w="15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Amount  % of Revenue</w:t>
            </w:r>
          </w:p>
        </w:tc>
        <w:tc>
          <w:tcPr>
            <w:tcW w:w="16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Amount</w:t>
            </w:r>
          </w:p>
        </w:tc>
        <w:tc>
          <w:tcPr>
            <w:tcW w:w="176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 of Revenue   Amount</w:t>
            </w: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Add: Amortization of acquired</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Share-based compensation</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Add: Expenses related to the IPO</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40" w:type="dxa"/>
            <w:vAlign w:val="bottom"/>
          </w:tcPr>
          <w:p>
            <w:pPr>
              <w:spacing w:after="0"/>
              <w:rPr>
                <w:sz w:val="18"/>
                <w:szCs w:val="18"/>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30 %$</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34 %$</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27 %$</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net loss increased by $21 million in the three months ended July 1, 2023, compared to the three months ended July 2, 2022, and by $40 million in the six months ended July 1, 2023, compared to the six months ended July 2, 2022. The increase in both periods was mainly as a result of an increase in share-based compensation expense, as well as an increase in research and development expenses attributable to headcount growth, partially offset by a decrease in amortization expense of acquired intangible assets.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Net Income decreased by $21 million in the three months ended July 1, 2023, compared to the three months ended July 2, 2022, and by $26 million in the six months ended July 1, 2023, compared to the six months ended July 2, 2022, primarily due to an increase in research and development expenses attributable to headcount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Note 2, “Significant Accounting Policies” of the Notes to the condensed consolidated Financial Statements in Part I, Item 1 of this Form 10-Q and in the Notes to the Consolidated Financial Statements in Part II, Item 8 of the 2022 Form 10-K describe the significant accounting policies and methods used in the preparation of the Company’s condensed consolidated financial statements. There have been no material changes to the Company’s critical accounting estimates since the 2022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shareholders.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about our ability to maintain or enhance our leadership position in the markets in which we participate;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future benefits and competitive advantages associated with our technologies and architecture and the data we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accumulated;</w:t>
      </w:r>
    </w:p>
    <w:p>
      <w:pPr>
        <w:spacing w:after="0" w:line="210" w:lineRule="exact"/>
        <w:rPr>
          <w:rFonts w:ascii="Arial" w:cs="Arial" w:eastAsia="Arial" w:hAnsi="Arial"/>
          <w:sz w:val="16"/>
          <w:szCs w:val="16"/>
          <w:color w:val="auto"/>
        </w:rPr>
      </w:pPr>
    </w:p>
    <w:p>
      <w:pPr>
        <w:ind w:firstLine="656"/>
        <w:spacing w:after="0" w:line="277"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170" w:lineRule="exact"/>
        <w:rPr>
          <w:rFonts w:ascii="Arial" w:cs="Arial" w:eastAsia="Arial" w:hAnsi="Arial"/>
          <w:sz w:val="18"/>
          <w:szCs w:val="18"/>
          <w:color w:val="auto"/>
        </w:rPr>
      </w:pPr>
    </w:p>
    <w:p>
      <w:pPr>
        <w:ind w:firstLine="656"/>
        <w:spacing w:after="0" w:line="342" w:lineRule="auto"/>
        <w:tabs>
          <w:tab w:leader="none" w:pos="972"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225" w:lineRule="exact"/>
        <w:rPr>
          <w:rFonts w:ascii="Arial" w:cs="Arial" w:eastAsia="Arial" w:hAnsi="Arial"/>
          <w:sz w:val="18"/>
          <w:szCs w:val="18"/>
          <w:color w:val="auto"/>
        </w:rPr>
      </w:pPr>
    </w:p>
    <w:p>
      <w:pPr>
        <w:ind w:firstLine="656"/>
        <w:spacing w:after="0" w:line="277"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225" w:lineRule="exact"/>
        <w:rPr>
          <w:rFonts w:ascii="Arial" w:cs="Arial" w:eastAsia="Arial" w:hAnsi="Arial"/>
          <w:sz w:val="18"/>
          <w:szCs w:val="18"/>
          <w:color w:val="auto"/>
        </w:rPr>
      </w:pPr>
    </w:p>
    <w:p>
      <w:pPr>
        <w:ind w:firstLine="656"/>
        <w:spacing w:after="0" w:line="277"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statements described in this report and under the sections entitled “Risk Factors,” “Management’s Discussion and Analysis of Financial Condition and Results of Operations” and “Business,” in our 2022 Form 10-K.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risk factors discussed under the section entitled “Risk Factors” included in our 2022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New Israeli Shekel had strengthened by 10% against the U.S. dollar, it would have decreased our cash flows by approximately $14 million in the six months ended July 1, 2023. This exposure to U.S. dollar / New Israeli Shekel exchange rates results from the three months ended July 1, 2023, since in the first quarter of 2023 we were still affected by the hedging program with Intel and therefore the effect of the exchange rates would not have had a material impact on our cash flows. The effect of a 10% change in the U.S. dollar / New Israeli Shekel exchange rate would not have had a material impact on our cash flows in the six months ended July 2, 2022 due to our hedging services agreement with Intel.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three months ended July 1, 2023 that have materially affected, or are reasonably likely to materially affect, our internal control over financial reporting.</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There have been no material changes to the risk factors as disclosed in our 2022 Form 10-K. The risks described in the section entitled “Item 1A. Risk Factors” in our 2022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Sale of Unregistered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unregistered equity securities during the three months ended July 1,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July 1, 2023, none of our directors or executive officers adopted or terminated any contract, instruction or written plan for the purchase or sale of Mobileye securities that was intended to satisfy the affirmative defense conditions of Rule 10b5-1(c) or any “non-Rule 10b5-1” trading arrangement.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77"/>
        </w:trPr>
        <w:tc>
          <w:tcPr>
            <w:tcW w:w="1280" w:type="dxa"/>
            <w:vAlign w:val="bottom"/>
          </w:tcPr>
          <w:p>
            <w:pPr>
              <w:spacing w:after="0"/>
              <w:rPr>
                <w:sz w:val="20"/>
                <w:szCs w:val="20"/>
                <w:color w:val="auto"/>
              </w:rPr>
            </w:pPr>
            <w:r>
              <w:rPr>
                <w:rFonts w:ascii="Arial" w:cs="Arial" w:eastAsia="Arial" w:hAnsi="Arial"/>
                <w:sz w:val="18"/>
                <w:szCs w:val="18"/>
                <w:b w:val="1"/>
                <w:bCs w:val="1"/>
                <w:color w:val="auto"/>
                <w:w w:val="95"/>
              </w:rPr>
              <w:t>Item 6. Exhibits</w:t>
            </w: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5"/>
              </w:rPr>
              <w:t>31.1*</w:t>
            </w:r>
          </w:p>
        </w:tc>
        <w:tc>
          <w:tcPr>
            <w:tcW w:w="20" w:type="dxa"/>
            <w:vAlign w:val="bottom"/>
          </w:tcPr>
          <w:p>
            <w:pPr>
              <w:spacing w:after="0"/>
              <w:rPr>
                <w:sz w:val="24"/>
                <w:szCs w:val="24"/>
                <w:color w:val="auto"/>
              </w:rPr>
            </w:pPr>
          </w:p>
        </w:tc>
        <w:tc>
          <w:tcPr>
            <w:tcW w:w="74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the Chief Executive Officer pursuant to Section 302 of the Sarbanes-Oxley Act of 2002.</w:t>
            </w:r>
          </w:p>
        </w:tc>
        <w:tc>
          <w:tcPr>
            <w:tcW w:w="1140" w:type="dxa"/>
            <w:vAlign w:val="bottom"/>
          </w:tcPr>
          <w:p>
            <w:pPr>
              <w:spacing w:after="0"/>
              <w:rPr>
                <w:sz w:val="24"/>
                <w:szCs w:val="24"/>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31.2*</w:t>
            </w: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of the Chief Financial Officer pursuant to Section 302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32.1*</w:t>
            </w:r>
          </w:p>
        </w:tc>
        <w:tc>
          <w:tcPr>
            <w:tcW w:w="20" w:type="dxa"/>
            <w:vAlign w:val="bottom"/>
          </w:tcPr>
          <w:p>
            <w:pPr>
              <w:spacing w:after="0"/>
              <w:rPr>
                <w:sz w:val="17"/>
                <w:szCs w:val="17"/>
                <w:color w:val="auto"/>
              </w:rPr>
            </w:pPr>
          </w:p>
        </w:tc>
        <w:tc>
          <w:tcPr>
            <w:tcW w:w="8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Certificate of the Chief Executive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32.2*</w:t>
            </w:r>
          </w:p>
        </w:tc>
        <w:tc>
          <w:tcPr>
            <w:tcW w:w="20" w:type="dxa"/>
            <w:vAlign w:val="bottom"/>
          </w:tcPr>
          <w:p>
            <w:pPr>
              <w:spacing w:after="0"/>
              <w:rPr>
                <w:sz w:val="17"/>
                <w:szCs w:val="17"/>
                <w:color w:val="auto"/>
              </w:rPr>
            </w:pPr>
          </w:p>
        </w:tc>
        <w:tc>
          <w:tcPr>
            <w:tcW w:w="8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Certificate of the Chief Financial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r>
      <w:tr>
        <w:trPr>
          <w:trHeight w:val="222"/>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7"/>
              </w:rPr>
              <w:t>101*</w:t>
            </w:r>
          </w:p>
        </w:tc>
        <w:tc>
          <w:tcPr>
            <w:tcW w:w="2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4"/>
              </w:rPr>
              <w:t>The following financial statements from Mobileye Global Inc.’s Quarterly Report on Form 10-Q for the three months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2"/>
              </w:rPr>
              <w:t>ended April 1, 2023, filed with the Securities and Exchange Commission on May 11, 2023, formatted in iXBRL (Inline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7"/>
              </w:rPr>
              <w:t>Operations and Comprehensive Income (Loss), (iii) the Consolidated Statements of Changes in Equity, (iv)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Consolidated Statements of Cash Flows and (v) the Notes to Consolidated Financial Statements.</w:t>
            </w:r>
          </w:p>
        </w:tc>
      </w:tr>
      <w:tr>
        <w:trPr>
          <w:trHeight w:val="230"/>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7"/>
              </w:rPr>
              <w:t>104*</w:t>
            </w:r>
          </w:p>
        </w:tc>
        <w:tc>
          <w:tcPr>
            <w:tcW w:w="20" w:type="dxa"/>
            <w:vAlign w:val="bottom"/>
          </w:tcPr>
          <w:p>
            <w:pPr>
              <w:spacing w:after="0"/>
              <w:rPr>
                <w:sz w:val="20"/>
                <w:szCs w:val="20"/>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90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60"/>
              <w:spacing w:after="0"/>
              <w:rPr>
                <w:sz w:val="20"/>
                <w:szCs w:val="20"/>
                <w:color w:val="auto"/>
              </w:rPr>
            </w:pPr>
            <w:r>
              <w:rPr>
                <w:rFonts w:ascii="Arial" w:cs="Arial" w:eastAsia="Arial" w:hAnsi="Arial"/>
                <w:sz w:val="18"/>
                <w:szCs w:val="18"/>
                <w:color w:val="auto"/>
              </w:rPr>
              <w:t>Mobileye Global Inc.</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Date: August 10, 2023</w:t>
            </w:r>
          </w:p>
        </w:tc>
        <w:tc>
          <w:tcPr>
            <w:tcW w:w="4660" w:type="dxa"/>
            <w:vAlign w:val="bottom"/>
          </w:tcPr>
          <w:p>
            <w:pPr>
              <w:spacing w:after="0"/>
              <w:rPr>
                <w:sz w:val="18"/>
                <w:szCs w:val="18"/>
                <w:color w:val="auto"/>
              </w:rPr>
            </w:pPr>
          </w:p>
        </w:tc>
      </w:tr>
      <w:tr>
        <w:trPr>
          <w:trHeight w:val="230"/>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Professor Amnon Shashua</w:t>
            </w:r>
          </w:p>
        </w:tc>
      </w:tr>
      <w:tr>
        <w:trPr>
          <w:trHeight w:val="195"/>
        </w:trPr>
        <w:tc>
          <w:tcPr>
            <w:tcW w:w="52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88"/>
              </w:rPr>
              <w:t>Professor Amnon Shashua</w:t>
            </w:r>
          </w:p>
        </w:tc>
      </w:tr>
      <w:tr>
        <w:trPr>
          <w:trHeight w:val="216"/>
        </w:trPr>
        <w:tc>
          <w:tcPr>
            <w:tcW w:w="52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30"/>
        </w:trPr>
        <w:tc>
          <w:tcPr>
            <w:tcW w:w="52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Moran Shemesh Rojansky</w:t>
            </w:r>
          </w:p>
        </w:tc>
      </w:tr>
      <w:tr>
        <w:trPr>
          <w:trHeight w:val="195"/>
        </w:trPr>
        <w:tc>
          <w:tcPr>
            <w:tcW w:w="52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89"/>
              </w:rPr>
              <w:t>Moran Shemesh Rojansky</w:t>
            </w:r>
          </w:p>
        </w:tc>
      </w:tr>
      <w:tr>
        <w:trPr>
          <w:trHeight w:val="216"/>
        </w:trPr>
        <w:tc>
          <w:tcPr>
            <w:tcW w:w="52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5"/>
              </w:rPr>
              <w:t>Acting Chief Financial Officer</w:t>
            </w:r>
          </w:p>
        </w:tc>
      </w:tr>
      <w:tr>
        <w:trPr>
          <w:trHeight w:val="230"/>
        </w:trPr>
        <w:tc>
          <w:tcPr>
            <w:tcW w:w="52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Professor </w:t>
      </w:r>
      <w:r>
        <w:rPr>
          <w:rFonts w:ascii="Arial" w:cs="Arial" w:eastAsia="Arial" w:hAnsi="Arial"/>
          <w:sz w:val="18"/>
          <w:szCs w:val="18"/>
          <w:color w:val="231F20"/>
        </w:rPr>
        <w:t>Amnon Shashua</w:t>
      </w:r>
      <w:r>
        <w:rPr>
          <w:rFonts w:ascii="Arial" w:cs="Arial" w:eastAsia="Arial" w:hAnsi="Arial"/>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6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Amnon Shashua</w:t>
            </w:r>
          </w:p>
        </w:tc>
      </w:tr>
      <w:tr>
        <w:trPr>
          <w:trHeight w:val="195"/>
        </w:trPr>
        <w:tc>
          <w:tcPr>
            <w:tcW w:w="5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231F20"/>
              </w:rPr>
              <w:t>Professor Amnon Shashua</w:t>
            </w:r>
          </w:p>
        </w:tc>
      </w:tr>
      <w:tr>
        <w:trPr>
          <w:trHeight w:val="216"/>
        </w:trPr>
        <w:tc>
          <w:tcPr>
            <w:tcW w:w="5260" w:type="dxa"/>
            <w:vAlign w:val="bottom"/>
          </w:tcPr>
          <w:p>
            <w:pPr>
              <w:spacing w:after="0"/>
              <w:rPr>
                <w:sz w:val="18"/>
                <w:szCs w:val="18"/>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5260" w:type="dxa"/>
            <w:vAlign w:val="bottom"/>
          </w:tcPr>
          <w:p>
            <w:pPr>
              <w:spacing w:after="0"/>
              <w:rPr>
                <w:sz w:val="20"/>
                <w:szCs w:val="20"/>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1"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31F20"/>
        </w:rPr>
        <w:t>Moran Shemesh Rojansky</w:t>
      </w:r>
      <w:r>
        <w:rPr>
          <w:rFonts w:ascii="Arial" w:cs="Arial" w:eastAsia="Arial" w:hAnsi="Arial"/>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6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 Moran Shemesh Rojansky</w:t>
            </w:r>
          </w:p>
        </w:tc>
      </w:tr>
      <w:tr>
        <w:trPr>
          <w:trHeight w:val="195"/>
        </w:trPr>
        <w:tc>
          <w:tcPr>
            <w:tcW w:w="5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231F20"/>
              </w:rPr>
              <w:t>Moran Shemesh Rojansky</w:t>
            </w:r>
          </w:p>
        </w:tc>
      </w:tr>
      <w:tr>
        <w:trPr>
          <w:trHeight w:val="216"/>
        </w:trPr>
        <w:tc>
          <w:tcPr>
            <w:tcW w:w="5260" w:type="dxa"/>
            <w:vAlign w:val="bottom"/>
          </w:tcPr>
          <w:p>
            <w:pPr>
              <w:spacing w:after="0"/>
              <w:rPr>
                <w:sz w:val="18"/>
                <w:szCs w:val="18"/>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231F20"/>
              </w:rPr>
              <w:t>Acting Chief Financial Officer</w:t>
            </w:r>
          </w:p>
        </w:tc>
      </w:tr>
      <w:tr>
        <w:trPr>
          <w:trHeight w:val="230"/>
        </w:trPr>
        <w:tc>
          <w:tcPr>
            <w:tcW w:w="5260" w:type="dxa"/>
            <w:vAlign w:val="bottom"/>
          </w:tcPr>
          <w:p>
            <w:pPr>
              <w:spacing w:after="0"/>
              <w:rPr>
                <w:sz w:val="20"/>
                <w:szCs w:val="20"/>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5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9" w:right="999" w:bottom="1440" w:gutter="0" w:footer="0" w:header="0"/>
        </w:sectPr>
      </w:pPr>
    </w:p>
    <w:bookmarkStart w:id="47" w:name="page48"/>
    <w:bookmarkEnd w:id="47"/>
    <w:p>
      <w:pPr>
        <w:ind w:left="89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1000" w:right="120"/>
        <w:spacing w:after="0" w:line="282" w:lineRule="auto"/>
        <w:rPr>
          <w:sz w:val="20"/>
          <w:szCs w:val="20"/>
          <w:color w:val="auto"/>
        </w:rPr>
      </w:pPr>
      <w:r>
        <w:rPr>
          <w:rFonts w:ascii="Arial" w:cs="Arial" w:eastAsia="Arial" w:hAnsi="Arial"/>
          <w:sz w:val="18"/>
          <w:szCs w:val="18"/>
          <w:b w:val="1"/>
          <w:bCs w:val="1"/>
          <w:color w:val="auto"/>
        </w:rPr>
        <w:t>Certificate of the Chief Executive Officer of Mobileye Global Inc. pursuant to 18 U.S.C. § 1350 as adopted pursuant to Section 906 of the Sarbanes-Oxley Act of 2002.</w:t>
      </w:r>
    </w:p>
    <w:p>
      <w:pPr>
        <w:spacing w:after="0" w:line="166" w:lineRule="exact"/>
        <w:rPr>
          <w:sz w:val="20"/>
          <w:szCs w:val="20"/>
          <w:color w:val="auto"/>
        </w:rPr>
      </w:pPr>
    </w:p>
    <w:p>
      <w:pPr>
        <w:jc w:val="both"/>
        <w:ind w:right="440"/>
        <w:spacing w:after="0" w:line="291" w:lineRule="auto"/>
        <w:rPr>
          <w:sz w:val="20"/>
          <w:szCs w:val="20"/>
          <w:color w:val="auto"/>
        </w:rPr>
      </w:pPr>
      <w:r>
        <w:rPr>
          <w:rFonts w:ascii="Arial" w:cs="Arial" w:eastAsia="Arial" w:hAnsi="Arial"/>
          <w:sz w:val="16"/>
          <w:szCs w:val="16"/>
          <w:color w:val="auto"/>
        </w:rPr>
        <w:t xml:space="preserve">In connection with the Quarterly Report on Form 10-Q of Mobileye Global Inc. for the period ending July 1, 2023 as filed with the Securities and Exchange Commission on the date hereof (the “Report”), I, </w:t>
      </w:r>
      <w:r>
        <w:rPr>
          <w:rFonts w:ascii="Arial" w:cs="Arial" w:eastAsia="Arial" w:hAnsi="Arial"/>
          <w:sz w:val="16"/>
          <w:szCs w:val="16"/>
          <w:color w:val="231F20"/>
        </w:rPr>
        <w:t>Professor Amnon Shashua</w:t>
      </w:r>
      <w:r>
        <w:rPr>
          <w:rFonts w:ascii="Arial" w:cs="Arial" w:eastAsia="Arial" w:hAnsi="Arial"/>
          <w:sz w:val="16"/>
          <w:szCs w:val="16"/>
          <w:color w:val="auto"/>
        </w:rPr>
        <w:t>, certify, pursuant to 18 U.S.C.</w:t>
      </w:r>
    </w:p>
    <w:p>
      <w:pPr>
        <w:ind w:left="140" w:hanging="132"/>
        <w:spacing w:after="0"/>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ind w:left="4920"/>
              <w:spacing w:after="0"/>
              <w:rPr>
                <w:sz w:val="20"/>
                <w:szCs w:val="20"/>
                <w:color w:val="auto"/>
              </w:rPr>
            </w:pPr>
            <w:r>
              <w:rPr>
                <w:rFonts w:ascii="Arial" w:cs="Arial" w:eastAsia="Arial" w:hAnsi="Arial"/>
                <w:sz w:val="18"/>
                <w:szCs w:val="18"/>
                <w:color w:val="auto"/>
                <w:w w:val="92"/>
              </w:rPr>
              <w:t>By:</w:t>
            </w:r>
          </w:p>
        </w:tc>
        <w:tc>
          <w:tcPr>
            <w:tcW w:w="47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 Amnon Shashua</w:t>
            </w:r>
          </w:p>
        </w:tc>
      </w:tr>
      <w:tr>
        <w:trPr>
          <w:trHeight w:val="195"/>
        </w:trPr>
        <w:tc>
          <w:tcPr>
            <w:tcW w:w="518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231F20"/>
              </w:rPr>
              <w:t>Professor Amnon Shashua</w:t>
            </w:r>
          </w:p>
        </w:tc>
      </w:tr>
      <w:tr>
        <w:trPr>
          <w:trHeight w:val="216"/>
        </w:trPr>
        <w:tc>
          <w:tcPr>
            <w:tcW w:w="51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51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8" w:name="page49"/>
    <w:bookmarkEnd w:id="48"/>
    <w:p>
      <w:pPr>
        <w:ind w:left="89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Certificate of the Chief Financial Officer of Mobileye Global Inc. pursuant to 18 U.S.C. § 1350 as adopted pursuant to Section 906 of the Sarbanes-Oxley Act of 2002.</w:t>
      </w:r>
    </w:p>
    <w:p>
      <w:pPr>
        <w:spacing w:after="0" w:line="166" w:lineRule="exact"/>
        <w:rPr>
          <w:sz w:val="20"/>
          <w:szCs w:val="20"/>
          <w:color w:val="auto"/>
        </w:rPr>
      </w:pPr>
    </w:p>
    <w:p>
      <w:pPr>
        <w:jc w:val="both"/>
        <w:ind w:right="440"/>
        <w:spacing w:after="0" w:line="291" w:lineRule="auto"/>
        <w:rPr>
          <w:sz w:val="20"/>
          <w:szCs w:val="20"/>
          <w:color w:val="auto"/>
        </w:rPr>
      </w:pPr>
      <w:r>
        <w:rPr>
          <w:rFonts w:ascii="Arial" w:cs="Arial" w:eastAsia="Arial" w:hAnsi="Arial"/>
          <w:sz w:val="16"/>
          <w:szCs w:val="16"/>
          <w:color w:val="auto"/>
        </w:rPr>
        <w:t xml:space="preserve">In connection with the Quarterly Report on Form 10-Q of Mobileye Global Inc. for the period ending July 1, 2023 as filed with the Securities and Exchange Commission on the date hereof (the “Report”), I, </w:t>
      </w:r>
      <w:r>
        <w:rPr>
          <w:rFonts w:ascii="Arial" w:cs="Arial" w:eastAsia="Arial" w:hAnsi="Arial"/>
          <w:sz w:val="16"/>
          <w:szCs w:val="16"/>
          <w:color w:val="231F20"/>
        </w:rPr>
        <w:t>Moran Shemesh Rojansky</w:t>
      </w:r>
      <w:r>
        <w:rPr>
          <w:rFonts w:ascii="Arial" w:cs="Arial" w:eastAsia="Arial" w:hAnsi="Arial"/>
          <w:sz w:val="16"/>
          <w:szCs w:val="16"/>
          <w:color w:val="auto"/>
        </w:rPr>
        <w:t>, certify, pursuant to 18 U.S.C.</w:t>
      </w:r>
    </w:p>
    <w:p>
      <w:pPr>
        <w:ind w:left="140" w:hanging="132"/>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ind w:left="496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4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 Moran Shemesh Rojansky</w:t>
            </w:r>
          </w:p>
        </w:tc>
      </w:tr>
      <w:tr>
        <w:trPr>
          <w:trHeight w:val="195"/>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231F20"/>
              </w:rPr>
              <w:t>Moran Shemesh Rojansky</w:t>
            </w:r>
          </w:p>
        </w:tc>
      </w:tr>
      <w:tr>
        <w:trPr>
          <w:trHeight w:val="216"/>
        </w:trPr>
        <w:tc>
          <w:tcPr>
            <w:tcW w:w="530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231F20"/>
              </w:rPr>
              <w:t>Acting Chief Financial Officer</w:t>
            </w:r>
          </w:p>
        </w:tc>
      </w:tr>
      <w:tr>
        <w:trPr>
          <w:trHeight w:val="230"/>
        </w:trPr>
        <w:tc>
          <w:tcPr>
            <w:tcW w:w="5300" w:type="dxa"/>
            <w:vAlign w:val="bottom"/>
          </w:tcPr>
          <w:p>
            <w:pPr>
              <w:spacing w:after="0"/>
              <w:rPr>
                <w:sz w:val="20"/>
                <w:szCs w:val="20"/>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5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
      <w:numFmt w:val="bullet"/>
      <w:start w:val="1"/>
    </w:lvl>
    <w:lvl w:ilvl="1">
      <w:lvlJc w:val="left"/>
      <w:lvlText w:val="(%2)"/>
      <w:numFmt w:val="decimal"/>
      <w:start w:val="1"/>
    </w:lvl>
  </w:abstractNum>
  <w:abstractNum w:abstractNumId="8">
    <w:nsid w:val="5BD062C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2023-08-10T07:59:04Z</dcterms:created>
  <dcterms:modified xsi:type="dcterms:W3CDTF">2023-08-10T07:59:04Z</dcterms:modified>
</cp:coreProperties>
</file>