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26, 2022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MOBILEYE GLOBAL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200" w:type="dxa"/>
        <w:tblCellMar>
          <w:top w:w="0" w:type="dxa"/>
          <w:left w:w="0" w:type="dxa"/>
          <w:bottom w:w="0" w:type="dxa"/>
          <w:right w:w="0" w:type="dxa"/>
        </w:tblCellMar>
      </w:tblPr>
      <w:tr>
        <w:trPr>
          <w:trHeight w:val="220"/>
        </w:trPr>
        <w:tc>
          <w:tcPr>
            <w:tcW w:w="6460" w:type="dxa"/>
            <w:vAlign w:val="bottom"/>
          </w:tcPr>
          <w:p>
            <w:pPr>
              <w:jc w:val="center"/>
              <w:ind w:right="32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88-0666433</w:t>
            </w:r>
          </w:p>
        </w:tc>
      </w:tr>
      <w:tr>
        <w:trPr>
          <w:trHeight w:val="216"/>
        </w:trPr>
        <w:tc>
          <w:tcPr>
            <w:tcW w:w="6460" w:type="dxa"/>
            <w:vAlign w:val="bottom"/>
          </w:tcPr>
          <w:p>
            <w:pPr>
              <w:jc w:val="center"/>
              <w:ind w:right="32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460" w:type="dxa"/>
            <w:vAlign w:val="bottom"/>
          </w:tcPr>
          <w:p>
            <w:pPr>
              <w:jc w:val="center"/>
              <w:ind w:right="3250"/>
              <w:spacing w:after="0"/>
              <w:rPr>
                <w:sz w:val="20"/>
                <w:szCs w:val="20"/>
                <w:color w:val="auto"/>
              </w:rPr>
            </w:pPr>
            <w:r>
              <w:rPr>
                <w:rFonts w:ascii="Times New Roman" w:cs="Times New Roman" w:eastAsia="Times New Roman" w:hAnsi="Times New Roman"/>
                <w:sz w:val="18"/>
                <w:szCs w:val="18"/>
                <w:color w:val="auto"/>
              </w:rPr>
              <w:t>or organization)</w:t>
            </w: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6460" w:type="dxa"/>
            <w:vAlign w:val="bottom"/>
          </w:tcPr>
          <w:p>
            <w:pPr>
              <w:jc w:val="center"/>
              <w:ind w:right="3270"/>
              <w:spacing w:after="0"/>
              <w:rPr>
                <w:sz w:val="20"/>
                <w:szCs w:val="20"/>
                <w:color w:val="auto"/>
              </w:rPr>
            </w:pPr>
            <w:r>
              <w:rPr>
                <w:rFonts w:ascii="Times New Roman" w:cs="Times New Roman" w:eastAsia="Times New Roman" w:hAnsi="Times New Roman"/>
                <w:sz w:val="18"/>
                <w:szCs w:val="18"/>
                <w:b w:val="1"/>
                <w:bCs w:val="1"/>
                <w:color w:val="auto"/>
                <w:w w:val="98"/>
              </w:rPr>
              <w:t>c/o Mobileye B.V.</w:t>
            </w:r>
          </w:p>
        </w:tc>
        <w:tc>
          <w:tcPr>
            <w:tcW w:w="1500" w:type="dxa"/>
            <w:vAlign w:val="bottom"/>
          </w:tcPr>
          <w:p>
            <w:pPr>
              <w:spacing w:after="0"/>
              <w:rPr>
                <w:sz w:val="24"/>
                <w:szCs w:val="24"/>
                <w:color w:val="auto"/>
              </w:rPr>
            </w:pPr>
          </w:p>
        </w:tc>
      </w:tr>
      <w:tr>
        <w:trPr>
          <w:trHeight w:val="216"/>
        </w:trPr>
        <w:tc>
          <w:tcPr>
            <w:tcW w:w="6460" w:type="dxa"/>
            <w:vAlign w:val="bottom"/>
          </w:tcPr>
          <w:p>
            <w:pPr>
              <w:jc w:val="center"/>
              <w:ind w:right="3250"/>
              <w:spacing w:after="0"/>
              <w:rPr>
                <w:sz w:val="20"/>
                <w:szCs w:val="20"/>
                <w:color w:val="auto"/>
              </w:rPr>
            </w:pPr>
            <w:r>
              <w:rPr>
                <w:rFonts w:ascii="Times New Roman" w:cs="Times New Roman" w:eastAsia="Times New Roman" w:hAnsi="Times New Roman"/>
                <w:sz w:val="18"/>
                <w:szCs w:val="18"/>
                <w:b w:val="1"/>
                <w:bCs w:val="1"/>
                <w:color w:val="auto"/>
                <w:w w:val="99"/>
              </w:rPr>
              <w:t>Har Hotzvim, 13 Hartom Street</w:t>
            </w:r>
          </w:p>
        </w:tc>
        <w:tc>
          <w:tcPr>
            <w:tcW w:w="1500" w:type="dxa"/>
            <w:vAlign w:val="bottom"/>
          </w:tcPr>
          <w:p>
            <w:pPr>
              <w:spacing w:after="0"/>
              <w:rPr>
                <w:sz w:val="18"/>
                <w:szCs w:val="18"/>
                <w:color w:val="auto"/>
              </w:rPr>
            </w:pPr>
          </w:p>
        </w:tc>
      </w:tr>
      <w:tr>
        <w:trPr>
          <w:trHeight w:val="220"/>
        </w:trPr>
        <w:tc>
          <w:tcPr>
            <w:tcW w:w="6460" w:type="dxa"/>
            <w:vAlign w:val="bottom"/>
          </w:tcPr>
          <w:p>
            <w:pPr>
              <w:jc w:val="center"/>
              <w:ind w:right="3250"/>
              <w:spacing w:after="0"/>
              <w:rPr>
                <w:sz w:val="20"/>
                <w:szCs w:val="20"/>
                <w:color w:val="auto"/>
              </w:rPr>
            </w:pPr>
            <w:r>
              <w:rPr>
                <w:rFonts w:ascii="Times New Roman" w:cs="Times New Roman" w:eastAsia="Times New Roman" w:hAnsi="Times New Roman"/>
                <w:sz w:val="18"/>
                <w:szCs w:val="18"/>
                <w:b w:val="1"/>
                <w:bCs w:val="1"/>
                <w:color w:val="auto"/>
                <w:w w:val="99"/>
              </w:rPr>
              <w:t>P.O. Box 45157 Jerusalem, Israel</w:t>
            </w:r>
          </w:p>
        </w:tc>
        <w:tc>
          <w:tcPr>
            <w:tcW w:w="1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9777513</w:t>
            </w:r>
          </w:p>
        </w:tc>
      </w:tr>
      <w:tr>
        <w:trPr>
          <w:trHeight w:val="234"/>
        </w:trPr>
        <w:tc>
          <w:tcPr>
            <w:tcW w:w="6460" w:type="dxa"/>
            <w:vAlign w:val="bottom"/>
          </w:tcPr>
          <w:p>
            <w:pPr>
              <w:jc w:val="center"/>
              <w:ind w:right="32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6460" w:type="dxa"/>
            <w:vAlign w:val="bottom"/>
          </w:tcPr>
          <w:p>
            <w:pPr>
              <w:jc w:val="center"/>
              <w:ind w:left="2310"/>
              <w:spacing w:after="0"/>
              <w:rPr>
                <w:sz w:val="20"/>
                <w:szCs w:val="20"/>
                <w:color w:val="auto"/>
              </w:rPr>
            </w:pPr>
            <w:r>
              <w:rPr>
                <w:rFonts w:ascii="Times New Roman" w:cs="Times New Roman" w:eastAsia="Times New Roman" w:hAnsi="Times New Roman"/>
                <w:sz w:val="18"/>
                <w:szCs w:val="18"/>
                <w:b w:val="1"/>
                <w:bCs w:val="1"/>
                <w:color w:val="auto"/>
              </w:rPr>
              <w:t>Mobileye Global Inc. 2022 Equity Incentive Plan</w:t>
            </w:r>
          </w:p>
        </w:tc>
        <w:tc>
          <w:tcPr>
            <w:tcW w:w="1500" w:type="dxa"/>
            <w:vAlign w:val="bottom"/>
          </w:tcPr>
          <w:p>
            <w:pPr>
              <w:spacing w:after="0"/>
              <w:rPr>
                <w:sz w:val="24"/>
                <w:szCs w:val="24"/>
                <w:color w:val="auto"/>
              </w:rPr>
            </w:pPr>
          </w:p>
        </w:tc>
      </w:tr>
      <w:tr>
        <w:trPr>
          <w:trHeight w:val="234"/>
        </w:trPr>
        <w:tc>
          <w:tcPr>
            <w:tcW w:w="646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rPr>
              <w:t>(Full title of the plan)</w:t>
            </w:r>
          </w:p>
        </w:tc>
        <w:tc>
          <w:tcPr>
            <w:tcW w:w="15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Anat Heller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Mobileye B.V.</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 Hotzvim, 13 Hartom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45157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Jerusalem 9777513, Israel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+972-2-541-7333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With a copy to:</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 Michelle Gasaway,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Skadden, Arps, Slate, Meagher &amp; Flom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 South Grand Avenue, Suite 3400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Los Angeles, CA 90071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(213) 687-5000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8" w:right="339" w:bottom="1440" w:gutter="0" w:footer="0" w:header="0"/>
        </w:sectPr>
      </w:pPr>
    </w:p>
    <w:p>
      <w:pPr>
        <w:spacing w:after="0" w:line="14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468" w:right="339" w:bottom="1440" w:gutter="0" w:footer="0" w:header="0"/>
          <w:type w:val="continuous"/>
        </w:sectPr>
      </w:pPr>
    </w:p>
    <w:p>
      <w:pPr>
        <w:spacing w:after="0" w:line="17"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INFORMATION REQUIRED IN THE PROSPECTUS*</w:t>
      </w:r>
    </w:p>
    <w:p>
      <w:pPr>
        <w:spacing w:after="0" w:line="229" w:lineRule="exact"/>
        <w:rPr>
          <w:sz w:val="20"/>
          <w:szCs w:val="20"/>
          <w:color w:val="auto"/>
        </w:rPr>
      </w:pPr>
    </w:p>
    <w:p>
      <w:pPr>
        <w:jc w:val="both"/>
        <w:ind w:left="332" w:hanging="332"/>
        <w:spacing w:after="0" w:line="261" w:lineRule="auto"/>
        <w:tabs>
          <w:tab w:leader="none" w:pos="33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specified in Item 1 and Item 2 of Part I of Form S-8 is omitted from this Registration Statement on Form S-8 (the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3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CERTAIN DOCUMENTS BY REFERENCE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documents filed by Mobileye Global Inc. (the “Registrant”) with the Securities and Exchange Commission (the “Commission”) are incorporated by reference into this Registration Statement:</w:t>
      </w:r>
    </w:p>
    <w:p>
      <w:pPr>
        <w:spacing w:after="0" w:line="162"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u w:val="single" w:color="auto"/>
            <w:color w:val="0000EE"/>
          </w:rPr>
          <w:t>The Registrant’s Registration Statement on Form S-1 filed with the Commission on September 30, 2022 (File No. 333-267685), as amended,</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which contains audited financial statements for the Registrant’s latest fiscal year for which such statements have been filed.</w:t>
        </w:r>
      </w:hyperlink>
    </w:p>
    <w:p>
      <w:pPr>
        <w:spacing w:after="0" w:line="161" w:lineRule="exact"/>
        <w:rPr>
          <w:rFonts w:ascii="Times New Roman" w:cs="Times New Roman" w:eastAsia="Times New Roman" w:hAnsi="Times New Roman"/>
          <w:sz w:val="18"/>
          <w:szCs w:val="18"/>
          <w:u w:val="single" w:color="auto"/>
          <w:color w:val="0000EE"/>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Prospectus to be filed on or about October 25, 2022 pursuant to Rule 424(b) under the Securities Act, relating to the Registration Statement on Form S-1, as amended (File No. 333-267685).</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u w:val="single" w:color="auto"/>
          <w:color w:val="0000EE"/>
        </w:rPr>
      </w:pPr>
      <w:hyperlink r:id="rId20">
        <w:r>
          <w:rPr>
            <w:rFonts w:ascii="Times New Roman" w:cs="Times New Roman" w:eastAsia="Times New Roman" w:hAnsi="Times New Roman"/>
            <w:sz w:val="18"/>
            <w:szCs w:val="18"/>
            <w:u w:val="single" w:color="auto"/>
            <w:color w:val="0000EE"/>
          </w:rPr>
          <w:t>The description of the Registrant’s Class A common stock which is contained in a Registrant’s Registration Statement on Form 8-A filed on</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October 26, 2022 (File No. 001-41541) under the Securities Exchange Act of 1934, as amended (the “Exchange Act”), including any amendment</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or report filed for the purpose of updating such description.</w:t>
        </w:r>
      </w:hyperlink>
    </w:p>
    <w:p>
      <w:pPr>
        <w:spacing w:after="0" w:line="176" w:lineRule="exact"/>
        <w:rPr>
          <w:rFonts w:ascii="Times New Roman" w:cs="Times New Roman" w:eastAsia="Times New Roman" w:hAnsi="Times New Roman"/>
          <w:sz w:val="18"/>
          <w:szCs w:val="18"/>
          <w:u w:val="single" w:color="auto"/>
          <w:color w:val="0000EE"/>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reports and other documents subsequently filed by the Registrant pursuant to Sections 13(a), 13(c), 14 and 15(d) of the Exchange Act (other than Current Reports on Form 8-K furnished pursuant to Item 2.02 or Item 7.01 of Form 8-K, including any exhibits included with such information that are related to such items) after the date of this Registration Statement, but prior to the filing of a post-effective amendment to this Registration Statement which indicates that all securities offered hereby have been sold or which deregisters all securities then remaining unsold, shall be deemed to be incorporated by reference herein and to be a part hereof from the date of filing of such reports and documents; provided, however, that documents or information deemed to have been furnished and not filed in accordance with the rules of the SEC shall not be deemed incorporated by reference into this Registration Statement.</w:t>
      </w:r>
    </w:p>
    <w:p>
      <w:pPr>
        <w:spacing w:after="0" w:line="189" w:lineRule="exact"/>
        <w:rPr>
          <w:rFonts w:ascii="Times New Roman" w:cs="Times New Roman" w:eastAsia="Times New Roman" w:hAnsi="Times New Roman"/>
          <w:sz w:val="18"/>
          <w:szCs w:val="18"/>
          <w:u w:val="single" w:color="auto"/>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76" w:lineRule="exact"/>
        <w:rPr>
          <w:rFonts w:ascii="Times New Roman" w:cs="Times New Roman" w:eastAsia="Times New Roman" w:hAnsi="Times New Roman"/>
          <w:sz w:val="18"/>
          <w:szCs w:val="18"/>
          <w:u w:val="single" w:color="auto"/>
          <w:color w:val="0000EE"/>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9"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u w:val="single" w:color="auto"/>
          <w:color w:val="0000EE"/>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INTERESTS OF NAMED EXPERTS AND COUNSEL</w:t>
      </w:r>
    </w:p>
    <w:p>
      <w:pPr>
        <w:spacing w:after="0" w:line="229"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u w:val="single" w:color="auto"/>
          <w:color w:val="0000EE"/>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229" w:lineRule="exact"/>
        <w:rPr>
          <w:rFonts w:ascii="Times New Roman" w:cs="Times New Roman" w:eastAsia="Times New Roman" w:hAnsi="Times New Roman"/>
          <w:sz w:val="18"/>
          <w:szCs w:val="18"/>
          <w:u w:val="single" w:color="auto"/>
          <w:color w:val="0000EE"/>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The Registrant’s certificate of incorporation provides for indemnification by the Registrant of members of its board of directors, members of committees of its board of directors and of other committees of the Registrant, and its executive officers, and allows the Registrant to provide indemnification for its other officers and its agents and employees, and those serving another corporation, partnership, joint venture, trust or other enterprise at the request of the Registrant, in each case to the maximum extent permitted by the DGCL.</w:t>
      </w:r>
    </w:p>
    <w:p>
      <w:pPr>
        <w:spacing w:after="0" w:line="200" w:lineRule="exact"/>
        <w:rPr>
          <w:rFonts w:ascii="Times New Roman" w:cs="Times New Roman" w:eastAsia="Times New Roman" w:hAnsi="Times New Roman"/>
          <w:sz w:val="18"/>
          <w:szCs w:val="18"/>
          <w:u w:val="single" w:color="auto"/>
          <w:color w:val="0000EE"/>
        </w:rPr>
      </w:pPr>
    </w:p>
    <w:p>
      <w:pPr>
        <w:spacing w:after="0" w:line="204"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w:t>
      </w:r>
    </w:p>
    <w:p>
      <w:pPr>
        <w:spacing w:after="0" w:line="3" w:lineRule="exact"/>
        <w:rPr>
          <w:sz w:val="20"/>
          <w:szCs w:val="20"/>
          <w:color w:val="auto"/>
        </w:rPr>
      </w:pPr>
    </w:p>
    <w:p>
      <w:pPr>
        <w:ind w:firstLine="8"/>
        <w:spacing w:after="0" w:line="260" w:lineRule="auto"/>
        <w:tabs>
          <w:tab w:leader="none" w:pos="2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 The Registrant’s certificate of incorporation provides for such limitation of liability.</w:t>
      </w:r>
    </w:p>
    <w:p>
      <w:pPr>
        <w:spacing w:after="0" w:line="1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Registrant has also entered into separate indemnification agreements with each of its directors and officers which are in addition to the Registrant’s indemnification obligations under its certificate of incorporation. These indemnification agreements may require the Registrant, among other things, to indemnify its directors and officers against expenses and liabilities that may arise by reason of their status as directors and officers, subject to certain exceptions. These indemnification agreements may also require the Registrant to advance any expenses incurred by its directors and officers as a result of any proceeding against them as to which they could be indemnified and to obtain and maintain directors’ and officers’ insurance.</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Registrant maintains standard policies of insurance under which coverage is provided (a) to its directors and officers against loss arising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underwriting agreement, filed as Exhibit 1.1 to the Registrant’s Registration statement on Form S-1 (File No. 333-267685), filed with the Commission on September 30, 2022, as amended, provides for indemnification of directors and officers of the Registrant by the underwriters against certain liabilities.</w:t>
      </w:r>
    </w:p>
    <w:p>
      <w:pPr>
        <w:spacing w:after="0" w:line="17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7"/>
        </w:trPr>
        <w:tc>
          <w:tcPr>
            <w:tcW w:w="2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20" w:type="dxa"/>
            <w:vAlign w:val="bottom"/>
            <w:gridSpan w:val="7"/>
          </w:tcPr>
          <w:p>
            <w:pPr>
              <w:ind w:left="5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3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1*</w:t>
            </w: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0000EE"/>
              </w:rPr>
              <w:t>Opinion of Skadden, Arps, Slate, Meagher &amp; Flom LLP.</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gridSpan w:val="2"/>
          </w:tcPr>
          <w:p>
            <w:pPr>
              <w:ind w:left="20"/>
              <w:spacing w:after="0"/>
              <w:rPr>
                <w:rFonts w:ascii="Times New Roman" w:cs="Times New Roman" w:eastAsia="Times New Roman" w:hAnsi="Times New Roman"/>
                <w:sz w:val="18"/>
                <w:szCs w:val="18"/>
                <w:color w:val="0000EE"/>
                <w:w w:val="88"/>
              </w:rPr>
            </w:pPr>
            <w:hyperlink r:id="rId23">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1</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11"/>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Mobileye Global Inc. 2022 Equity Incentive Plan (incorporated by reference to Exhibit 10.9 filed with the Registrant’s Registration</w:t>
              </w:r>
            </w:hyperlink>
          </w:p>
        </w:tc>
      </w:tr>
      <w:tr>
        <w:trPr>
          <w:trHeight w:val="196"/>
        </w:trPr>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Statement on Form S-1 (File No. 333-267685), filed with the Commission on September 30, 2022).</w:t>
              </w:r>
            </w:hyperlink>
          </w:p>
        </w:tc>
        <w:tc>
          <w:tcPr>
            <w:tcW w:w="29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20" w:type="dxa"/>
            <w:vAlign w:val="bottom"/>
            <w:gridSpan w:val="2"/>
          </w:tcPr>
          <w:p>
            <w:pPr>
              <w:ind w:left="20"/>
              <w:spacing w:after="0"/>
              <w:rPr>
                <w:rFonts w:ascii="Times New Roman" w:cs="Times New Roman" w:eastAsia="Times New Roman" w:hAnsi="Times New Roman"/>
                <w:sz w:val="18"/>
                <w:szCs w:val="18"/>
                <w:color w:val="0000EE"/>
                <w:w w:val="88"/>
              </w:rPr>
            </w:pPr>
            <w:hyperlink r:id="rId24">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2</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11"/>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Form of Restricted Share Unit Agreement (incorporated by reference to Exhibit 10.10 filed with the Registrant’s Registration Statement on</w:t>
              </w:r>
            </w:hyperlink>
          </w:p>
        </w:tc>
      </w:tr>
      <w:tr>
        <w:trPr>
          <w:trHeight w:val="196"/>
        </w:trPr>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Form S-1 (File No. 333-267685), filed with the Commission on September 30, 2022).</w:t>
              </w:r>
            </w:hyperlink>
          </w:p>
        </w:tc>
        <w:tc>
          <w:tcPr>
            <w:tcW w:w="2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gridSpan w:val="2"/>
          </w:tcPr>
          <w:p>
            <w:pPr>
              <w:ind w:left="20"/>
              <w:spacing w:after="0"/>
              <w:rPr>
                <w:rFonts w:ascii="Times New Roman" w:cs="Times New Roman" w:eastAsia="Times New Roman" w:hAnsi="Times New Roman"/>
                <w:sz w:val="18"/>
                <w:szCs w:val="18"/>
                <w:color w:val="0000EE"/>
                <w:w w:val="88"/>
              </w:rPr>
            </w:pPr>
            <w:hyperlink r:id="rId25">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3</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11"/>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Form of Option Agreement (incorporated by reference to Exhibit 10.11 filed with the Registrant’s Registration Statement on Form S-1 (File</w:t>
              </w:r>
            </w:hyperlink>
          </w:p>
        </w:tc>
      </w:tr>
      <w:tr>
        <w:trPr>
          <w:trHeight w:val="196"/>
        </w:trPr>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No. 333-267685), filed with the Commission on September 30, 2022).</w:t>
              </w:r>
            </w:hyperlink>
          </w:p>
        </w:tc>
        <w:tc>
          <w:tcPr>
            <w:tcW w:w="20" w:type="dxa"/>
            <w:vAlign w:val="bottom"/>
          </w:tcPr>
          <w:p>
            <w:pPr>
              <w:spacing w:after="0"/>
              <w:rPr>
                <w:sz w:val="17"/>
                <w:szCs w:val="17"/>
                <w:color w:val="auto"/>
              </w:rPr>
            </w:pPr>
          </w:p>
        </w:tc>
      </w:tr>
      <w:tr>
        <w:trPr>
          <w:trHeight w:val="20"/>
        </w:trPr>
        <w:tc>
          <w:tcPr>
            <w:tcW w:w="4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r>
      <w:tr>
        <w:trPr>
          <w:trHeight w:val="412"/>
        </w:trPr>
        <w:tc>
          <w:tcPr>
            <w:tcW w:w="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1*</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Consent of Skadden, Arps, Slate, Meagher &amp; Flom LLP (included in Exhibit 5.1).</w:t>
            </w:r>
          </w:p>
        </w:tc>
      </w:tr>
      <w:tr>
        <w:trPr>
          <w:trHeight w:val="20"/>
        </w:trPr>
        <w:tc>
          <w:tcPr>
            <w:tcW w:w="20" w:type="dxa"/>
            <w:vAlign w:val="bottom"/>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r>
      <w:tr>
        <w:trPr>
          <w:trHeight w:val="412"/>
        </w:trPr>
        <w:tc>
          <w:tcPr>
            <w:tcW w:w="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2*</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Consent of Kesselman &amp; Kesselman, Certified Public Accountants (Isr.), a member firm of PricewaterhouseCoopers International Limited,</w:t>
            </w:r>
          </w:p>
        </w:tc>
      </w:tr>
      <w:tr>
        <w:trPr>
          <w:trHeight w:val="196"/>
        </w:trPr>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an independent registered public accounting firm.</w:t>
            </w:r>
          </w:p>
        </w:tc>
      </w:tr>
      <w:tr>
        <w:trPr>
          <w:trHeight w:val="20"/>
        </w:trPr>
        <w:tc>
          <w:tcPr>
            <w:tcW w:w="4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r>
      <w:tr>
        <w:trPr>
          <w:trHeight w:val="412"/>
        </w:trPr>
        <w:tc>
          <w:tcPr>
            <w:tcW w:w="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w w:val="88"/>
              </w:rPr>
              <w:t>24.</w:t>
            </w:r>
            <w:r>
              <w:rPr>
                <w:rFonts w:ascii="Times New Roman" w:cs="Times New Roman" w:eastAsia="Times New Roman" w:hAnsi="Times New Roman"/>
                <w:sz w:val="18"/>
                <w:szCs w:val="18"/>
                <w:u w:val="single" w:color="auto"/>
                <w:color w:val="0000EE"/>
                <w:w w:val="88"/>
              </w:rPr>
              <w:t>1*</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 of this Registration Statement).</w:t>
            </w:r>
          </w:p>
        </w:tc>
      </w:tr>
      <w:tr>
        <w:trPr>
          <w:trHeight w:val="20"/>
        </w:trPr>
        <w:tc>
          <w:tcPr>
            <w:tcW w:w="20" w:type="dxa"/>
            <w:vAlign w:val="bottom"/>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60" w:type="dxa"/>
            <w:vAlign w:val="bottom"/>
            <w:gridSpan w:val="5"/>
            <w:shd w:val="clear" w:color="auto" w:fill="0000EE"/>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r>
      <w:tr>
        <w:trPr>
          <w:trHeight w:val="412"/>
        </w:trPr>
        <w:tc>
          <w:tcPr>
            <w:tcW w:w="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w w:val="99"/>
              </w:rPr>
              <w:t>107*</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Filing Fee Table.</w:t>
            </w:r>
          </w:p>
        </w:tc>
      </w:tr>
      <w:tr>
        <w:trPr>
          <w:trHeight w:val="237"/>
        </w:trPr>
        <w:tc>
          <w:tcPr>
            <w:tcW w:w="20" w:type="dxa"/>
            <w:vAlign w:val="bottom"/>
            <w:tcBorders>
              <w:bottom w:val="single" w:sz="8" w:color="auto"/>
            </w:tcBorders>
          </w:tcPr>
          <w:p>
            <w:pPr>
              <w:spacing w:after="0"/>
              <w:rPr>
                <w:sz w:val="20"/>
                <w:szCs w:val="20"/>
                <w:color w:val="auto"/>
              </w:rPr>
            </w:pPr>
          </w:p>
        </w:tc>
        <w:tc>
          <w:tcPr>
            <w:tcW w:w="30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top w:val="single" w:sz="8" w:color="0000EE"/>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56"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81"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88" w:lineRule="exact"/>
        <w:rPr>
          <w:rFonts w:ascii="Times New Roman" w:cs="Times New Roman" w:eastAsia="Times New Roman" w:hAnsi="Times New Roman"/>
          <w:sz w:val="18"/>
          <w:szCs w:val="18"/>
          <w:color w:val="auto"/>
        </w:rPr>
      </w:pPr>
    </w:p>
    <w:p>
      <w:pPr>
        <w:ind w:left="660" w:firstLine="644"/>
        <w:spacing w:after="0" w:line="282" w:lineRule="auto"/>
        <w:tabs>
          <w:tab w:leader="none" w:pos="1629"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(a)(i) and (a)(ii)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Section 15(d) of the Exchange Act that are incorporated by reference in the registration statement.</w:t>
      </w:r>
    </w:p>
    <w:p>
      <w:pPr>
        <w:spacing w:after="0" w:line="175" w:lineRule="exact"/>
        <w:rPr>
          <w:sz w:val="20"/>
          <w:szCs w:val="20"/>
          <w:color w:val="auto"/>
        </w:rPr>
      </w:pPr>
    </w:p>
    <w:p>
      <w:pPr>
        <w:jc w:val="both"/>
        <w:ind w:firstLine="656"/>
        <w:spacing w:after="0" w:line="266" w:lineRule="auto"/>
        <w:tabs>
          <w:tab w:leader="none" w:pos="91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firstLine="8"/>
        <w:spacing w:after="0" w:line="258" w:lineRule="auto"/>
        <w:tabs>
          <w:tab w:leader="none" w:pos="1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firstLine="8"/>
        <w:spacing w:after="0" w:line="254" w:lineRule="auto"/>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Jerusalem, Israel, on this 26th day of October, 2022.</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MOBILEYE GLOBAL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Professor Amnon Shashua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KNOW ALL BY THESE PRESENT, that each person whose signature appears below constitutes and appoints Professor Amnon Shashua, Anat Heller, and Patrick P. Gelsinger and each of them, his, her or their true and lawful attorney-in-fact and agent, with full power of substitution and revocation, for him or her and in his, her or their name, place and stead, in any and all capacities, to execute any or all amendments including any post-effective amendments and supplements to this Registration Statement, and any additional registration statement filed pursuant to Rule 462,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she or they might or could do in person, hereby ratifying and confirming all that said attorney-in-fact and agent, or his, her or their substitute or substitutes, may lawfully do or cause to be done by virtue hereof.</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indicated on the date indicated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0"/>
                <w:szCs w:val="20"/>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Professor Amnon Shashua</w:t>
            </w:r>
          </w:p>
        </w:tc>
        <w:tc>
          <w:tcPr>
            <w:tcW w:w="240" w:type="dxa"/>
            <w:vAlign w:val="bottom"/>
          </w:tcPr>
          <w:p>
            <w:pPr>
              <w:spacing w:after="0"/>
              <w:rPr>
                <w:sz w:val="24"/>
                <w:szCs w:val="24"/>
                <w:color w:val="auto"/>
              </w:rPr>
            </w:pPr>
          </w:p>
        </w:tc>
        <w:tc>
          <w:tcPr>
            <w:tcW w:w="3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Executive Officer, President and 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26, 2022</w:t>
            </w: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Professor Amnon Shashua</w:t>
            </w:r>
          </w:p>
        </w:tc>
        <w:tc>
          <w:tcPr>
            <w:tcW w:w="240" w:type="dxa"/>
            <w:vAlign w:val="bottom"/>
          </w:tcPr>
          <w:p>
            <w:pPr>
              <w:spacing w:after="0"/>
              <w:rPr>
                <w:sz w:val="19"/>
                <w:szCs w:val="19"/>
                <w:color w:val="auto"/>
              </w:rPr>
            </w:pPr>
          </w:p>
        </w:tc>
        <w:tc>
          <w:tcPr>
            <w:tcW w:w="3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80" w:type="dxa"/>
            <w:vAlign w:val="bottom"/>
          </w:tcPr>
          <w:p>
            <w:pPr>
              <w:spacing w:after="0"/>
              <w:rPr>
                <w:sz w:val="19"/>
                <w:szCs w:val="19"/>
                <w:color w:val="auto"/>
              </w:rPr>
            </w:pPr>
          </w:p>
        </w:tc>
      </w:tr>
      <w:tr>
        <w:trPr>
          <w:trHeight w:val="414"/>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Anat Heller</w:t>
            </w:r>
          </w:p>
        </w:tc>
        <w:tc>
          <w:tcPr>
            <w:tcW w:w="240" w:type="dxa"/>
            <w:vAlign w:val="bottom"/>
          </w:tcPr>
          <w:p>
            <w:pPr>
              <w:spacing w:after="0"/>
              <w:rPr>
                <w:sz w:val="24"/>
                <w:szCs w:val="24"/>
                <w:color w:val="auto"/>
              </w:rPr>
            </w:pPr>
          </w:p>
        </w:tc>
        <w:tc>
          <w:tcPr>
            <w:tcW w:w="3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26, 2022</w:t>
            </w: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Anat Heller</w:t>
            </w:r>
          </w:p>
        </w:tc>
        <w:tc>
          <w:tcPr>
            <w:tcW w:w="240" w:type="dxa"/>
            <w:vAlign w:val="bottom"/>
          </w:tcPr>
          <w:p>
            <w:pPr>
              <w:spacing w:after="0"/>
              <w:rPr>
                <w:sz w:val="19"/>
                <w:szCs w:val="19"/>
                <w:color w:val="auto"/>
              </w:rPr>
            </w:pPr>
          </w:p>
        </w:tc>
        <w:tc>
          <w:tcPr>
            <w:tcW w:w="3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680" w:type="dxa"/>
            <w:vAlign w:val="bottom"/>
          </w:tcPr>
          <w:p>
            <w:pPr>
              <w:spacing w:after="0"/>
              <w:rPr>
                <w:sz w:val="19"/>
                <w:szCs w:val="19"/>
                <w:color w:val="auto"/>
              </w:rPr>
            </w:pPr>
          </w:p>
        </w:tc>
      </w:tr>
      <w:tr>
        <w:trPr>
          <w:trHeight w:val="414"/>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Patrick P. Gelsinger</w:t>
            </w:r>
          </w:p>
        </w:tc>
        <w:tc>
          <w:tcPr>
            <w:tcW w:w="240" w:type="dxa"/>
            <w:vAlign w:val="bottom"/>
          </w:tcPr>
          <w:p>
            <w:pPr>
              <w:spacing w:after="0"/>
              <w:rPr>
                <w:sz w:val="24"/>
                <w:szCs w:val="24"/>
                <w:color w:val="auto"/>
              </w:rPr>
            </w:pPr>
          </w:p>
        </w:tc>
        <w:tc>
          <w:tcPr>
            <w:tcW w:w="3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26, 2022</w:t>
            </w: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Patrick P. Gelsinger</w:t>
            </w:r>
          </w:p>
        </w:tc>
        <w:tc>
          <w:tcPr>
            <w:tcW w:w="2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630"/>
        </w:trPr>
        <w:tc>
          <w:tcPr>
            <w:tcW w:w="54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S-1</w:t>
            </w: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spacing w:after="0" w:line="1" w:lineRule="exact"/>
        <w:rPr>
          <w:sz w:val="20"/>
          <w:szCs w:val="20"/>
          <w:color w:val="auto"/>
        </w:rPr>
      </w:pPr>
    </w:p>
    <w:tbl>
      <w:tblPr>
        <w:tblLayout w:type="fixed"/>
        <w:tblInd w:w="3940" w:type="dxa"/>
        <w:tblCellMar>
          <w:top w:w="0" w:type="dxa"/>
          <w:left w:w="0" w:type="dxa"/>
          <w:bottom w:w="0" w:type="dxa"/>
          <w:right w:w="0" w:type="dxa"/>
        </w:tblCellMar>
      </w:tblPr>
      <w:tr>
        <w:trPr>
          <w:trHeight w:val="287"/>
        </w:trPr>
        <w:tc>
          <w:tcPr>
            <w:tcW w:w="3740" w:type="dxa"/>
            <w:vAlign w:val="bottom"/>
          </w:tcPr>
          <w:p>
            <w:pPr>
              <w:spacing w:after="0"/>
              <w:rPr>
                <w:sz w:val="24"/>
                <w:szCs w:val="24"/>
                <w:color w:val="auto"/>
              </w:rPr>
            </w:pPr>
          </w:p>
        </w:tc>
        <w:tc>
          <w:tcPr>
            <w:tcW w:w="3560" w:type="dxa"/>
            <w:vAlign w:val="bottom"/>
          </w:tcPr>
          <w:p>
            <w:pPr>
              <w:ind w:left="2560"/>
              <w:spacing w:after="0"/>
              <w:rPr>
                <w:sz w:val="20"/>
                <w:szCs w:val="20"/>
                <w:color w:val="auto"/>
              </w:rPr>
            </w:pPr>
            <w:r>
              <w:rPr>
                <w:rFonts w:ascii="Times New Roman" w:cs="Times New Roman" w:eastAsia="Times New Roman" w:hAnsi="Times New Roman"/>
                <w:sz w:val="22"/>
                <w:szCs w:val="22"/>
                <w:b w:val="1"/>
                <w:bCs w:val="1"/>
                <w:color w:val="auto"/>
                <w:w w:val="95"/>
              </w:rPr>
              <w:t>Exhibit 5.1</w:t>
            </w:r>
          </w:p>
        </w:tc>
      </w:tr>
      <w:tr>
        <w:trPr>
          <w:trHeight w:val="429"/>
        </w:trPr>
        <w:tc>
          <w:tcPr>
            <w:tcW w:w="37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kadden</w:t>
            </w:r>
            <w:r>
              <w:rPr>
                <w:rFonts w:ascii="Times New Roman" w:cs="Times New Roman" w:eastAsia="Times New Roman" w:hAnsi="Times New Roman"/>
                <w:sz w:val="18"/>
                <w:szCs w:val="18"/>
                <w:color w:val="auto"/>
              </w:rPr>
              <w:t>, A</w:t>
            </w:r>
            <w:r>
              <w:rPr>
                <w:rFonts w:ascii="Times New Roman" w:cs="Times New Roman" w:eastAsia="Times New Roman" w:hAnsi="Times New Roman"/>
                <w:sz w:val="12"/>
                <w:szCs w:val="12"/>
                <w:color w:val="auto"/>
              </w:rPr>
              <w:t>rps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late</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eagher</w:t>
            </w:r>
            <w:r>
              <w:rPr>
                <w:rFonts w:ascii="Times New Roman" w:cs="Times New Roman" w:eastAsia="Times New Roman" w:hAnsi="Times New Roman"/>
                <w:sz w:val="18"/>
                <w:szCs w:val="18"/>
                <w:color w:val="auto"/>
              </w:rPr>
              <w:t xml:space="preserve"> &amp; F</w:t>
            </w:r>
            <w:r>
              <w:rPr>
                <w:rFonts w:ascii="Times New Roman" w:cs="Times New Roman" w:eastAsia="Times New Roman" w:hAnsi="Times New Roman"/>
                <w:sz w:val="12"/>
                <w:szCs w:val="12"/>
                <w:color w:val="auto"/>
              </w:rPr>
              <w:t>lom llp</w:t>
            </w:r>
          </w:p>
        </w:tc>
        <w:tc>
          <w:tcPr>
            <w:tcW w:w="3560" w:type="dxa"/>
            <w:vAlign w:val="bottom"/>
          </w:tcPr>
          <w:p>
            <w:pPr>
              <w:spacing w:after="0"/>
              <w:rPr>
                <w:sz w:val="24"/>
                <w:szCs w:val="24"/>
                <w:color w:val="auto"/>
              </w:rPr>
            </w:pPr>
          </w:p>
        </w:tc>
      </w:tr>
      <w:tr>
        <w:trPr>
          <w:trHeight w:val="216"/>
        </w:trPr>
        <w:tc>
          <w:tcPr>
            <w:tcW w:w="37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300 SOUTH GRAND AVENUE, SUITE 3400</w:t>
            </w:r>
          </w:p>
        </w:tc>
        <w:tc>
          <w:tcPr>
            <w:tcW w:w="3560" w:type="dxa"/>
            <w:vAlign w:val="bottom"/>
          </w:tcPr>
          <w:p>
            <w:pPr>
              <w:spacing w:after="0"/>
              <w:rPr>
                <w:sz w:val="18"/>
                <w:szCs w:val="18"/>
                <w:color w:val="auto"/>
              </w:rPr>
            </w:pPr>
          </w:p>
        </w:tc>
      </w:tr>
      <w:tr>
        <w:trPr>
          <w:trHeight w:val="216"/>
        </w:trPr>
        <w:tc>
          <w:tcPr>
            <w:tcW w:w="37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LOS ANGELES, CA 90071</w:t>
            </w:r>
          </w:p>
        </w:tc>
        <w:tc>
          <w:tcPr>
            <w:tcW w:w="3560" w:type="dxa"/>
            <w:vAlign w:val="bottom"/>
          </w:tcPr>
          <w:p>
            <w:pPr>
              <w:jc w:val="center"/>
              <w:ind w:left="109"/>
              <w:spacing w:after="0"/>
              <w:rPr>
                <w:sz w:val="20"/>
                <w:szCs w:val="20"/>
                <w:color w:val="auto"/>
              </w:rPr>
            </w:pPr>
            <w:r>
              <w:rPr>
                <w:rFonts w:ascii="Times New Roman" w:cs="Times New Roman" w:eastAsia="Times New Roman" w:hAnsi="Times New Roman"/>
                <w:sz w:val="18"/>
                <w:szCs w:val="18"/>
                <w:color w:val="auto"/>
                <w:w w:val="99"/>
              </w:rPr>
              <w:t>FIRM/AFFILIATE OFFICES</w:t>
            </w:r>
          </w:p>
        </w:tc>
      </w:tr>
      <w:tr>
        <w:trPr>
          <w:trHeight w:val="216"/>
        </w:trPr>
        <w:tc>
          <w:tcPr>
            <w:tcW w:w="37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________</w:t>
            </w:r>
          </w:p>
        </w:tc>
        <w:tc>
          <w:tcPr>
            <w:tcW w:w="3560" w:type="dxa"/>
            <w:vAlign w:val="bottom"/>
          </w:tcPr>
          <w:p>
            <w:pPr>
              <w:jc w:val="center"/>
              <w:ind w:left="89"/>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tcPr>
          <w:p>
            <w:pPr>
              <w:spacing w:after="0"/>
              <w:rPr>
                <w:sz w:val="18"/>
                <w:szCs w:val="18"/>
                <w:color w:val="auto"/>
              </w:rPr>
            </w:pPr>
          </w:p>
        </w:tc>
        <w:tc>
          <w:tcPr>
            <w:tcW w:w="3560" w:type="dxa"/>
            <w:vAlign w:val="bottom"/>
          </w:tcPr>
          <w:p>
            <w:pPr>
              <w:jc w:val="center"/>
              <w:ind w:left="109"/>
              <w:spacing w:after="0"/>
              <w:rPr>
                <w:sz w:val="20"/>
                <w:szCs w:val="20"/>
                <w:color w:val="auto"/>
              </w:rPr>
            </w:pPr>
            <w:r>
              <w:rPr>
                <w:rFonts w:ascii="Times New Roman" w:cs="Times New Roman" w:eastAsia="Times New Roman" w:hAnsi="Times New Roman"/>
                <w:sz w:val="18"/>
                <w:szCs w:val="18"/>
                <w:color w:val="auto"/>
                <w:w w:val="99"/>
              </w:rPr>
              <w:t>BOSTON</w:t>
            </w:r>
          </w:p>
        </w:tc>
      </w:tr>
      <w:tr>
        <w:trPr>
          <w:trHeight w:val="216"/>
        </w:trPr>
        <w:tc>
          <w:tcPr>
            <w:tcW w:w="37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TEL: (213) 687-5000</w:t>
            </w:r>
          </w:p>
        </w:tc>
        <w:tc>
          <w:tcPr>
            <w:tcW w:w="3560" w:type="dxa"/>
            <w:vAlign w:val="bottom"/>
          </w:tcPr>
          <w:p>
            <w:pPr>
              <w:jc w:val="center"/>
              <w:ind w:left="89"/>
              <w:spacing w:after="0"/>
              <w:rPr>
                <w:sz w:val="20"/>
                <w:szCs w:val="20"/>
                <w:color w:val="auto"/>
              </w:rPr>
            </w:pPr>
            <w:r>
              <w:rPr>
                <w:rFonts w:ascii="Times New Roman" w:cs="Times New Roman" w:eastAsia="Times New Roman" w:hAnsi="Times New Roman"/>
                <w:sz w:val="18"/>
                <w:szCs w:val="18"/>
                <w:color w:val="auto"/>
                <w:w w:val="99"/>
              </w:rPr>
              <w:t>CHICAGO</w:t>
            </w:r>
          </w:p>
        </w:tc>
      </w:tr>
      <w:tr>
        <w:trPr>
          <w:trHeight w:val="216"/>
        </w:trPr>
        <w:tc>
          <w:tcPr>
            <w:tcW w:w="37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FAX: (212) 735-5600</w:t>
            </w:r>
          </w:p>
        </w:tc>
        <w:tc>
          <w:tcPr>
            <w:tcW w:w="3560" w:type="dxa"/>
            <w:vAlign w:val="bottom"/>
          </w:tcPr>
          <w:p>
            <w:pPr>
              <w:jc w:val="center"/>
              <w:ind w:left="109"/>
              <w:spacing w:after="0"/>
              <w:rPr>
                <w:sz w:val="20"/>
                <w:szCs w:val="20"/>
                <w:color w:val="auto"/>
              </w:rPr>
            </w:pPr>
            <w:r>
              <w:rPr>
                <w:rFonts w:ascii="Times New Roman" w:cs="Times New Roman" w:eastAsia="Times New Roman" w:hAnsi="Times New Roman"/>
                <w:sz w:val="18"/>
                <w:szCs w:val="18"/>
                <w:color w:val="auto"/>
                <w:w w:val="97"/>
              </w:rPr>
              <w:t>HOUSTON</w:t>
            </w:r>
          </w:p>
        </w:tc>
      </w:tr>
      <w:tr>
        <w:trPr>
          <w:trHeight w:val="216"/>
        </w:trPr>
        <w:tc>
          <w:tcPr>
            <w:tcW w:w="37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www.skadden.com</w:t>
            </w:r>
          </w:p>
        </w:tc>
        <w:tc>
          <w:tcPr>
            <w:tcW w:w="3560" w:type="dxa"/>
            <w:vAlign w:val="bottom"/>
          </w:tcPr>
          <w:p>
            <w:pPr>
              <w:jc w:val="center"/>
              <w:ind w:left="109"/>
              <w:spacing w:after="0"/>
              <w:rPr>
                <w:sz w:val="20"/>
                <w:szCs w:val="20"/>
                <w:color w:val="auto"/>
              </w:rPr>
            </w:pPr>
            <w:r>
              <w:rPr>
                <w:rFonts w:ascii="Times New Roman" w:cs="Times New Roman" w:eastAsia="Times New Roman" w:hAnsi="Times New Roman"/>
                <w:sz w:val="18"/>
                <w:szCs w:val="18"/>
                <w:color w:val="auto"/>
                <w:w w:val="99"/>
              </w:rPr>
              <w:t>LOS ANGELES</w:t>
            </w:r>
          </w:p>
        </w:tc>
      </w:tr>
      <w:tr>
        <w:trPr>
          <w:trHeight w:val="216"/>
        </w:trPr>
        <w:tc>
          <w:tcPr>
            <w:tcW w:w="3740" w:type="dxa"/>
            <w:vAlign w:val="bottom"/>
          </w:tcPr>
          <w:p>
            <w:pPr>
              <w:spacing w:after="0"/>
              <w:rPr>
                <w:sz w:val="18"/>
                <w:szCs w:val="18"/>
                <w:color w:val="auto"/>
              </w:rPr>
            </w:pPr>
          </w:p>
        </w:tc>
        <w:tc>
          <w:tcPr>
            <w:tcW w:w="3560" w:type="dxa"/>
            <w:vAlign w:val="bottom"/>
          </w:tcPr>
          <w:p>
            <w:pPr>
              <w:jc w:val="center"/>
              <w:ind w:left="109"/>
              <w:spacing w:after="0"/>
              <w:rPr>
                <w:sz w:val="20"/>
                <w:szCs w:val="20"/>
                <w:color w:val="auto"/>
              </w:rPr>
            </w:pPr>
            <w:r>
              <w:rPr>
                <w:rFonts w:ascii="Times New Roman" w:cs="Times New Roman" w:eastAsia="Times New Roman" w:hAnsi="Times New Roman"/>
                <w:sz w:val="18"/>
                <w:szCs w:val="18"/>
                <w:color w:val="auto"/>
                <w:w w:val="96"/>
              </w:rPr>
              <w:t>PALO ALTO</w:t>
            </w:r>
          </w:p>
        </w:tc>
      </w:tr>
      <w:tr>
        <w:trPr>
          <w:trHeight w:val="216"/>
        </w:trPr>
        <w:tc>
          <w:tcPr>
            <w:tcW w:w="3740" w:type="dxa"/>
            <w:vAlign w:val="bottom"/>
          </w:tcPr>
          <w:p>
            <w:pPr>
              <w:spacing w:after="0"/>
              <w:rPr>
                <w:sz w:val="18"/>
                <w:szCs w:val="18"/>
                <w:color w:val="auto"/>
              </w:rPr>
            </w:pPr>
          </w:p>
        </w:tc>
        <w:tc>
          <w:tcPr>
            <w:tcW w:w="3560" w:type="dxa"/>
            <w:vAlign w:val="bottom"/>
          </w:tcPr>
          <w:p>
            <w:pPr>
              <w:jc w:val="center"/>
              <w:ind w:left="109"/>
              <w:spacing w:after="0"/>
              <w:rPr>
                <w:sz w:val="20"/>
                <w:szCs w:val="20"/>
                <w:color w:val="auto"/>
              </w:rPr>
            </w:pPr>
            <w:r>
              <w:rPr>
                <w:rFonts w:ascii="Times New Roman" w:cs="Times New Roman" w:eastAsia="Times New Roman" w:hAnsi="Times New Roman"/>
                <w:sz w:val="18"/>
                <w:szCs w:val="18"/>
                <w:color w:val="auto"/>
                <w:w w:val="99"/>
              </w:rPr>
              <w:t>WASHINGTON, D.C.</w:t>
            </w:r>
          </w:p>
        </w:tc>
      </w:tr>
      <w:tr>
        <w:trPr>
          <w:trHeight w:val="216"/>
        </w:trPr>
        <w:tc>
          <w:tcPr>
            <w:tcW w:w="3740" w:type="dxa"/>
            <w:vAlign w:val="bottom"/>
          </w:tcPr>
          <w:p>
            <w:pPr>
              <w:spacing w:after="0"/>
              <w:rPr>
                <w:sz w:val="18"/>
                <w:szCs w:val="18"/>
                <w:color w:val="auto"/>
              </w:rPr>
            </w:pPr>
          </w:p>
        </w:tc>
        <w:tc>
          <w:tcPr>
            <w:tcW w:w="3560" w:type="dxa"/>
            <w:vAlign w:val="bottom"/>
          </w:tcPr>
          <w:p>
            <w:pPr>
              <w:jc w:val="center"/>
              <w:ind w:left="109"/>
              <w:spacing w:after="0"/>
              <w:rPr>
                <w:sz w:val="20"/>
                <w:szCs w:val="20"/>
                <w:color w:val="auto"/>
              </w:rPr>
            </w:pPr>
            <w:r>
              <w:rPr>
                <w:rFonts w:ascii="Times New Roman" w:cs="Times New Roman" w:eastAsia="Times New Roman" w:hAnsi="Times New Roman"/>
                <w:sz w:val="18"/>
                <w:szCs w:val="18"/>
                <w:color w:val="auto"/>
              </w:rPr>
              <w:t>WILMINGTON</w:t>
            </w:r>
          </w:p>
        </w:tc>
      </w:tr>
      <w:tr>
        <w:trPr>
          <w:trHeight w:val="216"/>
        </w:trPr>
        <w:tc>
          <w:tcPr>
            <w:tcW w:w="3740" w:type="dxa"/>
            <w:vAlign w:val="bottom"/>
          </w:tcPr>
          <w:p>
            <w:pPr>
              <w:spacing w:after="0"/>
              <w:rPr>
                <w:sz w:val="18"/>
                <w:szCs w:val="18"/>
                <w:color w:val="auto"/>
              </w:rPr>
            </w:pPr>
          </w:p>
        </w:tc>
        <w:tc>
          <w:tcPr>
            <w:tcW w:w="3560" w:type="dxa"/>
            <w:vAlign w:val="bottom"/>
          </w:tcPr>
          <w:p>
            <w:pPr>
              <w:jc w:val="center"/>
              <w:ind w:left="89"/>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tcPr>
          <w:p>
            <w:pPr>
              <w:spacing w:after="0"/>
              <w:rPr>
                <w:sz w:val="18"/>
                <w:szCs w:val="18"/>
                <w:color w:val="auto"/>
              </w:rPr>
            </w:pPr>
          </w:p>
        </w:tc>
        <w:tc>
          <w:tcPr>
            <w:tcW w:w="3560" w:type="dxa"/>
            <w:vAlign w:val="bottom"/>
          </w:tcPr>
          <w:p>
            <w:pPr>
              <w:jc w:val="center"/>
              <w:ind w:left="109"/>
              <w:spacing w:after="0"/>
              <w:rPr>
                <w:sz w:val="20"/>
                <w:szCs w:val="20"/>
                <w:color w:val="auto"/>
              </w:rPr>
            </w:pPr>
            <w:r>
              <w:rPr>
                <w:rFonts w:ascii="Times New Roman" w:cs="Times New Roman" w:eastAsia="Times New Roman" w:hAnsi="Times New Roman"/>
                <w:sz w:val="18"/>
                <w:szCs w:val="18"/>
                <w:color w:val="auto"/>
                <w:w w:val="99"/>
              </w:rPr>
              <w:t>BEIJING</w:t>
            </w:r>
          </w:p>
        </w:tc>
      </w:tr>
      <w:tr>
        <w:trPr>
          <w:trHeight w:val="216"/>
        </w:trPr>
        <w:tc>
          <w:tcPr>
            <w:tcW w:w="3740" w:type="dxa"/>
            <w:vAlign w:val="bottom"/>
          </w:tcPr>
          <w:p>
            <w:pPr>
              <w:spacing w:after="0"/>
              <w:rPr>
                <w:sz w:val="18"/>
                <w:szCs w:val="18"/>
                <w:color w:val="auto"/>
              </w:rPr>
            </w:pPr>
          </w:p>
        </w:tc>
        <w:tc>
          <w:tcPr>
            <w:tcW w:w="3560" w:type="dxa"/>
            <w:vAlign w:val="bottom"/>
          </w:tcPr>
          <w:p>
            <w:pPr>
              <w:jc w:val="center"/>
              <w:ind w:left="109"/>
              <w:spacing w:after="0"/>
              <w:rPr>
                <w:sz w:val="20"/>
                <w:szCs w:val="20"/>
                <w:color w:val="auto"/>
              </w:rPr>
            </w:pPr>
            <w:r>
              <w:rPr>
                <w:rFonts w:ascii="Times New Roman" w:cs="Times New Roman" w:eastAsia="Times New Roman" w:hAnsi="Times New Roman"/>
                <w:sz w:val="18"/>
                <w:szCs w:val="18"/>
                <w:color w:val="auto"/>
                <w:w w:val="98"/>
              </w:rPr>
              <w:t>BRUSSELS</w:t>
            </w:r>
          </w:p>
        </w:tc>
      </w:tr>
      <w:tr>
        <w:trPr>
          <w:trHeight w:val="216"/>
        </w:trPr>
        <w:tc>
          <w:tcPr>
            <w:tcW w:w="3740" w:type="dxa"/>
            <w:vAlign w:val="bottom"/>
          </w:tcPr>
          <w:p>
            <w:pPr>
              <w:spacing w:after="0"/>
              <w:rPr>
                <w:sz w:val="18"/>
                <w:szCs w:val="18"/>
                <w:color w:val="auto"/>
              </w:rPr>
            </w:pPr>
          </w:p>
        </w:tc>
        <w:tc>
          <w:tcPr>
            <w:tcW w:w="3560" w:type="dxa"/>
            <w:vAlign w:val="bottom"/>
          </w:tcPr>
          <w:p>
            <w:pPr>
              <w:jc w:val="center"/>
              <w:ind w:left="89"/>
              <w:spacing w:after="0"/>
              <w:rPr>
                <w:sz w:val="20"/>
                <w:szCs w:val="20"/>
                <w:color w:val="auto"/>
              </w:rPr>
            </w:pPr>
            <w:r>
              <w:rPr>
                <w:rFonts w:ascii="Times New Roman" w:cs="Times New Roman" w:eastAsia="Times New Roman" w:hAnsi="Times New Roman"/>
                <w:sz w:val="18"/>
                <w:szCs w:val="18"/>
                <w:color w:val="auto"/>
                <w:w w:val="99"/>
              </w:rPr>
              <w:t>FRANKFURT</w:t>
            </w:r>
          </w:p>
        </w:tc>
      </w:tr>
      <w:tr>
        <w:trPr>
          <w:trHeight w:val="216"/>
        </w:trPr>
        <w:tc>
          <w:tcPr>
            <w:tcW w:w="3740" w:type="dxa"/>
            <w:vAlign w:val="bottom"/>
          </w:tcPr>
          <w:p>
            <w:pPr>
              <w:spacing w:after="0"/>
              <w:rPr>
                <w:sz w:val="18"/>
                <w:szCs w:val="18"/>
                <w:color w:val="auto"/>
              </w:rPr>
            </w:pPr>
          </w:p>
        </w:tc>
        <w:tc>
          <w:tcPr>
            <w:tcW w:w="3560" w:type="dxa"/>
            <w:vAlign w:val="bottom"/>
          </w:tcPr>
          <w:p>
            <w:pPr>
              <w:jc w:val="center"/>
              <w:ind w:left="109"/>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3740" w:type="dxa"/>
            <w:vAlign w:val="bottom"/>
          </w:tcPr>
          <w:p>
            <w:pPr>
              <w:spacing w:after="0"/>
              <w:rPr>
                <w:sz w:val="18"/>
                <w:szCs w:val="18"/>
                <w:color w:val="auto"/>
              </w:rPr>
            </w:pPr>
          </w:p>
        </w:tc>
        <w:tc>
          <w:tcPr>
            <w:tcW w:w="3560" w:type="dxa"/>
            <w:vAlign w:val="bottom"/>
          </w:tcPr>
          <w:p>
            <w:pPr>
              <w:jc w:val="center"/>
              <w:ind w:left="109"/>
              <w:spacing w:after="0"/>
              <w:rPr>
                <w:sz w:val="20"/>
                <w:szCs w:val="20"/>
                <w:color w:val="auto"/>
              </w:rPr>
            </w:pPr>
            <w:r>
              <w:rPr>
                <w:rFonts w:ascii="Times New Roman" w:cs="Times New Roman" w:eastAsia="Times New Roman" w:hAnsi="Times New Roman"/>
                <w:sz w:val="18"/>
                <w:szCs w:val="18"/>
                <w:color w:val="auto"/>
                <w:w w:val="99"/>
              </w:rPr>
              <w:t>LONDON</w:t>
            </w:r>
          </w:p>
        </w:tc>
      </w:tr>
      <w:tr>
        <w:trPr>
          <w:trHeight w:val="216"/>
        </w:trPr>
        <w:tc>
          <w:tcPr>
            <w:tcW w:w="3740" w:type="dxa"/>
            <w:vAlign w:val="bottom"/>
          </w:tcPr>
          <w:p>
            <w:pPr>
              <w:spacing w:after="0"/>
              <w:rPr>
                <w:sz w:val="18"/>
                <w:szCs w:val="18"/>
                <w:color w:val="auto"/>
              </w:rPr>
            </w:pPr>
          </w:p>
        </w:tc>
        <w:tc>
          <w:tcPr>
            <w:tcW w:w="3560" w:type="dxa"/>
            <w:vAlign w:val="bottom"/>
          </w:tcPr>
          <w:p>
            <w:pPr>
              <w:jc w:val="center"/>
              <w:ind w:left="109"/>
              <w:spacing w:after="0"/>
              <w:rPr>
                <w:sz w:val="20"/>
                <w:szCs w:val="20"/>
                <w:color w:val="auto"/>
              </w:rPr>
            </w:pPr>
            <w:r>
              <w:rPr>
                <w:rFonts w:ascii="Times New Roman" w:cs="Times New Roman" w:eastAsia="Times New Roman" w:hAnsi="Times New Roman"/>
                <w:sz w:val="18"/>
                <w:szCs w:val="18"/>
                <w:color w:val="auto"/>
                <w:w w:val="98"/>
              </w:rPr>
              <w:t>MUNICH</w:t>
            </w:r>
          </w:p>
        </w:tc>
      </w:tr>
      <w:tr>
        <w:trPr>
          <w:trHeight w:val="216"/>
        </w:trPr>
        <w:tc>
          <w:tcPr>
            <w:tcW w:w="3740" w:type="dxa"/>
            <w:vAlign w:val="bottom"/>
          </w:tcPr>
          <w:p>
            <w:pPr>
              <w:spacing w:after="0"/>
              <w:rPr>
                <w:sz w:val="18"/>
                <w:szCs w:val="18"/>
                <w:color w:val="auto"/>
              </w:rPr>
            </w:pPr>
          </w:p>
        </w:tc>
        <w:tc>
          <w:tcPr>
            <w:tcW w:w="3560" w:type="dxa"/>
            <w:vAlign w:val="bottom"/>
          </w:tcPr>
          <w:p>
            <w:pPr>
              <w:jc w:val="center"/>
              <w:ind w:left="109"/>
              <w:spacing w:after="0"/>
              <w:rPr>
                <w:sz w:val="20"/>
                <w:szCs w:val="20"/>
                <w:color w:val="auto"/>
              </w:rPr>
            </w:pPr>
            <w:r>
              <w:rPr>
                <w:rFonts w:ascii="Times New Roman" w:cs="Times New Roman" w:eastAsia="Times New Roman" w:hAnsi="Times New Roman"/>
                <w:sz w:val="18"/>
                <w:szCs w:val="18"/>
                <w:color w:val="auto"/>
                <w:w w:val="93"/>
              </w:rPr>
              <w:t>PARIS</w:t>
            </w:r>
          </w:p>
        </w:tc>
      </w:tr>
      <w:tr>
        <w:trPr>
          <w:trHeight w:val="216"/>
        </w:trPr>
        <w:tc>
          <w:tcPr>
            <w:tcW w:w="3740" w:type="dxa"/>
            <w:vAlign w:val="bottom"/>
          </w:tcPr>
          <w:p>
            <w:pPr>
              <w:spacing w:after="0"/>
              <w:rPr>
                <w:sz w:val="18"/>
                <w:szCs w:val="18"/>
                <w:color w:val="auto"/>
              </w:rPr>
            </w:pPr>
          </w:p>
        </w:tc>
        <w:tc>
          <w:tcPr>
            <w:tcW w:w="3560" w:type="dxa"/>
            <w:vAlign w:val="bottom"/>
          </w:tcPr>
          <w:p>
            <w:pPr>
              <w:jc w:val="center"/>
              <w:ind w:left="109"/>
              <w:spacing w:after="0"/>
              <w:rPr>
                <w:sz w:val="20"/>
                <w:szCs w:val="20"/>
                <w:color w:val="auto"/>
              </w:rPr>
            </w:pPr>
            <w:r>
              <w:rPr>
                <w:rFonts w:ascii="Times New Roman" w:cs="Times New Roman" w:eastAsia="Times New Roman" w:hAnsi="Times New Roman"/>
                <w:sz w:val="18"/>
                <w:szCs w:val="18"/>
                <w:color w:val="auto"/>
                <w:w w:val="99"/>
              </w:rPr>
              <w:t>SÃO PAULO</w:t>
            </w:r>
          </w:p>
        </w:tc>
      </w:tr>
      <w:tr>
        <w:trPr>
          <w:trHeight w:val="216"/>
        </w:trPr>
        <w:tc>
          <w:tcPr>
            <w:tcW w:w="3740" w:type="dxa"/>
            <w:vAlign w:val="bottom"/>
          </w:tcPr>
          <w:p>
            <w:pPr>
              <w:spacing w:after="0"/>
              <w:rPr>
                <w:sz w:val="18"/>
                <w:szCs w:val="18"/>
                <w:color w:val="auto"/>
              </w:rPr>
            </w:pPr>
          </w:p>
        </w:tc>
        <w:tc>
          <w:tcPr>
            <w:tcW w:w="3560" w:type="dxa"/>
            <w:vAlign w:val="bottom"/>
          </w:tcPr>
          <w:p>
            <w:pPr>
              <w:jc w:val="center"/>
              <w:ind w:left="89"/>
              <w:spacing w:after="0"/>
              <w:rPr>
                <w:sz w:val="20"/>
                <w:szCs w:val="20"/>
                <w:color w:val="auto"/>
              </w:rPr>
            </w:pPr>
            <w:r>
              <w:rPr>
                <w:rFonts w:ascii="Times New Roman" w:cs="Times New Roman" w:eastAsia="Times New Roman" w:hAnsi="Times New Roman"/>
                <w:sz w:val="18"/>
                <w:szCs w:val="18"/>
                <w:color w:val="auto"/>
                <w:w w:val="99"/>
              </w:rPr>
              <w:t>SEOUL</w:t>
            </w:r>
          </w:p>
        </w:tc>
      </w:tr>
      <w:tr>
        <w:trPr>
          <w:trHeight w:val="216"/>
        </w:trPr>
        <w:tc>
          <w:tcPr>
            <w:tcW w:w="3740" w:type="dxa"/>
            <w:vAlign w:val="bottom"/>
          </w:tcPr>
          <w:p>
            <w:pPr>
              <w:spacing w:after="0"/>
              <w:rPr>
                <w:sz w:val="18"/>
                <w:szCs w:val="18"/>
                <w:color w:val="auto"/>
              </w:rPr>
            </w:pPr>
          </w:p>
        </w:tc>
        <w:tc>
          <w:tcPr>
            <w:tcW w:w="3560" w:type="dxa"/>
            <w:vAlign w:val="bottom"/>
          </w:tcPr>
          <w:p>
            <w:pPr>
              <w:jc w:val="center"/>
              <w:ind w:left="89"/>
              <w:spacing w:after="0"/>
              <w:rPr>
                <w:sz w:val="20"/>
                <w:szCs w:val="20"/>
                <w:color w:val="auto"/>
              </w:rPr>
            </w:pPr>
            <w:r>
              <w:rPr>
                <w:rFonts w:ascii="Times New Roman" w:cs="Times New Roman" w:eastAsia="Times New Roman" w:hAnsi="Times New Roman"/>
                <w:sz w:val="18"/>
                <w:szCs w:val="18"/>
                <w:color w:val="auto"/>
                <w:w w:val="99"/>
              </w:rPr>
              <w:t>SHANGHAI</w:t>
            </w:r>
          </w:p>
        </w:tc>
      </w:tr>
      <w:tr>
        <w:trPr>
          <w:trHeight w:val="216"/>
        </w:trPr>
        <w:tc>
          <w:tcPr>
            <w:tcW w:w="3740" w:type="dxa"/>
            <w:vAlign w:val="bottom"/>
          </w:tcPr>
          <w:p>
            <w:pPr>
              <w:spacing w:after="0"/>
              <w:rPr>
                <w:sz w:val="18"/>
                <w:szCs w:val="18"/>
                <w:color w:val="auto"/>
              </w:rPr>
            </w:pPr>
          </w:p>
        </w:tc>
        <w:tc>
          <w:tcPr>
            <w:tcW w:w="3560" w:type="dxa"/>
            <w:vAlign w:val="bottom"/>
          </w:tcPr>
          <w:p>
            <w:pPr>
              <w:jc w:val="center"/>
              <w:ind w:left="109"/>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6"/>
        </w:trPr>
        <w:tc>
          <w:tcPr>
            <w:tcW w:w="3740" w:type="dxa"/>
            <w:vAlign w:val="bottom"/>
          </w:tcPr>
          <w:p>
            <w:pPr>
              <w:spacing w:after="0"/>
              <w:rPr>
                <w:sz w:val="18"/>
                <w:szCs w:val="18"/>
                <w:color w:val="auto"/>
              </w:rPr>
            </w:pPr>
          </w:p>
        </w:tc>
        <w:tc>
          <w:tcPr>
            <w:tcW w:w="3560" w:type="dxa"/>
            <w:vAlign w:val="bottom"/>
          </w:tcPr>
          <w:p>
            <w:pPr>
              <w:jc w:val="center"/>
              <w:ind w:left="109"/>
              <w:spacing w:after="0"/>
              <w:rPr>
                <w:sz w:val="20"/>
                <w:szCs w:val="20"/>
                <w:color w:val="auto"/>
              </w:rPr>
            </w:pPr>
            <w:r>
              <w:rPr>
                <w:rFonts w:ascii="Times New Roman" w:cs="Times New Roman" w:eastAsia="Times New Roman" w:hAnsi="Times New Roman"/>
                <w:sz w:val="18"/>
                <w:szCs w:val="18"/>
                <w:color w:val="auto"/>
              </w:rPr>
              <w:t>TOKYO</w:t>
            </w:r>
          </w:p>
        </w:tc>
      </w:tr>
      <w:tr>
        <w:trPr>
          <w:trHeight w:val="234"/>
        </w:trPr>
        <w:tc>
          <w:tcPr>
            <w:tcW w:w="3740" w:type="dxa"/>
            <w:vAlign w:val="bottom"/>
          </w:tcPr>
          <w:p>
            <w:pPr>
              <w:spacing w:after="0"/>
              <w:rPr>
                <w:sz w:val="20"/>
                <w:szCs w:val="20"/>
                <w:color w:val="auto"/>
              </w:rPr>
            </w:pPr>
          </w:p>
        </w:tc>
        <w:tc>
          <w:tcPr>
            <w:tcW w:w="3560" w:type="dxa"/>
            <w:vAlign w:val="bottom"/>
          </w:tcPr>
          <w:p>
            <w:pPr>
              <w:jc w:val="center"/>
              <w:ind w:left="109"/>
              <w:spacing w:after="0"/>
              <w:rPr>
                <w:sz w:val="20"/>
                <w:szCs w:val="20"/>
                <w:color w:val="auto"/>
              </w:rPr>
            </w:pPr>
            <w:r>
              <w:rPr>
                <w:rFonts w:ascii="Times New Roman" w:cs="Times New Roman" w:eastAsia="Times New Roman" w:hAnsi="Times New Roman"/>
                <w:sz w:val="18"/>
                <w:szCs w:val="18"/>
                <w:color w:val="auto"/>
                <w:w w:val="97"/>
              </w:rPr>
              <w:t>TORONTO</w:t>
            </w:r>
          </w:p>
        </w:tc>
      </w:tr>
      <w:tr>
        <w:trPr>
          <w:trHeight w:val="459"/>
        </w:trPr>
        <w:tc>
          <w:tcPr>
            <w:tcW w:w="3740" w:type="dxa"/>
            <w:vAlign w:val="bottom"/>
          </w:tcPr>
          <w:p>
            <w:pPr>
              <w:spacing w:after="0"/>
              <w:rPr>
                <w:sz w:val="24"/>
                <w:szCs w:val="24"/>
                <w:color w:val="auto"/>
              </w:rPr>
            </w:pPr>
          </w:p>
        </w:tc>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October 26, 2022</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Mobileye Global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 Hotzvim, 13 Hartom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45157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Jerusalem 9777513, Israel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Re:</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Mobileye Global Inc.</w:t>
            </w:r>
          </w:p>
        </w:tc>
      </w:tr>
      <w:tr>
        <w:trPr>
          <w:trHeight w:val="194"/>
        </w:trPr>
        <w:tc>
          <w:tcPr>
            <w:tcW w:w="2280" w:type="dxa"/>
            <w:vAlign w:val="bottom"/>
          </w:tcPr>
          <w:p>
            <w:pPr>
              <w:spacing w:after="0"/>
              <w:rPr>
                <w:sz w:val="16"/>
                <w:szCs w:val="16"/>
                <w:color w:val="auto"/>
              </w:rPr>
            </w:pPr>
          </w:p>
        </w:tc>
        <w:tc>
          <w:tcPr>
            <w:tcW w:w="26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Registration Statement on Form S-8</w:t>
            </w:r>
          </w:p>
        </w:tc>
      </w:tr>
      <w:tr>
        <w:trPr>
          <w:trHeight w:val="45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Ladies and Gentlemen:</w:t>
            </w:r>
          </w:p>
        </w:tc>
        <w:tc>
          <w:tcPr>
            <w:tcW w:w="2600" w:type="dxa"/>
            <w:vAlign w:val="bottom"/>
          </w:tcPr>
          <w:p>
            <w:pPr>
              <w:spacing w:after="0"/>
              <w:rPr>
                <w:sz w:val="24"/>
                <w:szCs w:val="24"/>
                <w:color w:val="auto"/>
              </w:rPr>
            </w:pPr>
          </w:p>
        </w:tc>
      </w:tr>
    </w:tbl>
    <w:p>
      <w:pPr>
        <w:spacing w:after="0" w:line="198"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We have acted as special United States counsel to Mobileye Global Inc., a Delaware corporation (the “Company”), in connection with the registration statement on Form S-8 (the “Registration Statement”) to be filed on the date hereof by the Company with the Securities and Exchange Commission (the “Commission”) under the Securities Act of 1933 (the “Securities Act”). The Registration Statement relates to the registration by the Company of up to 40,095,595 shares (the “Shares”) of the Company’s Class A common stock, par value $0.01 per share (the “Common Stock”), issuable pursuant to the Mobileye Global Inc. 2022 Equity Incentive Plan (the “Plan”).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opinion is being furnished in accordance with the requirements of Item 601(b)(5) of Regulation S-K under the Securities Act.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rendering the opinion stated herein, we have examined and relied upon the following: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Registration Statement;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Mobileye Global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26,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right="560" w:firstLine="1296"/>
        <w:spacing w:after="0" w:line="282" w:lineRule="auto"/>
        <w:rPr>
          <w:sz w:val="20"/>
          <w:szCs w:val="20"/>
          <w:color w:val="auto"/>
        </w:rPr>
      </w:pPr>
      <w:r>
        <w:rPr>
          <w:rFonts w:ascii="Times New Roman" w:cs="Times New Roman" w:eastAsia="Times New Roman" w:hAnsi="Times New Roman"/>
          <w:sz w:val="18"/>
          <w:szCs w:val="18"/>
          <w:color w:val="auto"/>
        </w:rPr>
        <w:t>(c)         an executed copy of a certificate, dated the date hereof, of Liz Cohen-Yerushalmi, Chief Legal Officer, General Counsel and Secretary of the Company (the “Secretary’s Certificate”);</w:t>
      </w:r>
    </w:p>
    <w:p>
      <w:pPr>
        <w:spacing w:after="0" w:line="162" w:lineRule="exact"/>
        <w:rPr>
          <w:sz w:val="20"/>
          <w:szCs w:val="20"/>
          <w:color w:val="auto"/>
        </w:rPr>
      </w:pPr>
    </w:p>
    <w:p>
      <w:pPr>
        <w:jc w:val="both"/>
        <w:ind w:right="140" w:firstLine="1296"/>
        <w:spacing w:after="0" w:line="266" w:lineRule="auto"/>
        <w:rPr>
          <w:sz w:val="20"/>
          <w:szCs w:val="20"/>
          <w:color w:val="auto"/>
        </w:rPr>
      </w:pPr>
      <w:r>
        <w:rPr>
          <w:rFonts w:ascii="Times New Roman" w:cs="Times New Roman" w:eastAsia="Times New Roman" w:hAnsi="Times New Roman"/>
          <w:sz w:val="18"/>
          <w:szCs w:val="18"/>
          <w:color w:val="auto"/>
        </w:rPr>
        <w:t>(d)         copies of the Company’s (i) Certificate of Incorporation, as amended, as in effect through October 25, 2022 and certified pursuant to the Secretary’s Certificate and (ii) Amended and Restated Certificate of Incorporation, as in effect from October 25, 2022, certified by the Secretary of State of the State of Delaware as of October 25, 2022 (the “Current Charter”), and certified pursuant to the Secretary’s Certificate;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a copy of the Company’s (i) Bylaws as in effect through October 25, 2022 and certified pursuant to the Secretary’s Certificate and</w:t>
      </w:r>
    </w:p>
    <w:p>
      <w:pPr>
        <w:spacing w:after="0" w:line="39" w:lineRule="exact"/>
        <w:rPr>
          <w:sz w:val="20"/>
          <w:szCs w:val="20"/>
          <w:color w:val="auto"/>
        </w:rPr>
      </w:pPr>
    </w:p>
    <w:p>
      <w:pPr>
        <w:ind w:right="320" w:firstLine="8"/>
        <w:spacing w:after="0" w:line="260"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Bylaws as in effect from October 25, 2022 and certified pursuant to the Secretary’s Certificate and as in effect as of the date hereof (the “Current Bylaws”), and certified pursuant to the Secretary’s Certificate;</w:t>
      </w:r>
    </w:p>
    <w:p>
      <w:pPr>
        <w:spacing w:after="0" w:line="181" w:lineRule="exact"/>
        <w:rPr>
          <w:sz w:val="20"/>
          <w:szCs w:val="20"/>
          <w:color w:val="auto"/>
        </w:rPr>
      </w:pPr>
    </w:p>
    <w:p>
      <w:pPr>
        <w:ind w:right="220" w:firstLine="1296"/>
        <w:spacing w:after="0" w:line="282" w:lineRule="auto"/>
        <w:rPr>
          <w:sz w:val="20"/>
          <w:szCs w:val="20"/>
          <w:color w:val="auto"/>
        </w:rPr>
      </w:pPr>
      <w:r>
        <w:rPr>
          <w:rFonts w:ascii="Times New Roman" w:cs="Times New Roman" w:eastAsia="Times New Roman" w:hAnsi="Times New Roman"/>
          <w:sz w:val="18"/>
          <w:szCs w:val="18"/>
          <w:color w:val="auto"/>
        </w:rPr>
        <w:t>(f)          a copy of certain resolutions of the Board of Directors of the Company, adopted on September 30, 2022, certified pursuant to the Secretary’s Certificate;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the forms of award agreements under the Plan.</w:t>
      </w:r>
    </w:p>
    <w:p>
      <w:pPr>
        <w:spacing w:after="0" w:line="225"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 including the facts and conclusions set forth in the Secretary’s Certificate.</w:t>
      </w:r>
    </w:p>
    <w:p>
      <w:pPr>
        <w:spacing w:after="0" w:line="180" w:lineRule="exact"/>
        <w:rPr>
          <w:sz w:val="20"/>
          <w:szCs w:val="20"/>
          <w:color w:val="auto"/>
        </w:rPr>
      </w:pPr>
    </w:p>
    <w:p>
      <w:pPr>
        <w:ind w:right="120" w:firstLine="1296"/>
        <w:spacing w:after="0" w:line="258"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 stated herein that we did not independently establish or verify, we have relied upon statements and representations of officers and other representatives of the Company and others and of public officials, including the facts and conclusions set forth in the Secretary's Certificate.</w:t>
      </w:r>
    </w:p>
    <w:p>
      <w:pPr>
        <w:spacing w:after="0" w:line="183"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In rendering the opinion stated herein, we have also assumed that (i) an appropriate account statement evidencing Shares credited to an eligible individual’s account maintained with the Company’s transfer agent has been or will be issued by the Company’s transfer agent, (ii) the issuance of Shares will be properly recorded in the books and records of the Company, (iii) each award agreement under which stock options, stock appreciation rights, restricted stock, restricted stock units and other stock-based awards or cash-based awards are granted pursuant to the Plan will be consistent with the Plan and the applicable form of award agreement and will be duly authorized, executed and delivered by the parties thereto, and (iv) the consideration received by the Company for each of the Shares delivered pursuant to the Plan shall not be less than the per share par value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Mobileye Global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26,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ind w:right="600" w:firstLine="1296"/>
        <w:spacing w:after="0" w:line="282" w:lineRule="auto"/>
        <w:rPr>
          <w:sz w:val="20"/>
          <w:szCs w:val="20"/>
          <w:color w:val="auto"/>
        </w:rPr>
      </w:pPr>
      <w:r>
        <w:rPr>
          <w:rFonts w:ascii="Times New Roman" w:cs="Times New Roman" w:eastAsia="Times New Roman" w:hAnsi="Times New Roman"/>
          <w:sz w:val="18"/>
          <w:szCs w:val="18"/>
          <w:color w:val="auto"/>
        </w:rPr>
        <w:t>We do not express any opinion with respect to the laws of any jurisdiction other than the General Corporation Law of the State of Delaware (the “DGCL”).</w:t>
      </w:r>
    </w:p>
    <w:p>
      <w:pPr>
        <w:spacing w:after="0" w:line="162"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and assumptions stated herein, we are of the opinion that the Shares have been duly authorized by all requisite corporate action on the part of the Company under the DGCL and when the Shares are issued to the eligible individuals in accordance with the terms and conditions of the Plan and the applicable award agreement, the Shares will be validly issued, fully paid and nonassessable.</w:t>
      </w:r>
    </w:p>
    <w:p>
      <w:pPr>
        <w:spacing w:after="0" w:line="176"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auto"/>
        </w:rPr>
        <w:t>In addition, in rendering the foregoing opinion we have assumed that the issuance of the Shares does not and will not constitute a violation of, or a default under, any lease, indenture, agreement or other instrument to which the Company or its property is subject (except that we do not make this assumption with respect to the Current Charter or Current Bylaws).</w:t>
      </w:r>
    </w:p>
    <w:p>
      <w:pPr>
        <w:spacing w:after="0" w:line="176"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We hereby consent to the reference to our firm under the heading “Legal Matters” in the prospectus forming part of the Registration Statement. We also hereby consent to the filing of this opinion with the Commission as an exhibit to the Registration Statement. In giving this consent, we do not thereby admit that we are within the category of persons whose consent is required under Section 7 of the Securities Act or the General Rules and Regulations of the Commission promulgated under the Securities Act. This opinion is expressed as of the date hereof unless otherwise expressly stated, and we disclaim any undertaking to advise you of any subsequent changes in the facts stated or assumed herein or of any subsequent changes in applicable laws.</w:t>
      </w:r>
    </w:p>
    <w:p>
      <w:pPr>
        <w:spacing w:after="0" w:line="18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Skadden, Arps, Slate Meagher &amp; Flom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Mobileye Global Inc. of our report dated March 2, 2022 relating to the financial statements of Mobileye Group (a business of Intel Corporation), which appears in the Registration Statement on Form S-1 (File No. 333-267685).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Kesselman &amp; Kesselman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firm of PricewaterhouseCoopers International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Type</w:t>
            </w:r>
          </w:p>
        </w:tc>
        <w:tc>
          <w:tcPr>
            <w:tcW w:w="220" w:type="dxa"/>
            <w:vAlign w:val="bottom"/>
          </w:tcPr>
          <w:p>
            <w:pPr>
              <w:spacing w:after="0"/>
              <w:rPr>
                <w:sz w:val="20"/>
                <w:szCs w:val="20"/>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Security Class Title</w:t>
            </w:r>
          </w:p>
        </w:tc>
        <w:tc>
          <w:tcPr>
            <w:tcW w:w="0" w:type="dxa"/>
            <w:vAlign w:val="bottom"/>
          </w:tcPr>
          <w:p>
            <w:pPr>
              <w:spacing w:after="0"/>
              <w:rPr>
                <w:sz w:val="1"/>
                <w:szCs w:val="1"/>
                <w:color w:val="auto"/>
              </w:rPr>
            </w:pPr>
          </w:p>
        </w:tc>
      </w:tr>
      <w:tr>
        <w:trPr>
          <w:trHeight w:val="191"/>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Equity</w:t>
            </w:r>
          </w:p>
        </w:tc>
        <w:tc>
          <w:tcPr>
            <w:tcW w:w="19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98"/>
              </w:rPr>
              <w:t>Class A common stock,</w:t>
            </w:r>
          </w:p>
        </w:tc>
        <w:tc>
          <w:tcPr>
            <w:tcW w:w="0" w:type="dxa"/>
            <w:vAlign w:val="bottom"/>
          </w:tcPr>
          <w:p>
            <w:pPr>
              <w:spacing w:after="0"/>
              <w:rPr>
                <w:sz w:val="1"/>
                <w:szCs w:val="1"/>
                <w:color w:val="auto"/>
              </w:rPr>
            </w:pPr>
          </w:p>
        </w:tc>
      </w:tr>
      <w:tr>
        <w:trPr>
          <w:trHeight w:val="126"/>
        </w:trPr>
        <w:tc>
          <w:tcPr>
            <w:tcW w:w="1140" w:type="dxa"/>
            <w:vAlign w:val="bottom"/>
            <w:gridSpan w:val="2"/>
            <w:vMerge w:val="continue"/>
          </w:tcPr>
          <w:p>
            <w:pPr>
              <w:spacing w:after="0"/>
              <w:rPr>
                <w:sz w:val="10"/>
                <w:szCs w:val="10"/>
                <w:color w:val="auto"/>
              </w:rPr>
            </w:pPr>
          </w:p>
        </w:tc>
        <w:tc>
          <w:tcPr>
            <w:tcW w:w="19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9"/>
              </w:rPr>
              <w:t>par value $0.01 per share</w:t>
            </w: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right="1200"/>
        <w:spacing w:after="0" w:line="255" w:lineRule="auto"/>
        <w:rPr>
          <w:sz w:val="20"/>
          <w:szCs w:val="20"/>
          <w:color w:val="auto"/>
        </w:rPr>
      </w:pPr>
      <w:r>
        <w:rPr>
          <w:rFonts w:ascii="Times New Roman" w:cs="Times New Roman" w:eastAsia="Times New Roman" w:hAnsi="Times New Roman"/>
          <w:sz w:val="18"/>
          <w:szCs w:val="18"/>
          <w:b w:val="1"/>
          <w:bCs w:val="1"/>
          <w:color w:val="auto"/>
        </w:rPr>
        <w:t>Total Offering Amounts Total Fee Offsets Net Fee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7830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Exhibit 107</w:t>
            </w:r>
          </w:p>
        </w:tc>
      </w:tr>
      <w:tr>
        <w:trPr>
          <w:trHeight w:val="43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gridSpan w:val="6"/>
          </w:tcPr>
          <w:p>
            <w:pPr>
              <w:jc w:val="center"/>
              <w:ind w:right="540"/>
              <w:spacing w:after="0"/>
              <w:rPr>
                <w:sz w:val="20"/>
                <w:szCs w:val="20"/>
                <w:color w:val="auto"/>
              </w:rPr>
            </w:pPr>
            <w:r>
              <w:rPr>
                <w:rFonts w:ascii="Times New Roman" w:cs="Times New Roman" w:eastAsia="Times New Roman" w:hAnsi="Times New Roman"/>
                <w:sz w:val="18"/>
                <w:szCs w:val="18"/>
                <w:color w:val="auto"/>
                <w:w w:val="99"/>
              </w:rPr>
              <w:t>Calculation of Filing Fee Tables</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auto"/>
                <w:w w:val="99"/>
              </w:rPr>
              <w:t>Form S-8</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gridSpan w:val="6"/>
          </w:tcPr>
          <w:p>
            <w:pPr>
              <w:jc w:val="center"/>
              <w:ind w:right="520"/>
              <w:spacing w:after="0"/>
              <w:rPr>
                <w:sz w:val="20"/>
                <w:szCs w:val="20"/>
                <w:color w:val="auto"/>
              </w:rPr>
            </w:pPr>
            <w:r>
              <w:rPr>
                <w:rFonts w:ascii="Times New Roman" w:cs="Times New Roman" w:eastAsia="Times New Roman" w:hAnsi="Times New Roman"/>
                <w:sz w:val="18"/>
                <w:szCs w:val="18"/>
                <w:color w:val="auto"/>
                <w:w w:val="99"/>
              </w:rPr>
              <w:t>Mobileye Global Inc.</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Fee</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16"/>
        </w:trPr>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Offering Price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Registration</w:t>
            </w:r>
          </w:p>
        </w:tc>
      </w:tr>
      <w:tr>
        <w:trPr>
          <w:trHeight w:val="270"/>
        </w:trPr>
        <w:tc>
          <w:tcPr>
            <w:tcW w:w="92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8"/>
              </w:rPr>
              <w:t>Rule</w:t>
            </w:r>
            <w:r>
              <w:rPr>
                <w:rFonts w:ascii="Times New Roman" w:cs="Times New Roman" w:eastAsia="Times New Roman" w:hAnsi="Times New Roman"/>
                <w:sz w:val="29"/>
                <w:szCs w:val="29"/>
                <w:color w:val="auto"/>
                <w:w w:val="88"/>
                <w:vertAlign w:val="superscript"/>
              </w:rPr>
              <w:t>(3)</w:t>
            </w:r>
          </w:p>
        </w:tc>
        <w:tc>
          <w:tcPr>
            <w:tcW w:w="220" w:type="dxa"/>
            <w:vAlign w:val="bottom"/>
          </w:tcPr>
          <w:p>
            <w:pPr>
              <w:spacing w:after="0"/>
              <w:rPr>
                <w:sz w:val="23"/>
                <w:szCs w:val="23"/>
                <w:color w:val="auto"/>
              </w:rPr>
            </w:pPr>
          </w:p>
        </w:tc>
        <w:tc>
          <w:tcPr>
            <w:tcW w:w="114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3"/>
              </w:rPr>
              <w:t>Registered</w:t>
            </w:r>
            <w:r>
              <w:rPr>
                <w:rFonts w:ascii="Times New Roman" w:cs="Times New Roman" w:eastAsia="Times New Roman" w:hAnsi="Times New Roman"/>
                <w:sz w:val="29"/>
                <w:szCs w:val="29"/>
                <w:color w:val="auto"/>
                <w:w w:val="93"/>
                <w:vertAlign w:val="superscript"/>
              </w:rPr>
              <w:t>(1)</w:t>
            </w: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center"/>
              <w:ind w:right="70"/>
              <w:spacing w:after="0" w:line="270" w:lineRule="exact"/>
              <w:rPr>
                <w:sz w:val="20"/>
                <w:szCs w:val="20"/>
                <w:color w:val="auto"/>
              </w:rPr>
            </w:pPr>
            <w:r>
              <w:rPr>
                <w:rFonts w:ascii="Times New Roman" w:cs="Times New Roman" w:eastAsia="Times New Roman" w:hAnsi="Times New Roman"/>
                <w:sz w:val="18"/>
                <w:szCs w:val="18"/>
                <w:b w:val="1"/>
                <w:bCs w:val="1"/>
                <w:color w:val="auto"/>
                <w:w w:val="92"/>
              </w:rPr>
              <w:t>Per Share</w:t>
            </w:r>
            <w:r>
              <w:rPr>
                <w:rFonts w:ascii="Times New Roman" w:cs="Times New Roman" w:eastAsia="Times New Roman" w:hAnsi="Times New Roman"/>
                <w:sz w:val="29"/>
                <w:szCs w:val="29"/>
                <w:color w:val="auto"/>
                <w:w w:val="92"/>
                <w:vertAlign w:val="superscript"/>
              </w:rPr>
              <w:t>(3)</w:t>
            </w:r>
          </w:p>
        </w:tc>
        <w:tc>
          <w:tcPr>
            <w:tcW w:w="220" w:type="dxa"/>
            <w:vAlign w:val="bottom"/>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200" w:type="dxa"/>
            <w:vAlign w:val="bottom"/>
          </w:tcPr>
          <w:p>
            <w:pPr>
              <w:spacing w:after="0"/>
              <w:rPr>
                <w:sz w:val="23"/>
                <w:szCs w:val="23"/>
                <w:color w:val="auto"/>
              </w:rPr>
            </w:pPr>
          </w:p>
        </w:tc>
        <w:tc>
          <w:tcPr>
            <w:tcW w:w="1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3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13"/>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Fee</w:t>
            </w:r>
            <w:r>
              <w:rPr>
                <w:rFonts w:ascii="Times New Roman" w:cs="Times New Roman" w:eastAsia="Times New Roman" w:hAnsi="Times New Roman"/>
                <w:sz w:val="14"/>
                <w:szCs w:val="14"/>
                <w:color w:val="auto"/>
              </w:rPr>
              <w:t>(4)</w:t>
            </w:r>
          </w:p>
        </w:tc>
        <w:tc>
          <w:tcPr>
            <w:tcW w:w="100" w:type="dxa"/>
            <w:vAlign w:val="bottom"/>
          </w:tcPr>
          <w:p>
            <w:pPr>
              <w:spacing w:after="0"/>
              <w:rPr>
                <w:sz w:val="23"/>
                <w:szCs w:val="23"/>
                <w:color w:val="auto"/>
              </w:rPr>
            </w:pPr>
          </w:p>
        </w:tc>
      </w:tr>
      <w:tr>
        <w:trPr>
          <w:trHeight w:val="407"/>
        </w:trPr>
        <w:tc>
          <w:tcPr>
            <w:tcW w:w="1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457(h)</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40,095,595</w:t>
            </w:r>
            <w:r>
              <w:rPr>
                <w:rFonts w:ascii="Times New Roman" w:cs="Times New Roman" w:eastAsia="Times New Roman" w:hAnsi="Times New Roman"/>
                <w:sz w:val="29"/>
                <w:szCs w:val="29"/>
                <w:color w:val="auto"/>
                <w:vertAlign w:val="superscript"/>
              </w:rPr>
              <w:t>(2)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21.00</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$ 842,007,495.00</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0.0001102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92,789.23</w:t>
            </w: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$ 842,007,495.00</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92,789.23</w:t>
            </w: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92,789.23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-693420</wp:posOffset>
            </wp:positionV>
            <wp:extent cx="7132320" cy="282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-273685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3060" w:space="220"/>
            <w:col w:w="7960"/>
          </w:cols>
          <w:pgMar w:left="320" w:top="360" w:right="339" w:bottom="1440" w:gutter="0" w:footer="0" w:header="0"/>
        </w:sectPr>
      </w:pPr>
    </w:p>
    <w:p>
      <w:pPr>
        <w:spacing w:after="0" w:line="40" w:lineRule="exact"/>
        <w:rPr>
          <w:sz w:val="20"/>
          <w:szCs w:val="20"/>
          <w:color w:val="auto"/>
        </w:rPr>
      </w:pPr>
    </w:p>
    <w:p>
      <w:pPr>
        <w:ind w:left="340" w:right="18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this Registration Statement on Form S-8 also covers an indeterminate number of additional shares of Class A common stock of Mobileye Global Inc. (the "Registrant") that may be offered and issued under the Mobileye Global Inc. 2022 Equity Incentive Plan (the "Plan") to prevent dilution resulting from stock splits, stock distributions or similar transactions.</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Class A common stock reserved for future issuance under the Plan.</w:t>
      </w:r>
    </w:p>
    <w:p>
      <w:pPr>
        <w:spacing w:after="0" w:line="225"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457(h) solely for the purpose of calculating the registration fee on the basis of the initial public offering price of $21.00 per share of Class A common stock pursuant to the Registrant's Registration Statement on Form S-1 (File No. 333-267685) declared effective on October 25, 2022.</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decimal"/>
      <w:start w:val="4"/>
    </w:lvl>
  </w:abstractNum>
  <w:abstractNum w:abstractNumId="3">
    <w:nsid w:val="507ED7A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
    <w:nsid w:val="2EB141F2"/>
    <w:multiLevelType w:val="hybridMultilevel"/>
    <w:lvl w:ilvl="0">
      <w:lvlJc w:val="left"/>
      <w:lvlText w:val="%1"/>
      <w:numFmt w:val="decimal"/>
      <w:start w:val="1"/>
    </w:lvl>
    <w:lvl w:ilvl="1">
      <w:lvlJc w:val="left"/>
      <w:lvlText w:val="(%2)"/>
      <w:numFmt w:val="lowerLetter"/>
      <w:start w:val="2"/>
    </w:lvl>
  </w:abstractNum>
  <w:abstractNum w:abstractNumId="5">
    <w:nsid w:val="41B71EFB"/>
    <w:multiLevelType w:val="hybridMultilevel"/>
    <w:lvl w:ilvl="0">
      <w:lvlJc w:val="left"/>
      <w:lvlText w:val="%1."/>
      <w:numFmt w:val="decimal"/>
      <w:start w:val="2"/>
    </w:lvl>
    <w:lvl w:ilvl="1">
      <w:lvlJc w:val="left"/>
      <w:lvlText w:val="%2"/>
      <w:numFmt w:val="lowerLetter"/>
      <w:start w:val="1"/>
    </w:lvl>
  </w:abstractNum>
  <w:abstractNum w:abstractNumId="6">
    <w:nsid w:val="79E2A9E3"/>
    <w:multiLevelType w:val="hybridMultilevel"/>
    <w:lvl w:ilvl="0">
      <w:lvlJc w:val="left"/>
      <w:lvlText w:val="(%1)"/>
      <w:numFmt w:val="lowerRoman"/>
      <w:start w:val="2"/>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19" Type="http://schemas.openxmlformats.org/officeDocument/2006/relationships/hyperlink" Target="https://www.sec.gov/Archives/edgar/data/1910139/000110465922104640/tm227410-15_s1.htm" TargetMode="External"/><Relationship Id="rId20" Type="http://schemas.openxmlformats.org/officeDocument/2006/relationships/hyperlink" Target="https://www.sec.gov/Archives/edgar/data/1910139/000110465922111295/tm227410d22_8a12b.htm" TargetMode="External"/><Relationship Id="rId23" Type="http://schemas.openxmlformats.org/officeDocument/2006/relationships/hyperlink" Target="https://www.sec.gov/Archives/edgar/data/1910139/000110465922104640/tm227410d16_ex10-9.htm" TargetMode="External"/><Relationship Id="rId24" Type="http://schemas.openxmlformats.org/officeDocument/2006/relationships/hyperlink" Target="https://www.sec.gov/Archives/edgar/data/1910139/000110465922104640/tm227410d16_ex10-10.htm" TargetMode="External"/><Relationship Id="rId25" Type="http://schemas.openxmlformats.org/officeDocument/2006/relationships/hyperlink" Target="https://www.sec.gov/Archives/edgar/data/1910139/000110465922104640/tm227410d16_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2022-10-26T06:54:56Z</dcterms:created>
  <dcterms:modified xsi:type="dcterms:W3CDTF">2022-10-26T06:54:56Z</dcterms:modified>
</cp:coreProperties>
</file>