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McCaskill Claire C.</w:t>
              </w:r>
            </w:hyperlink>
          </w:p>
        </w:tc>
        <w:tc>
          <w:tcPr>
            <w:tcW w:w="108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right="2060"/>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9,523</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33% of the RSUs vest and convert into common stock on the first anniversary of the grant</w:t>
      </w:r>
    </w:p>
    <w:p>
      <w:pPr>
        <w:spacing w:after="0" w:line="8" w:lineRule="exact"/>
        <w:rPr>
          <w:rFonts w:ascii="Times New Roman" w:cs="Times New Roman" w:eastAsia="Times New Roman" w:hAnsi="Times New Roman"/>
          <w:sz w:val="15"/>
          <w:szCs w:val="15"/>
          <w:color w:val="008000"/>
        </w:rPr>
      </w:pPr>
    </w:p>
    <w:p>
      <w:pPr>
        <w:ind w:left="40" w:right="6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date (which grant date is October 26, 2022), (b) 33% of the RSUs vest and convert into common stock on the second anniversary of the grant date and (c) 34% of the RSUs vest and convert into common stock on the third anniversary of the grant date. If a vesting date falls on a non-business date, the next business date shall apply.</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29,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Claire McCaskill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Claire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7557"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2022-10-26T20:04:38Z</dcterms:created>
  <dcterms:modified xsi:type="dcterms:W3CDTF">2022-10-26T20:04:38Z</dcterms:modified>
</cp:coreProperties>
</file>