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June 20,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Mobileye Global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the Registrant as Specified in Charter)</w:t>
      </w:r>
    </w:p>
    <w:p>
      <w:pPr>
        <w:sectPr>
          <w:pgSz w:w="11900" w:h="16838" w:orient="portrait"/>
          <w:cols w:equalWidth="0" w:num="1">
            <w:col w:w="11240"/>
          </w:cols>
          <w:pgMar w:left="320" w:top="769"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001-41541</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88-0666433</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380" w:space="720"/>
            <w:col w:w="2920" w:space="720"/>
            <w:col w:w="2500"/>
          </w:cols>
          <w:pgMar w:left="320" w:top="769" w:right="339" w:bottom="1440" w:gutter="0" w:footer="0" w:header="0"/>
          <w:type w:val="continuous"/>
        </w:sectPr>
      </w:pPr>
    </w:p>
    <w:p>
      <w:pPr>
        <w:spacing w:after="0" w:line="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c/o Mobileye B.V.</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Har Hotzvim, 13 Hartom Street</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P.O. Box 45157</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Jerusalem 9777513, Israel</w:t>
      </w:r>
    </w:p>
    <w:p>
      <w:pPr>
        <w:spacing w:after="0" w:line="9"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9777513</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6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310" w:type="dxa"/>
        <w:tblCellMar>
          <w:top w:w="0" w:type="dxa"/>
          <w:left w:w="0" w:type="dxa"/>
          <w:bottom w:w="0" w:type="dxa"/>
          <w:right w:w="0" w:type="dxa"/>
        </w:tblCellMar>
      </w:tblPr>
      <w:tr>
        <w:trPr>
          <w:trHeight w:val="219"/>
        </w:trPr>
        <w:tc>
          <w:tcPr>
            <w:tcW w:w="4480" w:type="dxa"/>
            <w:vAlign w:val="bottom"/>
            <w:tcBorders>
              <w:top w:val="single" w:sz="8" w:color="auto"/>
              <w:left w:val="single" w:sz="8" w:color="auto"/>
              <w:right w:val="single" w:sz="8" w:color="auto"/>
            </w:tcBorders>
          </w:tcPr>
          <w:p>
            <w:pPr>
              <w:spacing w:after="0"/>
              <w:rPr>
                <w:sz w:val="19"/>
                <w:szCs w:val="19"/>
                <w:color w:val="auto"/>
              </w:rPr>
            </w:pPr>
          </w:p>
        </w:tc>
        <w:tc>
          <w:tcPr>
            <w:tcW w:w="2140" w:type="dxa"/>
            <w:vAlign w:val="bottom"/>
            <w:tcBorders>
              <w:top w:val="single" w:sz="8" w:color="auto"/>
              <w:right w:val="single" w:sz="8" w:color="auto"/>
            </w:tcBorders>
          </w:tcPr>
          <w:p>
            <w:pPr>
              <w:spacing w:after="0"/>
              <w:rPr>
                <w:sz w:val="19"/>
                <w:szCs w:val="19"/>
                <w:color w:val="auto"/>
              </w:rPr>
            </w:pP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exchange on which</w:t>
            </w:r>
          </w:p>
        </w:tc>
      </w:tr>
      <w:tr>
        <w:trPr>
          <w:trHeight w:val="234"/>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$0.01 par value</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MBLY</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On June 14, 2023, Mobileye Global Inc. (the “Company”) held its annual meeting of stockholders via virtual webcast (the “Annual Meeting”). At the Annual Meeting, the Company’s stockholders voted on four proposals, each of which is described in more detail in the Company's definitive proxy statement filed with the Securities and Exchange Commission on April 28, 2023 (the “Proxy Statement”). A total of 44,611,924 shares of the Company’s Class A common stock and 750,000,000 shares of the Company’s Class B common stock were present or represented by proxy at the Annual Meeting, representing 99.9% of the combined voting power of the shares of Class A common stock and Class B common stock (voting together as a class) outstanding as of the close of business on April 24, 2023, the record date for the determination of stockholders entitled to vote at the Annual Meeting. Holders of shares of the Company’s Class A common stock were entitled to one vote for each share held as of the close of business on the record date, and holders of shares of the Company’s Class B common stock were entitled to ten votes for each share held as of the record date.</w:t>
      </w:r>
    </w:p>
    <w:p>
      <w:pPr>
        <w:spacing w:after="0" w:line="16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are the voting results on the four proposals considered and voted upon at the Annual Meeting, all of which were described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1. Election of Directors – </w:t>
      </w:r>
      <w:r>
        <w:rPr>
          <w:rFonts w:ascii="Arial" w:cs="Arial" w:eastAsia="Arial" w:hAnsi="Arial"/>
          <w:sz w:val="18"/>
          <w:szCs w:val="18"/>
          <w:b w:val="1"/>
          <w:bCs w:val="1"/>
          <w:i w:val="1"/>
          <w:iCs w:val="1"/>
          <w:color w:val="auto"/>
        </w:rPr>
        <w:t>All Directors Re-Elected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color w:val="auto"/>
              </w:rPr>
              <w:t>Broker Non-</w:t>
            </w:r>
          </w:p>
        </w:tc>
      </w:tr>
      <w:tr>
        <w:trPr>
          <w:trHeight w:val="230"/>
        </w:trPr>
        <w:tc>
          <w:tcPr>
            <w:tcW w:w="2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Nominee</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For</w:t>
            </w:r>
          </w:p>
        </w:tc>
        <w:tc>
          <w:tcPr>
            <w:tcW w:w="34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rPr>
              <w:t>Withhold</w:t>
            </w:r>
          </w:p>
        </w:tc>
        <w:tc>
          <w:tcPr>
            <w:tcW w:w="32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Votes</w:t>
            </w:r>
          </w:p>
        </w:tc>
        <w:tc>
          <w:tcPr>
            <w:tcW w:w="100" w:type="dxa"/>
            <w:vAlign w:val="bottom"/>
          </w:tcPr>
          <w:p>
            <w:pPr>
              <w:spacing w:after="0"/>
              <w:rPr>
                <w:sz w:val="20"/>
                <w:szCs w:val="20"/>
                <w:color w:val="auto"/>
              </w:rPr>
            </w:pPr>
          </w:p>
        </w:tc>
      </w:tr>
      <w:tr>
        <w:trPr>
          <w:trHeight w:val="210"/>
        </w:trPr>
        <w:tc>
          <w:tcPr>
            <w:tcW w:w="2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Amnon Shashua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7,528,019,368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11,018,475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5,574,081</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5"/>
          </w:tcPr>
          <w:p>
            <w:pPr>
              <w:spacing w:after="0"/>
              <w:rPr>
                <w:sz w:val="20"/>
                <w:szCs w:val="20"/>
                <w:color w:val="auto"/>
              </w:rPr>
            </w:pPr>
            <w:r>
              <w:rPr>
                <w:rFonts w:ascii="Arial" w:cs="Arial" w:eastAsia="Arial" w:hAnsi="Arial"/>
                <w:sz w:val="18"/>
                <w:szCs w:val="18"/>
                <w:color w:val="auto"/>
              </w:rPr>
              <w:t>Patrick P. Gelsinger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5"/>
          </w:tcPr>
          <w:p>
            <w:pPr>
              <w:jc w:val="right"/>
              <w:spacing w:after="0"/>
              <w:rPr>
                <w:sz w:val="20"/>
                <w:szCs w:val="20"/>
                <w:color w:val="auto"/>
              </w:rPr>
            </w:pPr>
            <w:r>
              <w:rPr>
                <w:rFonts w:ascii="Arial" w:cs="Arial" w:eastAsia="Arial" w:hAnsi="Arial"/>
                <w:sz w:val="18"/>
                <w:szCs w:val="18"/>
                <w:color w:val="auto"/>
              </w:rPr>
              <w:t>7,528,977,112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8"/>
                <w:szCs w:val="18"/>
                <w:color w:val="auto"/>
              </w:rPr>
              <w:t>10,060,731</w:t>
            </w:r>
          </w:p>
        </w:tc>
        <w:tc>
          <w:tcPr>
            <w:tcW w:w="1260" w:type="dxa"/>
            <w:vAlign w:val="bottom"/>
          </w:tcPr>
          <w:p>
            <w:pPr>
              <w:jc w:val="right"/>
              <w:spacing w:after="0"/>
              <w:rPr>
                <w:sz w:val="20"/>
                <w:szCs w:val="20"/>
                <w:color w:val="auto"/>
              </w:rPr>
            </w:pPr>
            <w:r>
              <w:rPr>
                <w:rFonts w:ascii="Arial" w:cs="Arial" w:eastAsia="Arial" w:hAnsi="Arial"/>
                <w:sz w:val="18"/>
                <w:szCs w:val="18"/>
                <w:color w:val="auto"/>
              </w:rPr>
              <w:t>5,574,081</w:t>
            </w:r>
          </w:p>
        </w:tc>
        <w:tc>
          <w:tcPr>
            <w:tcW w:w="100" w:type="dxa"/>
            <w:vAlign w:val="bottom"/>
          </w:tcPr>
          <w:p>
            <w:pPr>
              <w:spacing w:after="0"/>
              <w:rPr>
                <w:sz w:val="18"/>
                <w:szCs w:val="18"/>
                <w:color w:val="auto"/>
              </w:rPr>
            </w:pPr>
          </w:p>
        </w:tc>
      </w:tr>
      <w:tr>
        <w:trPr>
          <w:trHeight w:val="216"/>
        </w:trPr>
        <w:tc>
          <w:tcPr>
            <w:tcW w:w="2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Eyal Desheh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7,536,891,293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2,146,550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5,574,081</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5"/>
          </w:tcPr>
          <w:p>
            <w:pPr>
              <w:spacing w:after="0"/>
              <w:rPr>
                <w:sz w:val="20"/>
                <w:szCs w:val="20"/>
                <w:color w:val="auto"/>
              </w:rPr>
            </w:pPr>
            <w:r>
              <w:rPr>
                <w:rFonts w:ascii="Arial" w:cs="Arial" w:eastAsia="Arial" w:hAnsi="Arial"/>
                <w:sz w:val="18"/>
                <w:szCs w:val="18"/>
                <w:color w:val="auto"/>
              </w:rPr>
              <w:t>Jon M. Huntsman, Jr.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5"/>
          </w:tcPr>
          <w:p>
            <w:pPr>
              <w:jc w:val="right"/>
              <w:spacing w:after="0"/>
              <w:rPr>
                <w:sz w:val="20"/>
                <w:szCs w:val="20"/>
                <w:color w:val="auto"/>
              </w:rPr>
            </w:pPr>
            <w:r>
              <w:rPr>
                <w:rFonts w:ascii="Arial" w:cs="Arial" w:eastAsia="Arial" w:hAnsi="Arial"/>
                <w:sz w:val="18"/>
                <w:szCs w:val="18"/>
                <w:color w:val="auto"/>
              </w:rPr>
              <w:t>7,534,479,387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8"/>
                <w:szCs w:val="18"/>
                <w:color w:val="auto"/>
              </w:rPr>
              <w:t>4,558,456</w:t>
            </w:r>
          </w:p>
        </w:tc>
        <w:tc>
          <w:tcPr>
            <w:tcW w:w="1260" w:type="dxa"/>
            <w:vAlign w:val="bottom"/>
          </w:tcPr>
          <w:p>
            <w:pPr>
              <w:jc w:val="right"/>
              <w:spacing w:after="0"/>
              <w:rPr>
                <w:sz w:val="20"/>
                <w:szCs w:val="20"/>
                <w:color w:val="auto"/>
              </w:rPr>
            </w:pPr>
            <w:r>
              <w:rPr>
                <w:rFonts w:ascii="Arial" w:cs="Arial" w:eastAsia="Arial" w:hAnsi="Arial"/>
                <w:sz w:val="18"/>
                <w:szCs w:val="18"/>
                <w:color w:val="auto"/>
              </w:rPr>
              <w:t>5,574,081</w:t>
            </w:r>
          </w:p>
        </w:tc>
        <w:tc>
          <w:tcPr>
            <w:tcW w:w="100" w:type="dxa"/>
            <w:vAlign w:val="bottom"/>
          </w:tcPr>
          <w:p>
            <w:pPr>
              <w:spacing w:after="0"/>
              <w:rPr>
                <w:sz w:val="18"/>
                <w:szCs w:val="18"/>
                <w:color w:val="auto"/>
              </w:rPr>
            </w:pPr>
          </w:p>
        </w:tc>
      </w:tr>
      <w:tr>
        <w:trPr>
          <w:trHeight w:val="216"/>
        </w:trPr>
        <w:tc>
          <w:tcPr>
            <w:tcW w:w="2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Claire C. McCaskill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7,536,935,641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2,102,202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5,574,081</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5"/>
          </w:tcPr>
          <w:p>
            <w:pPr>
              <w:spacing w:after="0"/>
              <w:rPr>
                <w:sz w:val="20"/>
                <w:szCs w:val="20"/>
                <w:color w:val="auto"/>
              </w:rPr>
            </w:pPr>
            <w:r>
              <w:rPr>
                <w:rFonts w:ascii="Arial" w:cs="Arial" w:eastAsia="Arial" w:hAnsi="Arial"/>
                <w:sz w:val="18"/>
                <w:szCs w:val="18"/>
                <w:color w:val="auto"/>
              </w:rPr>
              <w:t>Christine Pambianchi</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5"/>
          </w:tcPr>
          <w:p>
            <w:pPr>
              <w:jc w:val="right"/>
              <w:spacing w:after="0"/>
              <w:rPr>
                <w:sz w:val="20"/>
                <w:szCs w:val="20"/>
                <w:color w:val="auto"/>
              </w:rPr>
            </w:pPr>
            <w:r>
              <w:rPr>
                <w:rFonts w:ascii="Arial" w:cs="Arial" w:eastAsia="Arial" w:hAnsi="Arial"/>
                <w:sz w:val="18"/>
                <w:szCs w:val="18"/>
                <w:color w:val="auto"/>
              </w:rPr>
              <w:t>7,525,602,309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8"/>
                <w:szCs w:val="18"/>
                <w:color w:val="auto"/>
              </w:rPr>
              <w:t>13,435,534</w:t>
            </w:r>
          </w:p>
        </w:tc>
        <w:tc>
          <w:tcPr>
            <w:tcW w:w="1260" w:type="dxa"/>
            <w:vAlign w:val="bottom"/>
          </w:tcPr>
          <w:p>
            <w:pPr>
              <w:jc w:val="right"/>
              <w:spacing w:after="0"/>
              <w:rPr>
                <w:sz w:val="20"/>
                <w:szCs w:val="20"/>
                <w:color w:val="auto"/>
              </w:rPr>
            </w:pPr>
            <w:r>
              <w:rPr>
                <w:rFonts w:ascii="Arial" w:cs="Arial" w:eastAsia="Arial" w:hAnsi="Arial"/>
                <w:sz w:val="18"/>
                <w:szCs w:val="18"/>
                <w:color w:val="auto"/>
              </w:rPr>
              <w:t>5,574,081</w:t>
            </w:r>
          </w:p>
        </w:tc>
        <w:tc>
          <w:tcPr>
            <w:tcW w:w="100" w:type="dxa"/>
            <w:vAlign w:val="bottom"/>
          </w:tcPr>
          <w:p>
            <w:pPr>
              <w:spacing w:after="0"/>
              <w:rPr>
                <w:sz w:val="18"/>
                <w:szCs w:val="18"/>
                <w:color w:val="auto"/>
              </w:rPr>
            </w:pPr>
          </w:p>
        </w:tc>
      </w:tr>
      <w:tr>
        <w:trPr>
          <w:trHeight w:val="216"/>
        </w:trPr>
        <w:tc>
          <w:tcPr>
            <w:tcW w:w="2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Frank D. Yeary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7,536,888,146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2,149,697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5,574,081</w:t>
            </w:r>
          </w:p>
        </w:tc>
        <w:tc>
          <w:tcPr>
            <w:tcW w:w="100" w:type="dxa"/>
            <w:vAlign w:val="bottom"/>
            <w:shd w:val="clear" w:color="auto" w:fill="CCEEFF"/>
          </w:tcPr>
          <w:p>
            <w:pPr>
              <w:spacing w:after="0"/>
              <w:rPr>
                <w:sz w:val="18"/>
                <w:szCs w:val="18"/>
                <w:color w:val="auto"/>
              </w:rPr>
            </w:pPr>
          </w:p>
        </w:tc>
      </w:tr>
      <w:tr>
        <w:trPr>
          <w:trHeight w:val="230"/>
        </w:trPr>
        <w:tc>
          <w:tcPr>
            <w:tcW w:w="2820" w:type="dxa"/>
            <w:vAlign w:val="bottom"/>
            <w:gridSpan w:val="5"/>
          </w:tcPr>
          <w:p>
            <w:pPr>
              <w:spacing w:after="0"/>
              <w:rPr>
                <w:sz w:val="20"/>
                <w:szCs w:val="20"/>
                <w:color w:val="auto"/>
              </w:rPr>
            </w:pPr>
            <w:r>
              <w:rPr>
                <w:rFonts w:ascii="Arial" w:cs="Arial" w:eastAsia="Arial" w:hAnsi="Arial"/>
                <w:sz w:val="18"/>
                <w:szCs w:val="18"/>
                <w:color w:val="auto"/>
              </w:rPr>
              <w:t>Saf Yeboah-Amankwah</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5"/>
          </w:tcPr>
          <w:p>
            <w:pPr>
              <w:jc w:val="right"/>
              <w:spacing w:after="0"/>
              <w:rPr>
                <w:sz w:val="20"/>
                <w:szCs w:val="20"/>
                <w:color w:val="auto"/>
              </w:rPr>
            </w:pPr>
            <w:r>
              <w:rPr>
                <w:rFonts w:ascii="Arial" w:cs="Arial" w:eastAsia="Arial" w:hAnsi="Arial"/>
                <w:sz w:val="18"/>
                <w:szCs w:val="18"/>
                <w:color w:val="auto"/>
              </w:rPr>
              <w:t>7,525,813,344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8"/>
                <w:szCs w:val="18"/>
                <w:color w:val="auto"/>
              </w:rPr>
              <w:t>13,224,499</w:t>
            </w:r>
          </w:p>
        </w:tc>
        <w:tc>
          <w:tcPr>
            <w:tcW w:w="1260" w:type="dxa"/>
            <w:vAlign w:val="bottom"/>
          </w:tcPr>
          <w:p>
            <w:pPr>
              <w:jc w:val="right"/>
              <w:spacing w:after="0"/>
              <w:rPr>
                <w:sz w:val="20"/>
                <w:szCs w:val="20"/>
                <w:color w:val="auto"/>
              </w:rPr>
            </w:pPr>
            <w:r>
              <w:rPr>
                <w:rFonts w:ascii="Arial" w:cs="Arial" w:eastAsia="Arial" w:hAnsi="Arial"/>
                <w:sz w:val="18"/>
                <w:szCs w:val="18"/>
                <w:color w:val="auto"/>
              </w:rPr>
              <w:t>5,574,081</w:t>
            </w:r>
          </w:p>
        </w:tc>
        <w:tc>
          <w:tcPr>
            <w:tcW w:w="100" w:type="dxa"/>
            <w:vAlign w:val="bottom"/>
          </w:tcPr>
          <w:p>
            <w:pPr>
              <w:spacing w:after="0"/>
              <w:rPr>
                <w:sz w:val="20"/>
                <w:szCs w:val="20"/>
                <w:color w:val="auto"/>
              </w:rPr>
            </w:pPr>
          </w:p>
        </w:tc>
      </w:tr>
      <w:tr>
        <w:trPr>
          <w:trHeight w:val="418"/>
        </w:trPr>
        <w:tc>
          <w:tcPr>
            <w:tcW w:w="8320" w:type="dxa"/>
            <w:vAlign w:val="bottom"/>
            <w:gridSpan w:val="21"/>
          </w:tcPr>
          <w:p>
            <w:pPr>
              <w:spacing w:after="0"/>
              <w:rPr>
                <w:sz w:val="20"/>
                <w:szCs w:val="20"/>
                <w:color w:val="auto"/>
              </w:rPr>
            </w:pPr>
            <w:r>
              <w:rPr>
                <w:rFonts w:ascii="Arial" w:cs="Arial" w:eastAsia="Arial" w:hAnsi="Arial"/>
                <w:sz w:val="18"/>
                <w:szCs w:val="18"/>
                <w:b w:val="1"/>
                <w:bCs w:val="1"/>
                <w:color w:val="auto"/>
                <w:w w:val="97"/>
              </w:rPr>
              <w:t xml:space="preserve">Proposal 2. Ratification of Selection of Independent Registered Public Accounting Firm – </w:t>
            </w:r>
            <w:r>
              <w:rPr>
                <w:rFonts w:ascii="Arial" w:cs="Arial" w:eastAsia="Arial" w:hAnsi="Arial"/>
                <w:sz w:val="18"/>
                <w:szCs w:val="18"/>
                <w:b w:val="1"/>
                <w:bCs w:val="1"/>
                <w:i w:val="1"/>
                <w:iCs w:val="1"/>
                <w:color w:val="auto"/>
                <w:w w:val="97"/>
              </w:rPr>
              <w:t>Approved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820" w:type="dxa"/>
            <w:vAlign w:val="bottom"/>
            <w:gridSpan w:val="5"/>
          </w:tcPr>
          <w:p>
            <w:pPr>
              <w:ind w:left="1120"/>
              <w:spacing w:after="0"/>
              <w:rPr>
                <w:sz w:val="20"/>
                <w:szCs w:val="20"/>
                <w:color w:val="auto"/>
              </w:rPr>
            </w:pPr>
            <w:r>
              <w:rPr>
                <w:rFonts w:ascii="Arial" w:cs="Arial" w:eastAsia="Arial" w:hAnsi="Arial"/>
                <w:sz w:val="18"/>
                <w:szCs w:val="18"/>
                <w:color w:val="auto"/>
              </w:rPr>
              <w:t>For</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gridSpan w:val="7"/>
          </w:tcPr>
          <w:p>
            <w:pPr>
              <w:jc w:val="right"/>
              <w:ind w:right="1660"/>
              <w:spacing w:after="0"/>
              <w:rPr>
                <w:sz w:val="20"/>
                <w:szCs w:val="20"/>
                <w:color w:val="auto"/>
              </w:rPr>
            </w:pPr>
            <w:r>
              <w:rPr>
                <w:rFonts w:ascii="Arial" w:cs="Arial" w:eastAsia="Arial" w:hAnsi="Arial"/>
                <w:sz w:val="18"/>
                <w:szCs w:val="18"/>
                <w:color w:val="auto"/>
              </w:rPr>
              <w:t>Against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5"/>
          </w:tcPr>
          <w:p>
            <w:pPr>
              <w:jc w:val="right"/>
              <w:ind w:right="1060"/>
              <w:spacing w:after="0"/>
              <w:rPr>
                <w:sz w:val="20"/>
                <w:szCs w:val="20"/>
                <w:color w:val="auto"/>
              </w:rPr>
            </w:pPr>
            <w:r>
              <w:rPr>
                <w:rFonts w:ascii="Arial" w:cs="Arial" w:eastAsia="Arial" w:hAnsi="Arial"/>
                <w:sz w:val="18"/>
                <w:szCs w:val="18"/>
                <w:color w:val="auto"/>
                <w:w w:val="99"/>
              </w:rPr>
              <w:t>Abstain</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ind w:left="300"/>
              <w:spacing w:after="0"/>
              <w:rPr>
                <w:sz w:val="20"/>
                <w:szCs w:val="20"/>
                <w:color w:val="auto"/>
              </w:rPr>
            </w:pPr>
            <w:r>
              <w:rPr>
                <w:rFonts w:ascii="Arial" w:cs="Arial" w:eastAsia="Arial" w:hAnsi="Arial"/>
                <w:sz w:val="18"/>
                <w:szCs w:val="18"/>
                <w:color w:val="auto"/>
              </w:rPr>
              <w:t>Broker Non-Votes</w:t>
            </w:r>
          </w:p>
        </w:tc>
      </w:tr>
      <w:tr>
        <w:trPr>
          <w:trHeight w:val="210"/>
        </w:trPr>
        <w:tc>
          <w:tcPr>
            <w:tcW w:w="2480" w:type="dxa"/>
            <w:vAlign w:val="bottom"/>
            <w:tcBorders>
              <w:top w:val="single" w:sz="8" w:color="auto"/>
            </w:tcBorders>
            <w:gridSpan w:val="3"/>
            <w:shd w:val="clear" w:color="auto" w:fill="CCEEFF"/>
          </w:tcPr>
          <w:p>
            <w:pPr>
              <w:ind w:left="1440"/>
              <w:spacing w:after="0"/>
              <w:rPr>
                <w:sz w:val="20"/>
                <w:szCs w:val="20"/>
                <w:color w:val="auto"/>
              </w:rPr>
            </w:pPr>
            <w:r>
              <w:rPr>
                <w:rFonts w:ascii="Arial" w:cs="Arial" w:eastAsia="Arial" w:hAnsi="Arial"/>
                <w:sz w:val="18"/>
                <w:szCs w:val="18"/>
                <w:color w:val="auto"/>
                <w:w w:val="88"/>
              </w:rPr>
              <w:t>7,544,548,921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15,090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47,913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040" w:type="dxa"/>
            <w:vAlign w:val="bottom"/>
            <w:gridSpan w:val="14"/>
          </w:tcPr>
          <w:p>
            <w:pPr>
              <w:spacing w:after="0"/>
              <w:rPr>
                <w:sz w:val="20"/>
                <w:szCs w:val="20"/>
                <w:color w:val="auto"/>
              </w:rPr>
            </w:pPr>
            <w:r>
              <w:rPr>
                <w:rFonts w:ascii="Arial" w:cs="Arial" w:eastAsia="Arial" w:hAnsi="Arial"/>
                <w:sz w:val="18"/>
                <w:szCs w:val="18"/>
                <w:b w:val="1"/>
                <w:bCs w:val="1"/>
                <w:color w:val="auto"/>
              </w:rPr>
              <w:t xml:space="preserve">Proposal 3. Advisory Vote to on Executive Compensation – </w:t>
            </w:r>
            <w:r>
              <w:rPr>
                <w:rFonts w:ascii="Arial" w:cs="Arial" w:eastAsia="Arial" w:hAnsi="Arial"/>
                <w:sz w:val="18"/>
                <w:szCs w:val="18"/>
                <w:b w:val="1"/>
                <w:bCs w:val="1"/>
                <w:i w:val="1"/>
                <w:iCs w:val="1"/>
                <w:color w:val="auto"/>
              </w:rPr>
              <w:t>Approved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820" w:type="dxa"/>
            <w:vAlign w:val="bottom"/>
            <w:gridSpan w:val="5"/>
          </w:tcPr>
          <w:p>
            <w:pPr>
              <w:ind w:left="1180"/>
              <w:spacing w:after="0"/>
              <w:rPr>
                <w:sz w:val="20"/>
                <w:szCs w:val="20"/>
                <w:color w:val="auto"/>
              </w:rPr>
            </w:pPr>
            <w:r>
              <w:rPr>
                <w:rFonts w:ascii="Arial" w:cs="Arial" w:eastAsia="Arial" w:hAnsi="Arial"/>
                <w:sz w:val="18"/>
                <w:szCs w:val="18"/>
                <w:color w:val="auto"/>
              </w:rPr>
              <w:t>For</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gridSpan w:val="7"/>
          </w:tcPr>
          <w:p>
            <w:pPr>
              <w:ind w:left="200"/>
              <w:spacing w:after="0"/>
              <w:rPr>
                <w:sz w:val="20"/>
                <w:szCs w:val="20"/>
                <w:color w:val="auto"/>
              </w:rPr>
            </w:pPr>
            <w:r>
              <w:rPr>
                <w:rFonts w:ascii="Arial" w:cs="Arial" w:eastAsia="Arial" w:hAnsi="Arial"/>
                <w:sz w:val="18"/>
                <w:szCs w:val="18"/>
                <w:color w:val="auto"/>
              </w:rPr>
              <w:t>Against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right"/>
              <w:ind w:right="960"/>
              <w:spacing w:after="0"/>
              <w:rPr>
                <w:sz w:val="20"/>
                <w:szCs w:val="20"/>
                <w:color w:val="auto"/>
              </w:rPr>
            </w:pPr>
            <w:r>
              <w:rPr>
                <w:rFonts w:ascii="Arial" w:cs="Arial" w:eastAsia="Arial" w:hAnsi="Arial"/>
                <w:sz w:val="18"/>
                <w:szCs w:val="18"/>
                <w:color w:val="auto"/>
                <w:w w:val="99"/>
              </w:rPr>
              <w:t>Abstain</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4"/>
          </w:tcPr>
          <w:p>
            <w:pPr>
              <w:ind w:left="20"/>
              <w:spacing w:after="0"/>
              <w:rPr>
                <w:sz w:val="20"/>
                <w:szCs w:val="20"/>
                <w:color w:val="auto"/>
              </w:rPr>
            </w:pPr>
            <w:r>
              <w:rPr>
                <w:rFonts w:ascii="Arial" w:cs="Arial" w:eastAsia="Arial" w:hAnsi="Arial"/>
                <w:sz w:val="18"/>
                <w:szCs w:val="18"/>
                <w:color w:val="auto"/>
              </w:rPr>
              <w:t>Broker Non-Votes</w:t>
            </w:r>
          </w:p>
        </w:tc>
      </w:tr>
      <w:tr>
        <w:trPr>
          <w:trHeight w:val="210"/>
        </w:trPr>
        <w:tc>
          <w:tcPr>
            <w:tcW w:w="2580" w:type="dxa"/>
            <w:vAlign w:val="bottom"/>
            <w:tcBorders>
              <w:top w:val="single" w:sz="8" w:color="auto"/>
            </w:tcBorders>
            <w:gridSpan w:val="4"/>
            <w:shd w:val="clear" w:color="auto" w:fill="CCEEFF"/>
          </w:tcPr>
          <w:p>
            <w:pPr>
              <w:ind w:left="1560"/>
              <w:spacing w:after="0"/>
              <w:rPr>
                <w:sz w:val="20"/>
                <w:szCs w:val="20"/>
                <w:color w:val="auto"/>
              </w:rPr>
            </w:pPr>
            <w:r>
              <w:rPr>
                <w:rFonts w:ascii="Arial" w:cs="Arial" w:eastAsia="Arial" w:hAnsi="Arial"/>
                <w:sz w:val="18"/>
                <w:szCs w:val="18"/>
                <w:color w:val="auto"/>
                <w:w w:val="86"/>
              </w:rPr>
              <w:t>7,513,744,108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25,252,896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80" w:type="dxa"/>
            <w:vAlign w:val="bottom"/>
            <w:tcBorders>
              <w:top w:val="single" w:sz="8" w:color="auto"/>
            </w:tcBorders>
            <w:gridSpan w:val="7"/>
            <w:shd w:val="clear" w:color="auto" w:fill="CCEEFF"/>
          </w:tcPr>
          <w:p>
            <w:pPr>
              <w:jc w:val="right"/>
              <w:spacing w:after="0"/>
              <w:rPr>
                <w:sz w:val="20"/>
                <w:szCs w:val="20"/>
                <w:color w:val="auto"/>
              </w:rPr>
            </w:pPr>
            <w:r>
              <w:rPr>
                <w:rFonts w:ascii="Arial" w:cs="Arial" w:eastAsia="Arial" w:hAnsi="Arial"/>
                <w:sz w:val="18"/>
                <w:szCs w:val="18"/>
                <w:color w:val="auto"/>
              </w:rPr>
              <w:t>40,839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5,574,081</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9880" w:type="dxa"/>
            <w:vAlign w:val="bottom"/>
            <w:gridSpan w:val="27"/>
          </w:tcPr>
          <w:p>
            <w:pPr>
              <w:spacing w:after="0"/>
              <w:rPr>
                <w:sz w:val="20"/>
                <w:szCs w:val="20"/>
                <w:color w:val="auto"/>
              </w:rPr>
            </w:pPr>
            <w:r>
              <w:rPr>
                <w:rFonts w:ascii="Arial" w:cs="Arial" w:eastAsia="Arial" w:hAnsi="Arial"/>
                <w:sz w:val="18"/>
                <w:szCs w:val="18"/>
                <w:b w:val="1"/>
                <w:bCs w:val="1"/>
                <w:color w:val="auto"/>
                <w:w w:val="90"/>
              </w:rPr>
              <w:t xml:space="preserve">Proposal 4. Advisory Vote to Determine the Frequency of Future Advisory Votes on Executive Compensation – </w:t>
            </w:r>
            <w:r>
              <w:rPr>
                <w:rFonts w:ascii="Arial" w:cs="Arial" w:eastAsia="Arial" w:hAnsi="Arial"/>
                <w:sz w:val="18"/>
                <w:szCs w:val="18"/>
                <w:b w:val="1"/>
                <w:bCs w:val="1"/>
                <w:i w:val="1"/>
                <w:iCs w:val="1"/>
                <w:color w:val="auto"/>
                <w:w w:val="90"/>
              </w:rPr>
              <w:t>1 Year Approved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2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1 Year</w:t>
            </w:r>
          </w:p>
        </w:tc>
        <w:tc>
          <w:tcPr>
            <w:tcW w:w="340" w:type="dxa"/>
            <w:vAlign w:val="bottom"/>
          </w:tcPr>
          <w:p>
            <w:pPr>
              <w:spacing w:after="0"/>
              <w:rPr>
                <w:sz w:val="24"/>
                <w:szCs w:val="24"/>
                <w:color w:val="auto"/>
              </w:rPr>
            </w:pPr>
          </w:p>
        </w:tc>
        <w:tc>
          <w:tcPr>
            <w:tcW w:w="440" w:type="dxa"/>
            <w:vAlign w:val="bottom"/>
            <w:tcBorders>
              <w:bottom w:val="single" w:sz="8" w:color="auto"/>
            </w:tcBorders>
            <w:gridSpan w:val="3"/>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6"/>
              </w:rPr>
              <w:t>2 Years</w:t>
            </w:r>
          </w:p>
        </w:tc>
        <w:tc>
          <w:tcPr>
            <w:tcW w:w="6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6"/>
              </w:rPr>
              <w:t>3 Years</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Abstain</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Broker Non-Votes</w:t>
            </w:r>
          </w:p>
        </w:tc>
        <w:tc>
          <w:tcPr>
            <w:tcW w:w="100" w:type="dxa"/>
            <w:vAlign w:val="bottom"/>
          </w:tcPr>
          <w:p>
            <w:pPr>
              <w:spacing w:after="0"/>
              <w:rPr>
                <w:sz w:val="24"/>
                <w:szCs w:val="24"/>
                <w:color w:val="auto"/>
              </w:rPr>
            </w:pPr>
          </w:p>
        </w:tc>
      </w:tr>
      <w:tr>
        <w:trPr>
          <w:trHeight w:val="209"/>
        </w:trPr>
        <w:tc>
          <w:tcPr>
            <w:tcW w:w="204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8"/>
              </w:rPr>
              <w:t>7,538,903,928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34,781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w w:val="98"/>
              </w:rPr>
              <w:t>32,312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5,574,081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Disclosure Regarding Frequency of Stockholder Advisory Vote on Executive Compensation</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Based on the voting result at the Annual Meeting, the Board of Directors of the Company has determined to provide for a stockholder advisory vote on executive compensation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MOBILEYE GLOBAL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Amnon Shashua</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Amnon Shashua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600"/>
      </w:cols>
      <w:pgMar w:left="320" w:top="90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2023-06-20T07:23:40Z</dcterms:created>
  <dcterms:modified xsi:type="dcterms:W3CDTF">2023-06-20T07:23:40Z</dcterms:modified>
</cp:coreProperties>
</file>