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Yeary Frank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MOBILEYE B.V., HAR HOTZVIM</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SHLOMO MOMO HALEVI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9777015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Mobileye Global Inc.</w:t>
              </w:r>
            </w:hyperlink>
            <w:r>
              <w:rPr/>
              <w:t xml:space="preserve"> [ </w:t>
            </w:r>
            <w:r>
              <w:rPr>
                <w:rFonts w:ascii="Times;serif" w:hAnsi="Times;serif"/>
                <w:color w:val="0000FF"/>
                <w:sz w:val="24"/>
                <w:shd w:fill="FFFFFF" w:val="clear"/>
              </w:rPr>
              <w:t>MBLY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8"/>
        <w:gridCol w:w="917"/>
        <w:gridCol w:w="786"/>
        <w:gridCol w:w="609"/>
        <w:gridCol w:w="347"/>
        <w:gridCol w:w="927"/>
        <w:gridCol w:w="441"/>
        <w:gridCol w:w="664"/>
        <w:gridCol w:w="1148"/>
        <w:gridCol w:w="98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75,128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7.98</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Sea Turtle Revocable Trust</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indirectly by Sea Turtle Revocable Trust, of which the reporting person is the trustee. The reporting person disclaims beneficial ownership of these shares except to the extent that he has a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Liz Cohen-Yerushalmi,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902" TargetMode="External"/><Relationship Id="rId5" Type="http://schemas.openxmlformats.org/officeDocument/2006/relationships/hyperlink" Target="http://www.sec.gov/cgi-bin/browse-edgar?action=getcompany&amp;CIK=0001910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3363</Characters>
  <CharactersWithSpaces>3911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