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0"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(Amendment No. 1)*</w:t>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Mobileye Global Inc.</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Class A Common Stock, $0.01 par value per share</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60741F104</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December 31, 2023</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6720" w:type="dxa"/>
            <w:vAlign w:val="bottom"/>
          </w:tcPr>
          <w:p>
            <w:pPr>
              <w:spacing w:after="0"/>
              <w:rPr>
                <w:sz w:val="23"/>
                <w:szCs w:val="23"/>
                <w:color w:val="auto"/>
              </w:rPr>
            </w:pPr>
          </w:p>
        </w:tc>
        <w:tc>
          <w:tcPr>
            <w:tcW w:w="980" w:type="dxa"/>
            <w:vAlign w:val="bottom"/>
          </w:tcPr>
          <w:p>
            <w:pPr>
              <w:ind w:left="400"/>
              <w:spacing w:after="0"/>
              <w:rPr>
                <w:sz w:val="20"/>
                <w:szCs w:val="20"/>
                <w:color w:val="auto"/>
              </w:rPr>
            </w:pPr>
            <w:r>
              <w:rPr>
                <w:rFonts w:ascii="Wingdings" w:cs="Wingdings" w:eastAsia="Wingdings" w:hAnsi="Wingdings"/>
                <w:sz w:val="22"/>
                <w:szCs w:val="22"/>
                <w:b w:val="1"/>
                <w:bCs w:val="1"/>
                <w:color w:val="auto"/>
              </w:rPr>
              <w:t>o</w:t>
            </w: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Rule 13d-1(b)</w:t>
            </w:r>
          </w:p>
        </w:tc>
        <w:tc>
          <w:tcPr>
            <w:tcW w:w="0" w:type="dxa"/>
            <w:vAlign w:val="bottom"/>
          </w:tcPr>
          <w:p>
            <w:pPr>
              <w:spacing w:after="0"/>
              <w:rPr>
                <w:sz w:val="1"/>
                <w:szCs w:val="1"/>
                <w:color w:val="auto"/>
              </w:rPr>
            </w:pPr>
          </w:p>
        </w:tc>
      </w:tr>
      <w:tr>
        <w:trPr>
          <w:trHeight w:val="297"/>
        </w:trPr>
        <w:tc>
          <w:tcPr>
            <w:tcW w:w="6720" w:type="dxa"/>
            <w:vAlign w:val="bottom"/>
          </w:tcPr>
          <w:p>
            <w:pPr>
              <w:spacing w:after="0"/>
              <w:rPr>
                <w:sz w:val="24"/>
                <w:szCs w:val="24"/>
                <w:color w:val="auto"/>
              </w:rPr>
            </w:pPr>
          </w:p>
        </w:tc>
        <w:tc>
          <w:tcPr>
            <w:tcW w:w="980" w:type="dxa"/>
            <w:vAlign w:val="bottom"/>
          </w:tcPr>
          <w:p>
            <w:pPr>
              <w:ind w:left="400"/>
              <w:spacing w:after="0"/>
              <w:rPr>
                <w:sz w:val="20"/>
                <w:szCs w:val="20"/>
                <w:color w:val="auto"/>
              </w:rPr>
            </w:pPr>
            <w:r>
              <w:rPr>
                <w:rFonts w:ascii="Wingdings" w:cs="Wingdings" w:eastAsia="Wingdings" w:hAnsi="Wingdings"/>
                <w:sz w:val="22"/>
                <w:szCs w:val="22"/>
                <w:b w:val="1"/>
                <w:bCs w:val="1"/>
                <w:color w:val="auto"/>
              </w:rPr>
              <w:t>o</w:t>
            </w: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Rule 13d-1(c)</w:t>
            </w:r>
          </w:p>
        </w:tc>
        <w:tc>
          <w:tcPr>
            <w:tcW w:w="0" w:type="dxa"/>
            <w:vAlign w:val="bottom"/>
          </w:tcPr>
          <w:p>
            <w:pPr>
              <w:spacing w:after="0"/>
              <w:rPr>
                <w:sz w:val="1"/>
                <w:szCs w:val="1"/>
                <w:color w:val="auto"/>
              </w:rPr>
            </w:pPr>
          </w:p>
        </w:tc>
      </w:tr>
      <w:tr>
        <w:trPr>
          <w:trHeight w:val="297"/>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tc>
        <w:tc>
          <w:tcPr>
            <w:tcW w:w="980" w:type="dxa"/>
            <w:vAlign w:val="bottom"/>
          </w:tcPr>
          <w:p>
            <w:pPr>
              <w:ind w:left="380"/>
              <w:spacing w:after="0"/>
              <w:rPr>
                <w:sz w:val="20"/>
                <w:szCs w:val="20"/>
                <w:color w:val="auto"/>
              </w:rPr>
            </w:pPr>
            <w:r>
              <w:rPr>
                <w:rFonts w:ascii="Wingdings" w:cs="Wingdings" w:eastAsia="Wingdings" w:hAnsi="Wingdings"/>
                <w:sz w:val="22"/>
                <w:szCs w:val="22"/>
                <w:b w:val="1"/>
                <w:bCs w:val="1"/>
                <w:color w:val="auto"/>
              </w:rPr>
              <w:t>x</w:t>
            </w: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Rule 13d-1(d)</w:t>
            </w:r>
          </w:p>
        </w:tc>
        <w:tc>
          <w:tcPr>
            <w:tcW w:w="0" w:type="dxa"/>
            <w:vAlign w:val="bottom"/>
          </w:tcPr>
          <w:p>
            <w:pPr>
              <w:spacing w:after="0"/>
              <w:rPr>
                <w:sz w:val="1"/>
                <w:szCs w:val="1"/>
                <w:color w:val="auto"/>
              </w:rPr>
            </w:pPr>
          </w:p>
        </w:tc>
      </w:tr>
      <w:tr>
        <w:trPr>
          <w:trHeight w:val="145"/>
        </w:trPr>
        <w:tc>
          <w:tcPr>
            <w:tcW w:w="672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54"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32"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ectPr>
          <w:pgSz w:w="11900" w:h="16838" w:orient="portrait"/>
          <w:cols w:equalWidth="0" w:num="1">
            <w:col w:w="11200"/>
          </w:cols>
          <w:pgMar w:left="320" w:top="1440" w:right="379" w:bottom="1440" w:gutter="0" w:footer="0" w:header="0"/>
        </w:sectPr>
      </w:pPr>
    </w:p>
    <w:bookmarkStart w:id="1" w:name="page2"/>
    <w:bookmarkEnd w:id="1"/>
    <w:p>
      <w:pPr>
        <w:spacing w:after="0" w:line="1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CUSIP No. 60741F104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p>
      <w:pPr>
        <w:ind w:left="832" w:hanging="161"/>
        <w:spacing w:after="0"/>
        <w:tabs>
          <w:tab w:leader="none" w:pos="83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5" w:lineRule="exact"/>
        <w:rPr>
          <w:rFonts w:ascii="Times New Roman" w:cs="Times New Roman" w:eastAsia="Times New Roman" w:hAnsi="Times New Roman"/>
          <w:sz w:val="18"/>
          <w:szCs w:val="18"/>
          <w:color w:val="auto"/>
        </w:rPr>
      </w:pPr>
    </w:p>
    <w:p>
      <w:pPr>
        <w:ind w:left="832" w:right="6200"/>
        <w:spacing w:after="0" w:line="52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Intel Corporation 94-1672743</w:t>
      </w:r>
    </w:p>
    <w:p>
      <w:pPr>
        <w:spacing w:after="0" w:line="46" w:lineRule="exact"/>
        <w:rPr>
          <w:rFonts w:ascii="Times New Roman" w:cs="Times New Roman" w:eastAsia="Times New Roman" w:hAnsi="Times New Roman"/>
          <w:sz w:val="18"/>
          <w:szCs w:val="18"/>
          <w:color w:val="auto"/>
        </w:rPr>
      </w:pPr>
    </w:p>
    <w:p>
      <w:pPr>
        <w:ind w:left="832" w:hanging="161"/>
        <w:spacing w:after="0"/>
        <w:tabs>
          <w:tab w:leader="none" w:pos="83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58" w:lineRule="exact"/>
        <w:rPr>
          <w:rFonts w:ascii="Times New Roman" w:cs="Times New Roman" w:eastAsia="Times New Roman" w:hAnsi="Times New Roman"/>
          <w:sz w:val="18"/>
          <w:szCs w:val="18"/>
          <w:color w:val="auto"/>
        </w:rPr>
      </w:pPr>
    </w:p>
    <w:p>
      <w:pPr>
        <w:ind w:left="1092" w:hanging="251"/>
        <w:spacing w:after="0"/>
        <w:tabs>
          <w:tab w:leader="none" w:pos="1092" w:val="left"/>
        </w:tabs>
        <w:numPr>
          <w:ilvl w:val="1"/>
          <w:numId w:val="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9" w:lineRule="exact"/>
        <w:rPr>
          <w:rFonts w:ascii="Times New Roman" w:cs="Times New Roman" w:eastAsia="Times New Roman" w:hAnsi="Times New Roman"/>
          <w:sz w:val="18"/>
          <w:szCs w:val="18"/>
          <w:color w:val="auto"/>
        </w:rPr>
      </w:pPr>
    </w:p>
    <w:p>
      <w:pPr>
        <w:ind w:left="1092" w:hanging="251"/>
        <w:spacing w:after="0"/>
        <w:tabs>
          <w:tab w:leader="none" w:pos="1092" w:val="left"/>
        </w:tabs>
        <w:numPr>
          <w:ilvl w:val="1"/>
          <w:numId w:val="1"/>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310" w:lineRule="exact"/>
        <w:rPr>
          <w:rFonts w:ascii="Times New Roman" w:cs="Times New Roman" w:eastAsia="Times New Roman" w:hAnsi="Times New Roman"/>
          <w:sz w:val="18"/>
          <w:szCs w:val="18"/>
          <w:color w:val="auto"/>
        </w:rPr>
      </w:pPr>
    </w:p>
    <w:p>
      <w:pPr>
        <w:ind w:left="832" w:hanging="161"/>
        <w:spacing w:after="0"/>
        <w:tabs>
          <w:tab w:leader="none" w:pos="83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362" w:lineRule="exact"/>
        <w:rPr>
          <w:rFonts w:ascii="Times New Roman" w:cs="Times New Roman" w:eastAsia="Times New Roman" w:hAnsi="Times New Roman"/>
          <w:sz w:val="18"/>
          <w:szCs w:val="18"/>
          <w:color w:val="auto"/>
        </w:rPr>
      </w:pPr>
    </w:p>
    <w:p>
      <w:pPr>
        <w:ind w:left="832" w:right="7760" w:hanging="161"/>
        <w:spacing w:after="0" w:line="266" w:lineRule="auto"/>
        <w:tabs>
          <w:tab w:leader="none" w:pos="83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3175</wp:posOffset>
            </wp:positionV>
            <wp:extent cx="63436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wp:posOffset>
            </wp:positionH>
            <wp:positionV relativeFrom="paragraph">
              <wp:posOffset>-459105</wp:posOffset>
            </wp:positionV>
            <wp:extent cx="6609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wp:posOffset>
            </wp:positionH>
            <wp:positionV relativeFrom="paragraph">
              <wp:posOffset>-1607820</wp:posOffset>
            </wp:positionV>
            <wp:extent cx="6609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9080" cy="8255"/>
                    </a:xfrm>
                    <a:prstGeom prst="rect">
                      <a:avLst/>
                    </a:prstGeom>
                    <a:noFill/>
                  </pic:spPr>
                </pic:pic>
              </a:graphicData>
            </a:graphic>
          </wp:anchor>
        </w:drawing>
      </w:r>
    </w:p>
    <w:p>
      <w:pPr>
        <w:spacing w:after="0" w:line="246" w:lineRule="exact"/>
        <w:rPr>
          <w:sz w:val="20"/>
          <w:szCs w:val="20"/>
          <w:color w:val="auto"/>
        </w:rPr>
      </w:pPr>
    </w:p>
    <w:tbl>
      <w:tblPr>
        <w:tblLayout w:type="fixed"/>
        <w:tblInd w:w="12"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9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 Sole Voting Power</w:t>
            </w:r>
          </w:p>
        </w:tc>
        <w:tc>
          <w:tcPr>
            <w:tcW w:w="0" w:type="dxa"/>
            <w:vAlign w:val="bottom"/>
          </w:tcPr>
          <w:p>
            <w:pPr>
              <w:spacing w:after="0"/>
              <w:rPr>
                <w:sz w:val="1"/>
                <w:szCs w:val="1"/>
                <w:color w:val="auto"/>
              </w:rPr>
            </w:pPr>
          </w:p>
        </w:tc>
      </w:tr>
      <w:tr>
        <w:trPr>
          <w:trHeight w:val="203"/>
        </w:trPr>
        <w:tc>
          <w:tcPr>
            <w:tcW w:w="1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Shares</w:t>
            </w:r>
          </w:p>
        </w:tc>
        <w:tc>
          <w:tcPr>
            <w:tcW w:w="9900" w:type="dxa"/>
            <w:vAlign w:val="bottom"/>
            <w:gridSpan w:val="2"/>
          </w:tcPr>
          <w:p>
            <w:pPr>
              <w:ind w:left="32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9"/>
        </w:trPr>
        <w:tc>
          <w:tcPr>
            <w:tcW w:w="132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Beneficially</w:t>
            </w:r>
          </w:p>
        </w:tc>
        <w:tc>
          <w:tcPr>
            <w:tcW w:w="300" w:type="dxa"/>
            <w:vAlign w:val="bottom"/>
          </w:tcPr>
          <w:p>
            <w:pPr>
              <w:spacing w:after="0"/>
              <w:rPr>
                <w:sz w:val="5"/>
                <w:szCs w:val="5"/>
                <w:color w:val="auto"/>
              </w:rPr>
            </w:pPr>
          </w:p>
        </w:tc>
        <w:tc>
          <w:tcPr>
            <w:tcW w:w="9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Owned by Each</w:t>
            </w:r>
          </w:p>
        </w:tc>
        <w:tc>
          <w:tcPr>
            <w:tcW w:w="9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6. Shared Voting Power*</w:t>
            </w:r>
          </w:p>
        </w:tc>
        <w:tc>
          <w:tcPr>
            <w:tcW w:w="0" w:type="dxa"/>
            <w:vAlign w:val="bottom"/>
          </w:tcPr>
          <w:p>
            <w:pPr>
              <w:spacing w:after="0"/>
              <w:rPr>
                <w:sz w:val="1"/>
                <w:szCs w:val="1"/>
                <w:color w:val="auto"/>
              </w:rPr>
            </w:pPr>
          </w:p>
        </w:tc>
      </w:tr>
      <w:tr>
        <w:trPr>
          <w:trHeight w:val="122"/>
        </w:trPr>
        <w:tc>
          <w:tcPr>
            <w:tcW w:w="132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Reporting</w:t>
            </w:r>
          </w:p>
        </w:tc>
        <w:tc>
          <w:tcPr>
            <w:tcW w:w="9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20" w:type="dxa"/>
            <w:vAlign w:val="bottom"/>
            <w:vMerge w:val="continue"/>
          </w:tcPr>
          <w:p>
            <w:pPr>
              <w:spacing w:after="0"/>
              <w:rPr>
                <w:sz w:val="7"/>
                <w:szCs w:val="7"/>
                <w:color w:val="auto"/>
              </w:rPr>
            </w:pPr>
          </w:p>
        </w:tc>
        <w:tc>
          <w:tcPr>
            <w:tcW w:w="99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711,500,000 (1)</w:t>
            </w:r>
          </w:p>
        </w:tc>
        <w:tc>
          <w:tcPr>
            <w:tcW w:w="0" w:type="dxa"/>
            <w:vAlign w:val="bottom"/>
          </w:tcPr>
          <w:p>
            <w:pPr>
              <w:spacing w:after="0"/>
              <w:rPr>
                <w:sz w:val="1"/>
                <w:szCs w:val="1"/>
                <w:color w:val="auto"/>
              </w:rPr>
            </w:pPr>
          </w:p>
        </w:tc>
      </w:tr>
      <w:tr>
        <w:trPr>
          <w:trHeight w:val="153"/>
        </w:trPr>
        <w:tc>
          <w:tcPr>
            <w:tcW w:w="1320" w:type="dxa"/>
            <w:vAlign w:val="bottom"/>
            <w:vMerge w:val="restart"/>
          </w:tcPr>
          <w:p>
            <w:pPr>
              <w:spacing w:after="0" w:line="160" w:lineRule="exact"/>
              <w:rPr>
                <w:sz w:val="20"/>
                <w:szCs w:val="20"/>
                <w:color w:val="auto"/>
              </w:rPr>
            </w:pPr>
            <w:r>
              <w:rPr>
                <w:rFonts w:ascii="Times New Roman" w:cs="Times New Roman" w:eastAsia="Times New Roman" w:hAnsi="Times New Roman"/>
                <w:sz w:val="18"/>
                <w:szCs w:val="18"/>
                <w:color w:val="auto"/>
              </w:rPr>
              <w:t>Person With</w:t>
            </w:r>
          </w:p>
        </w:tc>
        <w:tc>
          <w:tcPr>
            <w:tcW w:w="9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9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652" w:right="7900" w:hanging="171"/>
        <w:spacing w:after="0" w:line="266" w:lineRule="auto"/>
        <w:tabs>
          <w:tab w:leader="none" w:pos="1652"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270" w:lineRule="exact"/>
        <w:rPr>
          <w:rFonts w:ascii="Times New Roman" w:cs="Times New Roman" w:eastAsia="Times New Roman" w:hAnsi="Times New Roman"/>
          <w:sz w:val="18"/>
          <w:szCs w:val="18"/>
          <w:color w:val="auto"/>
        </w:rPr>
      </w:pPr>
    </w:p>
    <w:p>
      <w:pPr>
        <w:ind w:left="1652" w:right="7620" w:hanging="171"/>
        <w:spacing w:after="0" w:line="266" w:lineRule="auto"/>
        <w:tabs>
          <w:tab w:leader="none" w:pos="1652"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711,500,000 (1)</w:t>
      </w:r>
    </w:p>
    <w:p>
      <w:pPr>
        <w:spacing w:after="0" w:line="270" w:lineRule="exact"/>
        <w:rPr>
          <w:rFonts w:ascii="Times New Roman" w:cs="Times New Roman" w:eastAsia="Times New Roman" w:hAnsi="Times New Roman"/>
          <w:sz w:val="18"/>
          <w:szCs w:val="18"/>
          <w:color w:val="auto"/>
        </w:rPr>
      </w:pPr>
    </w:p>
    <w:p>
      <w:pPr>
        <w:ind w:left="832" w:right="5500" w:hanging="161"/>
        <w:spacing w:after="0" w:line="266" w:lineRule="auto"/>
        <w:tabs>
          <w:tab w:leader="none" w:pos="83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711,500,000 (1)</w:t>
      </w:r>
    </w:p>
    <w:p>
      <w:pPr>
        <w:spacing w:after="0" w:line="270" w:lineRule="exact"/>
        <w:rPr>
          <w:rFonts w:ascii="Times New Roman" w:cs="Times New Roman" w:eastAsia="Times New Roman" w:hAnsi="Times New Roman"/>
          <w:sz w:val="18"/>
          <w:szCs w:val="18"/>
          <w:color w:val="auto"/>
        </w:rPr>
      </w:pPr>
    </w:p>
    <w:p>
      <w:pPr>
        <w:ind w:left="832" w:hanging="251"/>
        <w:spacing w:after="0"/>
        <w:tabs>
          <w:tab w:leader="none" w:pos="83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Wingdings" w:cs="Wingdings" w:eastAsia="Wingdings" w:hAnsi="Wingdings"/>
          <w:sz w:val="18"/>
          <w:szCs w:val="18"/>
          <w:b w:val="1"/>
          <w:bCs w:val="1"/>
          <w:color w:val="auto"/>
        </w:rPr>
        <w:t>o</w:t>
      </w:r>
    </w:p>
    <w:p>
      <w:pPr>
        <w:spacing w:after="0" w:line="319" w:lineRule="exact"/>
        <w:rPr>
          <w:rFonts w:ascii="Times New Roman" w:cs="Times New Roman" w:eastAsia="Times New Roman" w:hAnsi="Times New Roman"/>
          <w:sz w:val="18"/>
          <w:szCs w:val="18"/>
          <w:color w:val="auto"/>
        </w:rPr>
      </w:pPr>
    </w:p>
    <w:p>
      <w:pPr>
        <w:ind w:left="832" w:right="6520" w:hanging="245"/>
        <w:spacing w:after="0" w:line="266" w:lineRule="auto"/>
        <w:tabs>
          <w:tab w:leader="none" w:pos="83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88.3%</w:t>
      </w:r>
    </w:p>
    <w:p>
      <w:pPr>
        <w:spacing w:after="0" w:line="270" w:lineRule="exact"/>
        <w:rPr>
          <w:rFonts w:ascii="Times New Roman" w:cs="Times New Roman" w:eastAsia="Times New Roman" w:hAnsi="Times New Roman"/>
          <w:sz w:val="18"/>
          <w:szCs w:val="18"/>
          <w:color w:val="auto"/>
        </w:rPr>
      </w:pPr>
    </w:p>
    <w:p>
      <w:pPr>
        <w:ind w:left="832" w:hanging="251"/>
        <w:spacing w:after="0"/>
        <w:tabs>
          <w:tab w:leader="none" w:pos="83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15" w:lineRule="exact"/>
        <w:rPr>
          <w:rFonts w:ascii="Times New Roman" w:cs="Times New Roman" w:eastAsia="Times New Roman" w:hAnsi="Times New Roman"/>
          <w:sz w:val="18"/>
          <w:szCs w:val="18"/>
          <w:color w:val="auto"/>
        </w:rPr>
      </w:pPr>
    </w:p>
    <w:p>
      <w:pPr>
        <w:ind w:left="8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94" w:lineRule="exact"/>
        <w:rPr>
          <w:rFonts w:ascii="Times New Roman" w:cs="Times New Roman" w:eastAsia="Times New Roman" w:hAnsi="Times New Roman"/>
          <w:sz w:val="18"/>
          <w:szCs w:val="18"/>
          <w:color w:val="auto"/>
        </w:rPr>
      </w:pPr>
    </w:p>
    <w:p>
      <w:pPr>
        <w:ind w:left="-8" w:right="20" w:firstLine="8"/>
        <w:spacing w:after="0"/>
        <w:tabs>
          <w:tab w:leader="none" w:pos="2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711,500,000 shares of Class B common stock, par value $0.01 per share (“Class B Common Stock”), convertible into an equal number of shares of Class A common stock, par value $0.01 per share (“Class A Common Stock”), at the option of the holder and automatically upon certain transfers as described in the Amended and Restated Certificate of Incorporation of Mobileye Global Inc., held directly by Intel Overseas Funding Corporation, of which Intel Corporation (the “Reporting Person”) is the sole stockholder.</w:t>
      </w:r>
    </w:p>
    <w:p>
      <w:pPr>
        <w:spacing w:after="0" w:line="9" w:lineRule="exact"/>
        <w:rPr>
          <w:rFonts w:ascii="Times New Roman" w:cs="Times New Roman" w:eastAsia="Times New Roman" w:hAnsi="Times New Roman"/>
          <w:sz w:val="18"/>
          <w:szCs w:val="18"/>
          <w:color w:val="auto"/>
        </w:rPr>
      </w:pPr>
    </w:p>
    <w:p>
      <w:pPr>
        <w:ind w:left="-8" w:right="340" w:firstLine="8"/>
        <w:spacing w:after="0" w:line="266" w:lineRule="auto"/>
        <w:tabs>
          <w:tab w:leader="none" w:pos="2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percentage calculated based upon 94,647,954 shares of Class A Common Stock outstanding as of November 2, 2023, as reported in the quarterly report on Form 10-Q of Mobileye Global Inc. filed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-1050290</wp:posOffset>
            </wp:positionV>
            <wp:extent cx="6609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9080" cy="8890"/>
                    </a:xfrm>
                    <a:prstGeom prst="rect">
                      <a:avLst/>
                    </a:prstGeom>
                    <a:noFill/>
                  </pic:spPr>
                </pic:pic>
              </a:graphicData>
            </a:graphic>
          </wp:anchor>
        </w:drawing>
        <w:drawing>
          <wp:anchor simplePos="0" relativeHeight="251657728" behindDoc="1" locked="0" layoutInCell="0" allowOverlap="1">
            <wp:simplePos x="0" y="0"/>
            <wp:positionH relativeFrom="column">
              <wp:posOffset>522605</wp:posOffset>
            </wp:positionH>
            <wp:positionV relativeFrom="paragraph">
              <wp:posOffset>-1513205</wp:posOffset>
            </wp:positionV>
            <wp:extent cx="6609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wp:posOffset>
            </wp:positionH>
            <wp:positionV relativeFrom="paragraph">
              <wp:posOffset>-1976120</wp:posOffset>
            </wp:positionV>
            <wp:extent cx="6609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9080" cy="8890"/>
                    </a:xfrm>
                    <a:prstGeom prst="rect">
                      <a:avLst/>
                    </a:prstGeom>
                    <a:noFill/>
                  </pic:spPr>
                </pic:pic>
              </a:graphicData>
            </a:graphic>
          </wp:anchor>
        </w:drawing>
        <w:drawing>
          <wp:anchor simplePos="0" relativeHeight="251657728" behindDoc="1" locked="0" layoutInCell="0" allowOverlap="1">
            <wp:simplePos x="0" y="0"/>
            <wp:positionH relativeFrom="column">
              <wp:posOffset>522605</wp:posOffset>
            </wp:positionH>
            <wp:positionV relativeFrom="paragraph">
              <wp:posOffset>-2310765</wp:posOffset>
            </wp:positionV>
            <wp:extent cx="6609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-2773680</wp:posOffset>
            </wp:positionV>
            <wp:extent cx="6094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94730"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-3236595</wp:posOffset>
            </wp:positionV>
            <wp:extent cx="60947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94730" cy="825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t>Securities and Exchange Commission on November 9, 2023, and the 711,500,000 shares of Class A Common Stock issuable upon conversion of the Class B Common Stock held by the Reporting Person.</w:t>
      </w:r>
    </w:p>
    <w:p>
      <w:pPr>
        <w:sectPr>
          <w:pgSz w:w="11900" w:h="16838" w:orient="portrait"/>
          <w:cols w:equalWidth="0" w:num="1">
            <w:col w:w="11120"/>
          </w:cols>
          <w:pgMar w:left="320" w:top="1404" w:right="4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Item 1.</w:t>
      </w:r>
    </w:p>
    <w:p>
      <w:pPr>
        <w:spacing w:after="0" w:line="167" w:lineRule="exact"/>
        <w:rPr>
          <w:sz w:val="20"/>
          <w:szCs w:val="20"/>
          <w:color w:val="auto"/>
        </w:rPr>
      </w:pPr>
    </w:p>
    <w:p>
      <w:pPr>
        <w:ind w:left="440" w:right="9060" w:hanging="414"/>
        <w:spacing w:after="0" w:line="268"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Mobileye Global Inc.</w:t>
      </w:r>
    </w:p>
    <w:p>
      <w:pPr>
        <w:spacing w:after="0" w:line="21" w:lineRule="exact"/>
        <w:rPr>
          <w:rFonts w:ascii="Arial" w:cs="Arial" w:eastAsia="Arial" w:hAnsi="Arial"/>
          <w:sz w:val="16"/>
          <w:szCs w:val="16"/>
          <w:color w:val="auto"/>
        </w:rPr>
      </w:pPr>
    </w:p>
    <w:p>
      <w:pPr>
        <w:ind w:left="440" w:right="7180" w:hanging="414"/>
        <w:spacing w:after="0" w:line="248"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Mobileye Global Inc.</w:t>
      </w:r>
    </w:p>
    <w:p>
      <w:pPr>
        <w:ind w:left="440"/>
        <w:spacing w:after="0" w:line="228" w:lineRule="auto"/>
        <w:rPr>
          <w:rFonts w:ascii="Arial" w:cs="Arial" w:eastAsia="Arial" w:hAnsi="Arial"/>
          <w:sz w:val="16"/>
          <w:szCs w:val="16"/>
          <w:color w:val="auto"/>
        </w:rPr>
      </w:pPr>
      <w:r>
        <w:rPr>
          <w:rFonts w:ascii="Arial" w:cs="Arial" w:eastAsia="Arial" w:hAnsi="Arial"/>
          <w:sz w:val="16"/>
          <w:szCs w:val="16"/>
          <w:color w:val="auto"/>
        </w:rPr>
        <w:t>c/o Mobileye B.V.</w:t>
      </w:r>
    </w:p>
    <w:p>
      <w:pPr>
        <w:ind w:left="440" w:right="8320"/>
        <w:spacing w:after="0" w:line="237" w:lineRule="auto"/>
        <w:rPr>
          <w:rFonts w:ascii="Arial" w:cs="Arial" w:eastAsia="Arial" w:hAnsi="Arial"/>
          <w:sz w:val="16"/>
          <w:szCs w:val="16"/>
          <w:color w:val="auto"/>
        </w:rPr>
      </w:pPr>
      <w:r>
        <w:rPr>
          <w:rFonts w:ascii="Arial" w:cs="Arial" w:eastAsia="Arial" w:hAnsi="Arial"/>
          <w:sz w:val="16"/>
          <w:szCs w:val="16"/>
          <w:color w:val="auto"/>
        </w:rPr>
        <w:t>Har Hotzvim, 13 Hartom Street P.O. Box 45157</w:t>
      </w:r>
    </w:p>
    <w:p>
      <w:pPr>
        <w:spacing w:after="0" w:line="1"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Jerusalem 9777513,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27940</wp:posOffset>
            </wp:positionV>
            <wp:extent cx="58978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-708660</wp:posOffset>
            </wp:positionV>
            <wp:extent cx="58978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2.</w:t>
      </w:r>
    </w:p>
    <w:p>
      <w:pPr>
        <w:spacing w:after="0" w:line="46" w:lineRule="exact"/>
        <w:rPr>
          <w:sz w:val="20"/>
          <w:szCs w:val="20"/>
          <w:color w:val="auto"/>
        </w:rPr>
      </w:pPr>
    </w:p>
    <w:p>
      <w:pPr>
        <w:ind w:left="440" w:right="8740" w:hanging="414"/>
        <w:spacing w:after="0" w:line="387"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Person(s) Filing Intel Corporation</w:t>
      </w:r>
    </w:p>
    <w:p>
      <w:pPr>
        <w:spacing w:after="0" w:line="14" w:lineRule="exact"/>
        <w:rPr>
          <w:rFonts w:ascii="Arial" w:cs="Arial" w:eastAsia="Arial" w:hAnsi="Arial"/>
          <w:sz w:val="16"/>
          <w:szCs w:val="16"/>
          <w:color w:val="auto"/>
        </w:rPr>
      </w:pPr>
    </w:p>
    <w:p>
      <w:pPr>
        <w:ind w:left="440" w:hanging="414"/>
        <w:spacing w:after="0"/>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w:t>
      </w:r>
    </w:p>
    <w:p>
      <w:pPr>
        <w:spacing w:after="0" w:line="167"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Intel Corporation</w:t>
      </w:r>
    </w:p>
    <w:p>
      <w:pPr>
        <w:spacing w:after="0" w:line="21" w:lineRule="exact"/>
        <w:rPr>
          <w:rFonts w:ascii="Arial" w:cs="Arial" w:eastAsia="Arial" w:hAnsi="Arial"/>
          <w:sz w:val="16"/>
          <w:szCs w:val="16"/>
          <w:color w:val="auto"/>
        </w:rPr>
      </w:pPr>
    </w:p>
    <w:p>
      <w:pPr>
        <w:ind w:left="440" w:right="7980"/>
        <w:spacing w:after="0" w:line="248" w:lineRule="auto"/>
        <w:rPr>
          <w:rFonts w:ascii="Arial" w:cs="Arial" w:eastAsia="Arial" w:hAnsi="Arial"/>
          <w:sz w:val="16"/>
          <w:szCs w:val="16"/>
          <w:color w:val="auto"/>
        </w:rPr>
      </w:pPr>
      <w:r>
        <w:rPr>
          <w:rFonts w:ascii="Arial" w:cs="Arial" w:eastAsia="Arial" w:hAnsi="Arial"/>
          <w:sz w:val="16"/>
          <w:szCs w:val="16"/>
          <w:color w:val="auto"/>
        </w:rPr>
        <w:t>2200 Mission College Boulevard Santa Clara, California 95054-1549</w:t>
      </w:r>
    </w:p>
    <w:p>
      <w:pPr>
        <w:spacing w:after="0" w:line="35" w:lineRule="exact"/>
        <w:rPr>
          <w:rFonts w:ascii="Arial" w:cs="Arial" w:eastAsia="Arial" w:hAnsi="Arial"/>
          <w:sz w:val="16"/>
          <w:szCs w:val="16"/>
          <w:color w:val="auto"/>
        </w:rPr>
      </w:pPr>
    </w:p>
    <w:p>
      <w:pPr>
        <w:ind w:left="440" w:right="9740" w:hanging="414"/>
        <w:spacing w:after="0" w:line="291" w:lineRule="auto"/>
        <w:tabs>
          <w:tab w:leader="none" w:pos="440" w:val="left"/>
        </w:tabs>
        <w:numPr>
          <w:ilvl w:val="0"/>
          <w:numId w:val="6"/>
        </w:numPr>
        <w:rPr>
          <w:rFonts w:ascii="Arial" w:cs="Arial" w:eastAsia="Arial" w:hAnsi="Arial"/>
          <w:sz w:val="15"/>
          <w:szCs w:val="15"/>
          <w:color w:val="auto"/>
        </w:rPr>
      </w:pPr>
      <w:r>
        <w:rPr>
          <w:rFonts w:ascii="Arial" w:cs="Arial" w:eastAsia="Arial" w:hAnsi="Arial"/>
          <w:sz w:val="15"/>
          <w:szCs w:val="15"/>
          <w:color w:val="auto"/>
        </w:rPr>
        <w:t>Citizenship Delaware</w:t>
      </w:r>
    </w:p>
    <w:p>
      <w:pPr>
        <w:spacing w:after="0" w:line="13" w:lineRule="exact"/>
        <w:rPr>
          <w:rFonts w:ascii="Arial" w:cs="Arial" w:eastAsia="Arial" w:hAnsi="Arial"/>
          <w:sz w:val="15"/>
          <w:szCs w:val="15"/>
          <w:color w:val="auto"/>
        </w:rPr>
      </w:pPr>
    </w:p>
    <w:p>
      <w:pPr>
        <w:ind w:left="440" w:hanging="414"/>
        <w:spacing w:after="0"/>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Title of Class of Securities</w:t>
      </w:r>
    </w:p>
    <w:p>
      <w:pPr>
        <w:spacing w:after="0" w:line="7"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Class A Common Stock, $0.01 par value per share</w:t>
      </w:r>
    </w:p>
    <w:p>
      <w:pPr>
        <w:spacing w:after="0" w:line="56" w:lineRule="exact"/>
        <w:rPr>
          <w:rFonts w:ascii="Arial" w:cs="Arial" w:eastAsia="Arial" w:hAnsi="Arial"/>
          <w:sz w:val="16"/>
          <w:szCs w:val="16"/>
          <w:color w:val="auto"/>
        </w:rPr>
      </w:pPr>
    </w:p>
    <w:p>
      <w:pPr>
        <w:ind w:left="440" w:right="9420" w:hanging="414"/>
        <w:spacing w:after="0" w:line="302" w:lineRule="auto"/>
        <w:tabs>
          <w:tab w:leader="none" w:pos="440" w:val="left"/>
        </w:tabs>
        <w:numPr>
          <w:ilvl w:val="0"/>
          <w:numId w:val="6"/>
        </w:numPr>
        <w:rPr>
          <w:rFonts w:ascii="Arial" w:cs="Arial" w:eastAsia="Arial" w:hAnsi="Arial"/>
          <w:sz w:val="15"/>
          <w:szCs w:val="15"/>
          <w:color w:val="auto"/>
        </w:rPr>
      </w:pPr>
      <w:r>
        <w:rPr>
          <w:rFonts w:ascii="Arial" w:cs="Arial" w:eastAsia="Arial" w:hAnsi="Arial"/>
          <w:sz w:val="15"/>
          <w:szCs w:val="15"/>
          <w:color w:val="auto"/>
        </w:rPr>
        <w:t>CUSIP Number 60741F104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-8890</wp:posOffset>
            </wp:positionV>
            <wp:extent cx="58978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-283210</wp:posOffset>
            </wp:positionV>
            <wp:extent cx="58978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-557530</wp:posOffset>
            </wp:positionV>
            <wp:extent cx="58978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-831850</wp:posOffset>
            </wp:positionV>
            <wp:extent cx="58978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-1449070</wp:posOffset>
            </wp:positionV>
            <wp:extent cx="58978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b w:val="1"/>
          <w:bCs w:val="1"/>
          <w:color w:val="auto"/>
        </w:rPr>
        <w:t>Ownership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responses to Items 5,6,7,8,9 and 11 on the cover page are incorporated by reference.</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8" w:lineRule="exact"/>
        <w:rPr>
          <w:sz w:val="20"/>
          <w:szCs w:val="20"/>
          <w:color w:val="auto"/>
        </w:rPr>
      </w:pPr>
    </w:p>
    <w:p>
      <w:pPr>
        <w:ind w:right="280"/>
        <w:spacing w:after="0" w:line="191" w:lineRule="exact"/>
        <w:rPr>
          <w:sz w:val="20"/>
          <w:szCs w:val="20"/>
          <w:color w:val="auto"/>
        </w:rPr>
      </w:pPr>
      <w:r>
        <w:rPr>
          <w:rFonts w:ascii="Arial" w:cs="Arial" w:eastAsia="Arial" w:hAnsi="Arial"/>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6"/>
          <w:szCs w:val="16"/>
          <w:color w:val="auto"/>
        </w:rPr>
        <w:t>☐</w:t>
      </w:r>
    </w:p>
    <w:p>
      <w:pPr>
        <w:spacing w:after="0"/>
        <w:rPr>
          <w:sz w:val="20"/>
          <w:szCs w:val="20"/>
          <w:color w:val="auto"/>
        </w:rPr>
      </w:pPr>
      <w:r>
        <w:rPr>
          <w:rFonts w:ascii="Arial" w:cs="Arial" w:eastAsia="Arial" w:hAnsi="Arial"/>
          <w:sz w:val="16"/>
          <w:szCs w:val="16"/>
          <w:color w:val="auto"/>
        </w:rPr>
        <w:t>.</w:t>
      </w:r>
    </w:p>
    <w:p>
      <w:pPr>
        <w:spacing w:after="0" w:line="5"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Item 7. </w:t>
      </w:r>
      <w:r>
        <w:rPr>
          <w:rFonts w:ascii="Arial" w:cs="Arial" w:eastAsia="Arial" w:hAnsi="Arial"/>
          <w:sz w:val="16"/>
          <w:szCs w:val="16"/>
          <w:b w:val="1"/>
          <w:bCs w:val="1"/>
          <w:color w:val="auto"/>
        </w:rPr>
        <w:t>Identification and Classification of the Subsidiary Which Acquired the Security Being Reported on By the Parent Holding Company or</w:t>
      </w:r>
      <w:r>
        <w:rPr>
          <w:rFonts w:ascii="Arial" w:cs="Arial" w:eastAsia="Arial" w:hAnsi="Arial"/>
          <w:sz w:val="16"/>
          <w:szCs w:val="16"/>
          <w:color w:val="auto"/>
        </w:rPr>
        <w:t xml:space="preserve"> </w:t>
      </w:r>
      <w:r>
        <w:rPr>
          <w:rFonts w:ascii="Arial" w:cs="Arial" w:eastAsia="Arial" w:hAnsi="Arial"/>
          <w:sz w:val="16"/>
          <w:szCs w:val="16"/>
          <w:b w:val="1"/>
          <w:bCs w:val="1"/>
          <w:color w:val="auto"/>
        </w:rPr>
        <w:t>Control Person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Item 9.</w:t>
      </w:r>
      <w:r>
        <w:rPr>
          <w:sz w:val="20"/>
          <w:szCs w:val="20"/>
          <w:color w:val="auto"/>
        </w:rPr>
        <w:tab/>
      </w:r>
      <w:r>
        <w:rPr>
          <w:rFonts w:ascii="Arial" w:cs="Arial" w:eastAsia="Arial" w:hAnsi="Arial"/>
          <w:sz w:val="16"/>
          <w:szCs w:val="16"/>
          <w:b w:val="1"/>
          <w:bCs w:val="1"/>
          <w:color w:val="auto"/>
        </w:rPr>
        <w:t>Notice of Dissolution of Group</w:t>
      </w:r>
    </w:p>
    <w:p>
      <w:pPr>
        <w:sectPr>
          <w:pgSz w:w="11900" w:h="16838" w:orient="portrait"/>
          <w:cols w:equalWidth="0" w:num="1">
            <w:col w:w="10960"/>
          </w:cols>
          <w:pgMar w:left="320" w:top="1408" w:right="61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 Dated: February 9, 2024</w:t>
      </w:r>
    </w:p>
    <w:p>
      <w:pPr>
        <w:ind w:left="5300"/>
        <w:spacing w:after="0"/>
        <w:rPr>
          <w:sz w:val="20"/>
          <w:szCs w:val="20"/>
          <w:color w:val="auto"/>
        </w:rPr>
      </w:pPr>
      <w:r>
        <w:rPr>
          <w:rFonts w:ascii="Times New Roman" w:cs="Times New Roman" w:eastAsia="Times New Roman" w:hAnsi="Times New Roman"/>
          <w:sz w:val="18"/>
          <w:szCs w:val="18"/>
          <w:b w:val="1"/>
          <w:bCs w:val="1"/>
          <w:color w:val="auto"/>
        </w:rPr>
        <w:t>INTEL CORPORATION</w:t>
      </w:r>
    </w:p>
    <w:p>
      <w:pPr>
        <w:spacing w:after="0" w:line="5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 /s/ David Miscia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34290</wp:posOffset>
            </wp:positionV>
            <wp:extent cx="378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89045" cy="8890"/>
                    </a:xfrm>
                    <a:prstGeom prst="rect">
                      <a:avLst/>
                    </a:prstGeom>
                    <a:noFill/>
                  </pic:spPr>
                </pic:pic>
              </a:graphicData>
            </a:graphic>
          </wp:anchor>
        </w:drawing>
      </w:r>
    </w:p>
    <w:p>
      <w:pPr>
        <w:spacing w:after="0" w:line="4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David Miscia</w:t>
      </w:r>
    </w:p>
    <w:p>
      <w:pPr>
        <w:spacing w:after="0" w:line="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Associate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INTEL CORPORATION</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POWER OF ATTORNEY</w:t>
      </w:r>
    </w:p>
    <w:p>
      <w:pPr>
        <w:spacing w:after="0" w:line="21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undersigned company (the “Company”) hereby constitutes and appoints Patrick Bombach, and David Miscia, and with full power of substitution, the Company’s true and lawful attorney-in-fact with full power to execute and file with the Securities and Exchange Commission and any stock exchange or similar authority, any report required to be filed pursuant to Section 13 of the Securities Exchange Act of 1934, as amended (the “Act”), with respect to securities which may be deemed to be beneficially owned by the Company under the Act, giving and granting unto said attorney-in-fact the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This Power of Attorney will remain in full force and effect until either revoked in writing by the Company, or until such time as the person to whom power of attorney is hereby granted ceases to be an Intel Corporation employee.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caused this Power of Attorney to be executed as of February 6, 2023.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INTEL CORPORATION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April Miller Boise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April Miller Boise</w:t>
      </w:r>
    </w:p>
    <w:p>
      <w:pPr>
        <w:spacing w:after="0"/>
        <w:rPr>
          <w:sz w:val="20"/>
          <w:szCs w:val="20"/>
          <w:color w:val="auto"/>
        </w:rPr>
      </w:pPr>
      <w:r>
        <w:rPr>
          <w:rFonts w:ascii="Arial" w:cs="Arial" w:eastAsia="Arial" w:hAnsi="Arial"/>
          <w:sz w:val="16"/>
          <w:szCs w:val="16"/>
          <w:color w:val="auto"/>
        </w:rPr>
        <w:t>Executive Vice President and Chief Legal Officer</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lvl w:ilvl="1">
      <w:lvlJc w:val="left"/>
      <w:lvlText w:val="(%2)"/>
      <w:numFmt w:val="lowerLetter"/>
      <w:start w:val="1"/>
    </w:lvl>
  </w:abstractNum>
  <w:abstractNum w:abstractNumId="1">
    <w:nsid w:val="625558EC"/>
    <w:multiLevelType w:val="hybridMultilevel"/>
    <w:lvl w:ilvl="0">
      <w:lvlJc w:val="left"/>
      <w:lvlText w:val="%1"/>
      <w:numFmt w:val="decimal"/>
      <w:start w:val="1"/>
    </w:lvl>
    <w:lvl w:ilvl="1">
      <w:lvlJc w:val="left"/>
      <w:lvlText w:val="%2"/>
      <w:numFmt w:val="decimal"/>
      <w:start w:val="1"/>
    </w:lvl>
    <w:lvl w:ilvl="2">
      <w:lvlJc w:val="left"/>
      <w:lvlText w:val="%3."/>
      <w:numFmt w:val="decimal"/>
      <w:start w:val="7"/>
    </w:lvl>
  </w:abstractNum>
  <w:abstractNum w:abstractNumId="2">
    <w:nsid w:val="238E1F29"/>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3">
    <w:nsid w:val="46E87CC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2024-02-09T13:22:30Z</dcterms:created>
  <dcterms:modified xsi:type="dcterms:W3CDTF">2024-02-09T13:22:30Z</dcterms:modified>
</cp:coreProperties>
</file>