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 Hotzvim, 13 Hartom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Jerusalem 9777513, Israel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Mobileye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333-267685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Anat Heller: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 filed September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Relationship with Intel and our Dual Class Structure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have conflicts of interest with Intel..., page 47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that, under the Technology and Services Arrangement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LiDAR Product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Collaboration Agreement, Intel will own most or all intellectual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property that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develop involving lidar or radar technology. Please discuss the risks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uncertainties regarding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these arrangements may impact your business operations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results.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in the prospectus summary the risks and conflicts of 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agreements with Intel.</w:t>
            </w: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related to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Anat Heller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LastNameAnat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Mobileye Holdings Inc. Heller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October 14,NameMobileye</w:t>
            </w:r>
          </w:p>
        </w:tc>
        <w:tc>
          <w:tcPr>
            <w:tcW w:w="5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14, 2022 Page 2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4659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 Historical Related Party Transactions Cross-License Agreement, page 151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an exhibit the Cross-License Agreement. Refer to Item 601(b)(10)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time for us to review any amendment prior to the requested effective date of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Kathleen Collins, Accounting Branch Chief, at (202)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551-3499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Lauren Pierce, Staff Attorney, at (202) 551-3887 or Jan Woo, Legal Branch Chief,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(202) 551-3453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 Michelle Gasaway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2022-11-23T23:08:47Z</dcterms:created>
  <dcterms:modified xsi:type="dcterms:W3CDTF">2022-11-23T23:08:47Z</dcterms:modified>
</cp:coreProperties>
</file>