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605790</wp:posOffset>
            </wp:positionH>
            <wp:positionV relativeFrom="page">
              <wp:posOffset>605790</wp:posOffset>
            </wp:positionV>
            <wp:extent cx="1835785" cy="278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5785" cy="2781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Arial" w:cs="Arial" w:eastAsia="Arial" w:hAnsi="Arial"/>
          <w:sz w:val="45"/>
          <w:szCs w:val="45"/>
          <w:color w:val="auto"/>
        </w:rPr>
        <w:t>2024 Fiscal Year</w:t>
      </w:r>
    </w:p>
    <w:p>
      <w:pPr>
        <w:spacing w:after="0" w:line="183" w:lineRule="exact"/>
        <w:rPr>
          <w:sz w:val="24"/>
          <w:szCs w:val="24"/>
          <w:color w:val="auto"/>
        </w:rPr>
      </w:pPr>
    </w:p>
    <w:p>
      <w:pPr>
        <w:spacing w:after="0"/>
        <w:rPr>
          <w:sz w:val="20"/>
          <w:szCs w:val="20"/>
          <w:color w:val="auto"/>
        </w:rPr>
      </w:pPr>
      <w:r>
        <w:rPr>
          <w:rFonts w:ascii="Arial" w:cs="Arial" w:eastAsia="Arial" w:hAnsi="Arial"/>
          <w:sz w:val="49"/>
          <w:szCs w:val="49"/>
          <w:color w:val="auto"/>
        </w:rPr>
        <w:t>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6339840" cy="51441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9840" cy="5144135"/>
                    </a:xfrm>
                    <a:prstGeom prst="rect">
                      <a:avLst/>
                    </a:prstGeom>
                    <a:noFill/>
                  </pic:spPr>
                </pic:pic>
              </a:graphicData>
            </a:graphic>
          </wp:anchor>
        </w:drawing>
      </w:r>
    </w:p>
    <w:p>
      <w:pPr>
        <w:sectPr>
          <w:pgSz w:w="11880" w:h="15480" w:orient="portrait"/>
          <w:cols w:equalWidth="0" w:num="1">
            <w:col w:w="9480"/>
          </w:cols>
          <w:pgMar w:left="960" w:top="1440" w:right="1440" w:bottom="1440" w:gutter="0" w:footer="0" w:header="0"/>
        </w:sectPr>
      </w:pPr>
    </w:p>
    <w:bookmarkStart w:id="1" w:name="page2"/>
    <w:bookmarkEnd w:id="1"/>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323850</wp:posOffset>
                </wp:positionH>
                <wp:positionV relativeFrom="page">
                  <wp:posOffset>1186180</wp:posOffset>
                </wp:positionV>
                <wp:extent cx="68961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pt,93.4pt" to="568.5pt,93.4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323850</wp:posOffset>
                </wp:positionH>
                <wp:positionV relativeFrom="page">
                  <wp:posOffset>1248410</wp:posOffset>
                </wp:positionV>
                <wp:extent cx="68961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pt,98.3pt" to="568.5pt,98.3pt" o:allowincell="f" strokecolor="#000000" strokeweight="0.48pt">
                <w10:wrap anchorx="page" anchory="page"/>
              </v:line>
            </w:pict>
          </mc:Fallback>
        </mc:AlternateConten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2570480</wp:posOffset>
                </wp:positionH>
                <wp:positionV relativeFrom="paragraph">
                  <wp:posOffset>119380</wp:posOffset>
                </wp:positionV>
                <wp:extent cx="17145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pt,9.4pt" to="337.4pt,9.4pt" o:allowincell="f" strokecolor="#000000" strokeweight="1.02pt"/>
            </w:pict>
          </mc:Fallback>
        </mc:AlternateConten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2570480</wp:posOffset>
                </wp:positionH>
                <wp:positionV relativeFrom="paragraph">
                  <wp:posOffset>119380</wp:posOffset>
                </wp:positionV>
                <wp:extent cx="17145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pt,9.4pt" to="337.4pt,9.4pt" o:allowincell="f" strokecolor="#000000" strokeweight="1.0199pt"/>
            </w:pict>
          </mc:Fallback>
        </mc:AlternateContent>
      </w:r>
    </w:p>
    <w:p>
      <w:pPr>
        <w:spacing w:after="0" w:line="293" w:lineRule="exact"/>
        <w:rPr>
          <w:sz w:val="20"/>
          <w:szCs w:val="20"/>
          <w:color w:val="auto"/>
        </w:rPr>
      </w:pPr>
    </w:p>
    <w:p>
      <w:pPr>
        <w:ind w:left="4080" w:right="3800" w:hanging="4080"/>
        <w:spacing w:after="0" w:line="376" w:lineRule="auto"/>
        <w:tabs>
          <w:tab w:leader="none" w:pos="15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28, 2024</w:t>
      </w:r>
    </w:p>
    <w:p>
      <w:pPr>
        <w:spacing w:after="0" w:line="63" w:lineRule="exact"/>
        <w:rPr>
          <w:sz w:val="20"/>
          <w:szCs w:val="20"/>
          <w:color w:val="auto"/>
        </w:rPr>
      </w:pPr>
    </w:p>
    <w:p>
      <w:pPr>
        <w:ind w:left="160" w:hanging="160"/>
        <w:spacing w:after="0"/>
        <w:tabs>
          <w:tab w:leader="none" w:pos="1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7" w:lineRule="exact"/>
        <w:rPr>
          <w:sz w:val="20"/>
          <w:szCs w:val="20"/>
          <w:color w:val="auto"/>
        </w:rPr>
      </w:pPr>
    </w:p>
    <w:tbl>
      <w:tblPr>
        <w:tblLayout w:type="fixed"/>
        <w:tblInd w:w="3840" w:type="dxa"/>
        <w:tblCellMar>
          <w:top w:w="0" w:type="dxa"/>
          <w:left w:w="0" w:type="dxa"/>
          <w:bottom w:w="0" w:type="dxa"/>
          <w:right w:w="0" w:type="dxa"/>
        </w:tblCellMar>
      </w:tblPr>
      <w:tr>
        <w:trPr>
          <w:trHeight w:val="164"/>
        </w:trPr>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0"/>
        </w:trPr>
        <w:tc>
          <w:tcPr>
            <w:tcW w:w="1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221"/>
        </w:trPr>
        <w:tc>
          <w:tcPr>
            <w:tcW w:w="31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Commission File Number: 001-41501</w:t>
            </w:r>
          </w:p>
        </w:tc>
      </w:tr>
      <w:tr>
        <w:trPr>
          <w:trHeight w:val="20"/>
        </w:trPr>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2570480</wp:posOffset>
                </wp:positionH>
                <wp:positionV relativeFrom="paragraph">
                  <wp:posOffset>107315</wp:posOffset>
                </wp:positionV>
                <wp:extent cx="17145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pt,8.45pt" to="337.4pt,8.45pt" o:allowincell="f" strokecolor="#000000" strokeweight="1.02pt"/>
            </w:pict>
          </mc:Fallback>
        </mc:AlternateConten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359"/>
        </w:trPr>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gridSpan w:val="2"/>
          </w:tcPr>
          <w:p>
            <w:pPr>
              <w:jc w:val="center"/>
              <w:ind w:right="200"/>
              <w:spacing w:after="0"/>
              <w:rPr>
                <w:sz w:val="20"/>
                <w:szCs w:val="20"/>
                <w:color w:val="auto"/>
              </w:rPr>
            </w:pPr>
            <w:r>
              <w:rPr>
                <w:rFonts w:ascii="Times New Roman" w:cs="Times New Roman" w:eastAsia="Times New Roman" w:hAnsi="Times New Roman"/>
                <w:sz w:val="26"/>
                <w:szCs w:val="26"/>
                <w:b w:val="1"/>
                <w:bCs w:val="1"/>
                <w:color w:val="auto"/>
                <w:w w:val="99"/>
              </w:rPr>
              <w:t>Mobileye Global Inc.</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(Exact name of registrant as specified in its charter)</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3780" w:type="dxa"/>
            <w:vAlign w:val="bottom"/>
            <w:gridSpan w:val="2"/>
            <w:vMerge w:val="restart"/>
          </w:tcPr>
          <w:p>
            <w:pPr>
              <w:jc w:val="center"/>
              <w:ind w:left="1510"/>
              <w:spacing w:after="0"/>
              <w:rPr>
                <w:sz w:val="20"/>
                <w:szCs w:val="20"/>
                <w:color w:val="auto"/>
              </w:rPr>
            </w:pPr>
            <w:r>
              <w:rPr>
                <w:rFonts w:ascii="Times New Roman" w:cs="Times New Roman" w:eastAsia="Times New Roman" w:hAnsi="Times New Roman"/>
                <w:sz w:val="14"/>
                <w:szCs w:val="14"/>
                <w:b w:val="1"/>
                <w:bCs w:val="1"/>
                <w:color w:val="auto"/>
              </w:rPr>
              <w:t>DE</w:t>
            </w:r>
          </w:p>
        </w:tc>
        <w:tc>
          <w:tcPr>
            <w:tcW w:w="260" w:type="dxa"/>
            <w:vAlign w:val="bottom"/>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840" w:type="dxa"/>
            <w:vAlign w:val="bottom"/>
            <w:gridSpan w:val="3"/>
            <w:vMerge w:val="restart"/>
          </w:tcPr>
          <w:p>
            <w:pPr>
              <w:jc w:val="right"/>
              <w:ind w:right="2230"/>
              <w:spacing w:after="0"/>
              <w:rPr>
                <w:sz w:val="20"/>
                <w:szCs w:val="20"/>
                <w:color w:val="auto"/>
              </w:rPr>
            </w:pPr>
            <w:r>
              <w:rPr>
                <w:rFonts w:ascii="Times New Roman" w:cs="Times New Roman" w:eastAsia="Times New Roman" w:hAnsi="Times New Roman"/>
                <w:sz w:val="14"/>
                <w:szCs w:val="14"/>
                <w:b w:val="1"/>
                <w:bCs w:val="1"/>
                <w:color w:val="auto"/>
              </w:rPr>
              <w:t>88-0666433</w:t>
            </w:r>
          </w:p>
        </w:tc>
        <w:tc>
          <w:tcPr>
            <w:tcW w:w="0" w:type="dxa"/>
            <w:vAlign w:val="bottom"/>
          </w:tcPr>
          <w:p>
            <w:pPr>
              <w:spacing w:after="0"/>
              <w:rPr>
                <w:sz w:val="1"/>
                <w:szCs w:val="1"/>
                <w:color w:val="auto"/>
              </w:rPr>
            </w:pPr>
          </w:p>
        </w:tc>
      </w:tr>
      <w:tr>
        <w:trPr>
          <w:trHeight w:val="261"/>
        </w:trPr>
        <w:tc>
          <w:tcPr>
            <w:tcW w:w="378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3780" w:type="dxa"/>
            <w:vAlign w:val="bottom"/>
            <w:gridSpan w:val="2"/>
          </w:tcPr>
          <w:p>
            <w:pPr>
              <w:jc w:val="center"/>
              <w:ind w:left="151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Pr>
          <w:p>
            <w:pPr>
              <w:jc w:val="center"/>
              <w:ind w:right="1970"/>
              <w:spacing w:after="0"/>
              <w:rPr>
                <w:sz w:val="20"/>
                <w:szCs w:val="20"/>
                <w:color w:val="auto"/>
              </w:rPr>
            </w:pPr>
            <w:r>
              <w:rPr>
                <w:rFonts w:ascii="Times New Roman" w:cs="Times New Roman" w:eastAsia="Times New Roman" w:hAnsi="Times New Roman"/>
                <w:sz w:val="14"/>
                <w:szCs w:val="14"/>
                <w:b w:val="1"/>
                <w:bCs w:val="1"/>
                <w:color w:val="auto"/>
                <w:w w:val="98"/>
              </w:rPr>
              <w:t>(I.R.S. Employer</w:t>
            </w:r>
          </w:p>
        </w:tc>
        <w:tc>
          <w:tcPr>
            <w:tcW w:w="0" w:type="dxa"/>
            <w:vAlign w:val="bottom"/>
          </w:tcPr>
          <w:p>
            <w:pPr>
              <w:spacing w:after="0"/>
              <w:rPr>
                <w:sz w:val="1"/>
                <w:szCs w:val="1"/>
                <w:color w:val="auto"/>
              </w:rPr>
            </w:pPr>
          </w:p>
        </w:tc>
      </w:tr>
      <w:tr>
        <w:trPr>
          <w:trHeight w:val="161"/>
        </w:trPr>
        <w:tc>
          <w:tcPr>
            <w:tcW w:w="3780" w:type="dxa"/>
            <w:vAlign w:val="bottom"/>
            <w:gridSpan w:val="2"/>
          </w:tcPr>
          <w:p>
            <w:pPr>
              <w:jc w:val="center"/>
              <w:ind w:left="165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2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Pr>
          <w:p>
            <w:pPr>
              <w:jc w:val="center"/>
              <w:ind w:right="1970"/>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162"/>
        </w:trPr>
        <w:tc>
          <w:tcPr>
            <w:tcW w:w="3780" w:type="dxa"/>
            <w:vAlign w:val="bottom"/>
            <w:gridSpan w:val="2"/>
          </w:tcPr>
          <w:p>
            <w:pPr>
              <w:jc w:val="center"/>
              <w:ind w:left="1490"/>
              <w:spacing w:after="0"/>
              <w:rPr>
                <w:sz w:val="20"/>
                <w:szCs w:val="20"/>
                <w:color w:val="auto"/>
              </w:rPr>
            </w:pPr>
            <w:r>
              <w:rPr>
                <w:rFonts w:ascii="Times New Roman" w:cs="Times New Roman" w:eastAsia="Times New Roman" w:hAnsi="Times New Roman"/>
                <w:sz w:val="14"/>
                <w:szCs w:val="14"/>
                <w:b w:val="1"/>
                <w:bCs w:val="1"/>
                <w:color w:val="auto"/>
              </w:rPr>
              <w:t>c/o Mobileye B.V.</w:t>
            </w:r>
          </w:p>
        </w:tc>
        <w:tc>
          <w:tcPr>
            <w:tcW w:w="2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960" w:type="dxa"/>
            <w:vAlign w:val="bottom"/>
            <w:gridSpan w:val="5"/>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w w:val="99"/>
              </w:rPr>
              <w:t>Har Hotzvim, 1 Shlomo Momo HaLevi Street</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780" w:type="dxa"/>
            <w:vAlign w:val="bottom"/>
            <w:gridSpan w:val="2"/>
          </w:tcPr>
          <w:p>
            <w:pPr>
              <w:jc w:val="center"/>
              <w:ind w:left="1650"/>
              <w:spacing w:after="0"/>
              <w:rPr>
                <w:sz w:val="20"/>
                <w:szCs w:val="20"/>
                <w:color w:val="auto"/>
              </w:rPr>
            </w:pPr>
            <w:r>
              <w:rPr>
                <w:rFonts w:ascii="Times New Roman" w:cs="Times New Roman" w:eastAsia="Times New Roman" w:hAnsi="Times New Roman"/>
                <w:sz w:val="14"/>
                <w:szCs w:val="14"/>
                <w:b w:val="1"/>
                <w:bCs w:val="1"/>
                <w:color w:val="auto"/>
                <w:w w:val="99"/>
              </w:rPr>
              <w:t>Jerusalem, Israel</w:t>
            </w:r>
          </w:p>
        </w:tc>
        <w:tc>
          <w:tcPr>
            <w:tcW w:w="2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40" w:type="dxa"/>
            <w:vAlign w:val="bottom"/>
            <w:gridSpan w:val="3"/>
          </w:tcPr>
          <w:p>
            <w:pPr>
              <w:jc w:val="right"/>
              <w:ind w:right="2330"/>
              <w:spacing w:after="0"/>
              <w:rPr>
                <w:sz w:val="20"/>
                <w:szCs w:val="20"/>
                <w:color w:val="auto"/>
              </w:rPr>
            </w:pPr>
            <w:r>
              <w:rPr>
                <w:rFonts w:ascii="Times New Roman" w:cs="Times New Roman" w:eastAsia="Times New Roman" w:hAnsi="Times New Roman"/>
                <w:sz w:val="14"/>
                <w:szCs w:val="14"/>
                <w:color w:val="auto"/>
              </w:rPr>
              <w:t>9777015</w:t>
            </w:r>
          </w:p>
        </w:tc>
        <w:tc>
          <w:tcPr>
            <w:tcW w:w="0" w:type="dxa"/>
            <w:vAlign w:val="bottom"/>
          </w:tcPr>
          <w:p>
            <w:pPr>
              <w:spacing w:after="0"/>
              <w:rPr>
                <w:sz w:val="1"/>
                <w:szCs w:val="1"/>
                <w:color w:val="auto"/>
              </w:rPr>
            </w:pPr>
          </w:p>
        </w:tc>
      </w:tr>
      <w:tr>
        <w:trPr>
          <w:trHeight w:val="163"/>
        </w:trPr>
        <w:tc>
          <w:tcPr>
            <w:tcW w:w="6960" w:type="dxa"/>
            <w:vAlign w:val="bottom"/>
            <w:gridSpan w:val="5"/>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Pr>
          <w:p>
            <w:pPr>
              <w:jc w:val="center"/>
              <w:ind w:right="1990"/>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59"/>
        </w:trPr>
        <w:tc>
          <w:tcPr>
            <w:tcW w:w="3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60" w:type="dxa"/>
            <w:vAlign w:val="bottom"/>
            <w:gridSpan w:val="2"/>
          </w:tcPr>
          <w:p>
            <w:pPr>
              <w:jc w:val="center"/>
              <w:ind w:left="210"/>
              <w:spacing w:after="0" w:line="159" w:lineRule="exact"/>
              <w:rPr>
                <w:sz w:val="20"/>
                <w:szCs w:val="20"/>
                <w:color w:val="auto"/>
              </w:rPr>
            </w:pPr>
            <w:r>
              <w:rPr>
                <w:rFonts w:ascii="Times New Roman" w:cs="Times New Roman" w:eastAsia="Times New Roman" w:hAnsi="Times New Roman"/>
                <w:sz w:val="14"/>
                <w:szCs w:val="14"/>
                <w:color w:val="auto"/>
              </w:rPr>
              <w:t>+972-2-541-7333</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20" w:type="dxa"/>
            <w:vAlign w:val="bottom"/>
            <w:gridSpan w:val="6"/>
          </w:tcPr>
          <w:p>
            <w:pPr>
              <w:jc w:val="center"/>
              <w:ind w:right="373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0" w:type="dxa"/>
            <w:vAlign w:val="bottom"/>
          </w:tcPr>
          <w:p>
            <w:pPr>
              <w:spacing w:after="0"/>
              <w:rPr>
                <w:sz w:val="1"/>
                <w:szCs w:val="1"/>
                <w:color w:val="auto"/>
              </w:rPr>
            </w:pPr>
          </w:p>
        </w:tc>
      </w:tr>
      <w:tr>
        <w:trPr>
          <w:trHeight w:val="143"/>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60" w:type="dxa"/>
            <w:vAlign w:val="bottom"/>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378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780" w:type="dxa"/>
            <w:vAlign w:val="bottom"/>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0" w:type="dxa"/>
            <w:vAlign w:val="bottom"/>
          </w:tcPr>
          <w:p>
            <w:pPr>
              <w:spacing w:after="0"/>
              <w:rPr>
                <w:sz w:val="15"/>
                <w:szCs w:val="15"/>
                <w:color w:val="auto"/>
              </w:rPr>
            </w:pPr>
          </w:p>
        </w:tc>
        <w:tc>
          <w:tcPr>
            <w:tcW w:w="292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 e on which registered</w:t>
            </w:r>
          </w:p>
        </w:tc>
        <w:tc>
          <w:tcPr>
            <w:tcW w:w="0" w:type="dxa"/>
            <w:vAlign w:val="bottom"/>
          </w:tcPr>
          <w:p>
            <w:pPr>
              <w:spacing w:after="0"/>
              <w:rPr>
                <w:sz w:val="1"/>
                <w:szCs w:val="1"/>
                <w:color w:val="auto"/>
              </w:rPr>
            </w:pPr>
          </w:p>
        </w:tc>
      </w:tr>
      <w:tr>
        <w:trPr>
          <w:trHeight w:val="157"/>
        </w:trPr>
        <w:tc>
          <w:tcPr>
            <w:tcW w:w="3580" w:type="dxa"/>
            <w:vAlign w:val="bottom"/>
            <w:tcBorders>
              <w:top w:val="single" w:sz="8" w:color="auto"/>
            </w:tcBorders>
          </w:tcPr>
          <w:p>
            <w:pPr>
              <w:ind w:left="360"/>
              <w:spacing w:after="0" w:line="157" w:lineRule="exact"/>
              <w:rPr>
                <w:sz w:val="20"/>
                <w:szCs w:val="20"/>
                <w:color w:val="auto"/>
              </w:rPr>
            </w:pPr>
            <w:r>
              <w:rPr>
                <w:rFonts w:ascii="Times New Roman" w:cs="Times New Roman" w:eastAsia="Times New Roman" w:hAnsi="Times New Roman"/>
                <w:sz w:val="14"/>
                <w:szCs w:val="14"/>
                <w:b w:val="1"/>
                <w:bCs w:val="1"/>
                <w:color w:val="auto"/>
              </w:rPr>
              <w:t>Class A common stock, $0.01 par value per share</w:t>
            </w:r>
          </w:p>
        </w:tc>
        <w:tc>
          <w:tcPr>
            <w:tcW w:w="2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2"/>
          </w:tcPr>
          <w:p>
            <w:pPr>
              <w:jc w:val="center"/>
              <w:ind w:left="55"/>
              <w:spacing w:after="0" w:line="157" w:lineRule="exact"/>
              <w:rPr>
                <w:sz w:val="20"/>
                <w:szCs w:val="20"/>
                <w:color w:val="auto"/>
              </w:rPr>
            </w:pPr>
            <w:r>
              <w:rPr>
                <w:rFonts w:ascii="Times New Roman" w:cs="Times New Roman" w:eastAsia="Times New Roman" w:hAnsi="Times New Roman"/>
                <w:sz w:val="14"/>
                <w:szCs w:val="14"/>
                <w:b w:val="1"/>
                <w:bCs w:val="1"/>
                <w:color w:val="auto"/>
                <w:w w:val="99"/>
              </w:rPr>
              <w:t>MBLY</w:t>
            </w:r>
          </w:p>
        </w:tc>
        <w:tc>
          <w:tcPr>
            <w:tcW w:w="4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Nasdaq Global Select Market</w:t>
            </w:r>
          </w:p>
        </w:tc>
        <w:tc>
          <w:tcPr>
            <w:tcW w:w="0" w:type="dxa"/>
            <w:vAlign w:val="bottom"/>
          </w:tcPr>
          <w:p>
            <w:pPr>
              <w:spacing w:after="0"/>
              <w:rPr>
                <w:sz w:val="1"/>
                <w:szCs w:val="1"/>
                <w:color w:val="auto"/>
              </w:rPr>
            </w:pPr>
          </w:p>
        </w:tc>
      </w:tr>
      <w:tr>
        <w:trPr>
          <w:trHeight w:val="148"/>
        </w:trPr>
        <w:tc>
          <w:tcPr>
            <w:tcW w:w="10800" w:type="dxa"/>
            <w:vAlign w:val="bottom"/>
            <w:gridSpan w:val="8"/>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 registered pursuant to Section 12(g) of the Act: None</w:t>
            </w:r>
          </w:p>
        </w:tc>
        <w:tc>
          <w:tcPr>
            <w:tcW w:w="0" w:type="dxa"/>
            <w:vAlign w:val="bottom"/>
          </w:tcPr>
          <w:p>
            <w:pPr>
              <w:spacing w:after="0"/>
              <w:rPr>
                <w:sz w:val="1"/>
                <w:szCs w:val="1"/>
                <w:color w:val="auto"/>
              </w:rPr>
            </w:pPr>
          </w:p>
        </w:tc>
      </w:tr>
      <w:tr>
        <w:trPr>
          <w:trHeight w:val="204"/>
        </w:trPr>
        <w:tc>
          <w:tcPr>
            <w:tcW w:w="696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840" w:type="dxa"/>
            <w:vAlign w:val="bottom"/>
            <w:gridSpan w:val="3"/>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0" w:type="dxa"/>
            <w:vAlign w:val="bottom"/>
          </w:tcPr>
          <w:p>
            <w:pPr>
              <w:spacing w:after="0"/>
              <w:rPr>
                <w:sz w:val="1"/>
                <w:szCs w:val="1"/>
                <w:color w:val="auto"/>
              </w:rPr>
            </w:pPr>
          </w:p>
        </w:tc>
      </w:tr>
    </w:tbl>
    <w:p>
      <w:pPr>
        <w:ind w:left="3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92" w:lineRule="exact"/>
        <w:rPr>
          <w:sz w:val="20"/>
          <w:szCs w:val="20"/>
          <w:color w:val="auto"/>
        </w:rPr>
      </w:pPr>
    </w:p>
    <w:p>
      <w:pPr>
        <w:jc w:val="both"/>
        <w:ind w:firstLine="360"/>
        <w:spacing w:after="0" w:line="18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 w:lineRule="exact"/>
        <w:rPr>
          <w:sz w:val="20"/>
          <w:szCs w:val="20"/>
          <w:color w:val="auto"/>
        </w:rPr>
      </w:pPr>
    </w:p>
    <w:p>
      <w:pPr>
        <w:jc w:val="both"/>
        <w:ind w:firstLine="36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 w:lineRule="exact"/>
        <w:rPr>
          <w:sz w:val="20"/>
          <w:szCs w:val="20"/>
          <w:color w:val="auto"/>
        </w:rPr>
      </w:pPr>
    </w:p>
    <w:p>
      <w:pPr>
        <w:jc w:val="both"/>
        <w:ind w:firstLine="360"/>
        <w:spacing w:after="0" w:line="27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60" w:type="dxa"/>
            <w:vAlign w:val="bottom"/>
          </w:tcPr>
          <w:p>
            <w:pPr>
              <w:ind w:left="1860"/>
              <w:spacing w:after="0" w:line="141" w:lineRule="exact"/>
              <w:rPr>
                <w:sz w:val="20"/>
                <w:szCs w:val="20"/>
                <w:color w:val="auto"/>
              </w:rPr>
            </w:pPr>
            <w:r>
              <w:rPr>
                <w:rFonts w:ascii="MS PGothic" w:cs="MS PGothic" w:eastAsia="MS PGothic" w:hAnsi="MS PGothic"/>
                <w:sz w:val="14"/>
                <w:szCs w:val="14"/>
                <w:color w:val="auto"/>
              </w:rPr>
              <w:t>☒</w:t>
            </w:r>
          </w:p>
        </w:tc>
        <w:tc>
          <w:tcPr>
            <w:tcW w:w="3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Accelerated filer</w:t>
            </w:r>
          </w:p>
        </w:tc>
        <w:tc>
          <w:tcPr>
            <w:tcW w:w="1720" w:type="dxa"/>
            <w:vAlign w:val="bottom"/>
          </w:tcPr>
          <w:p>
            <w:pPr>
              <w:ind w:left="16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7"/>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60" w:type="dxa"/>
            <w:vAlign w:val="bottom"/>
          </w:tcPr>
          <w:p>
            <w:pPr>
              <w:ind w:left="1860"/>
              <w:spacing w:after="0" w:line="141" w:lineRule="exact"/>
              <w:rPr>
                <w:sz w:val="20"/>
                <w:szCs w:val="20"/>
                <w:color w:val="auto"/>
              </w:rPr>
            </w:pPr>
            <w:r>
              <w:rPr>
                <w:rFonts w:ascii="MS PGothic" w:cs="MS PGothic" w:eastAsia="MS PGothic" w:hAnsi="MS PGothic"/>
                <w:sz w:val="14"/>
                <w:szCs w:val="14"/>
                <w:color w:val="auto"/>
              </w:rPr>
              <w:t>☐</w:t>
            </w:r>
          </w:p>
        </w:tc>
        <w:tc>
          <w:tcPr>
            <w:tcW w:w="3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720" w:type="dxa"/>
            <w:vAlign w:val="bottom"/>
          </w:tcPr>
          <w:p>
            <w:pPr>
              <w:ind w:left="16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4"/>
        </w:trPr>
        <w:tc>
          <w:tcPr>
            <w:tcW w:w="31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Emerging growth company</w:t>
            </w:r>
          </w:p>
        </w:tc>
        <w:tc>
          <w:tcPr>
            <w:tcW w:w="1720" w:type="dxa"/>
            <w:vAlign w:val="bottom"/>
          </w:tcPr>
          <w:p>
            <w:pPr>
              <w:ind w:left="1600"/>
              <w:spacing w:after="0" w:line="141" w:lineRule="exact"/>
              <w:rPr>
                <w:sz w:val="20"/>
                <w:szCs w:val="20"/>
                <w:color w:val="auto"/>
              </w:rPr>
            </w:pPr>
            <w:r>
              <w:rPr>
                <w:rFonts w:ascii="MS PGothic" w:cs="MS PGothic" w:eastAsia="MS PGothic" w:hAnsi="MS PGothic"/>
                <w:sz w:val="14"/>
                <w:szCs w:val="14"/>
                <w:color w:val="auto"/>
                <w:w w:val="71"/>
              </w:rPr>
              <w:t>☐</w:t>
            </w:r>
          </w:p>
        </w:tc>
      </w:tr>
    </w:tbl>
    <w:p>
      <w:pPr>
        <w:jc w:val="both"/>
        <w:ind w:firstLine="360"/>
        <w:spacing w:after="0" w:line="19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0"/>
          <w:szCs w:val="20"/>
          <w:color w:val="auto"/>
        </w:rPr>
      </w:pPr>
    </w:p>
    <w:p>
      <w:pPr>
        <w:jc w:val="both"/>
        <w:ind w:firstLine="36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 w:lineRule="exact"/>
        <w:rPr>
          <w:sz w:val="20"/>
          <w:szCs w:val="20"/>
          <w:color w:val="auto"/>
        </w:rPr>
      </w:pPr>
    </w:p>
    <w:p>
      <w:pPr>
        <w:jc w:val="both"/>
        <w:ind w:firstLine="360"/>
        <w:spacing w:after="0" w:line="197"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0"/>
          <w:szCs w:val="20"/>
          <w:color w:val="auto"/>
        </w:rPr>
      </w:pPr>
    </w:p>
    <w:p>
      <w:pPr>
        <w:jc w:val="both"/>
        <w:ind w:firstLine="360"/>
        <w:spacing w:after="0" w:line="175"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0"/>
          <w:szCs w:val="20"/>
          <w:color w:val="auto"/>
        </w:rPr>
      </w:pPr>
    </w:p>
    <w:p>
      <w:pPr>
        <w:ind w:left="3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15"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4"/>
          <w:szCs w:val="14"/>
          <w:color w:val="auto"/>
        </w:rPr>
        <w:t>Aggregate market value of voting and non -voting common equity held by non-affiliates of the registrant as of June 29, 2024, based upon the closing price of the common stock as reported by the Nasdaq Global Select Market on June 29, 2024, was $2.69 billion. 100,226,477 shares of Class A common stock and 711,500,000 shares of Class B common stock were outstanding as of January 31,2025.</w:t>
      </w:r>
    </w:p>
    <w:p>
      <w:pPr>
        <w:spacing w:after="0" w:line="22"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14"/>
          <w:szCs w:val="14"/>
          <w:color w:val="auto"/>
        </w:rPr>
        <w:t>Portions of the Mobileye Global Inc. 2025 definitive Proxy Statement, which will be filed with the Securities and Exchange Commission within 120 days after December 28, 2024, are incorporated by reference in Part III of this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38735</wp:posOffset>
                </wp:positionV>
                <wp:extent cx="68961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3.05pt" to="541.5pt,3.05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99695</wp:posOffset>
                </wp:positionV>
                <wp:extent cx="68961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7.85pt" to="541.5pt,7.85pt" o:allowincell="f" strokecolor="#000000" strokeweight="3pt"/>
            </w:pict>
          </mc:Fallback>
        </mc:AlternateContent>
      </w:r>
    </w:p>
    <w:p>
      <w:pPr>
        <w:sectPr>
          <w:pgSz w:w="11880" w:h="15480" w:orient="portrait"/>
          <w:cols w:equalWidth="0" w:num="1">
            <w:col w:w="10800"/>
          </w:cols>
          <w:pgMar w:left="540" w:top="1440" w:right="540" w:bottom="1440" w:gutter="0" w:footer="0" w:header="0"/>
        </w:sectPr>
      </w:pPr>
    </w:p>
    <w:bookmarkStart w:id="3" w:name="page4"/>
    <w:bookmarkEnd w:id="3"/>
    <w:p>
      <w:pPr>
        <w:ind w:left="4500"/>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spacing w:after="0" w:line="23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12" w:lineRule="exact"/>
        <w:rPr>
          <w:sz w:val="20"/>
          <w:szCs w:val="20"/>
          <w:color w:val="auto"/>
        </w:rPr>
      </w:pPr>
    </w:p>
    <w:p>
      <w:pPr>
        <w:spacing w:after="0"/>
        <w:tabs>
          <w:tab w:leader="none" w:pos="10200" w:val="left"/>
        </w:tabs>
        <w:rPr>
          <w:sz w:val="20"/>
          <w:szCs w:val="20"/>
          <w:color w:val="auto"/>
        </w:rPr>
      </w:pPr>
      <w:r>
        <w:rPr>
          <w:rFonts w:ascii="Times New Roman" w:cs="Times New Roman" w:eastAsia="Times New Roman" w:hAnsi="Times New Roman"/>
          <w:sz w:val="20"/>
          <w:szCs w:val="20"/>
          <w:color w:val="auto"/>
        </w:rPr>
        <w:t>CAUTIONARY NOTE REGARDING FORWARD-LOOKING STATEMENTS . . . . . . . . . . . . . . . . . . . . . . . . . . . . . . . .</w:t>
      </w:r>
      <w:r>
        <w:rPr>
          <w:sz w:val="20"/>
          <w:szCs w:val="20"/>
          <w:color w:val="auto"/>
        </w:rPr>
        <w:tab/>
      </w: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6184265</wp:posOffset>
                </wp:positionH>
                <wp:positionV relativeFrom="paragraph">
                  <wp:posOffset>-134620</wp:posOffset>
                </wp:positionV>
                <wp:extent cx="67373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73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95pt,-10.5999pt" to="540pt,-10.5999pt" o:allowincell="f" strokecolor="#000000" strokeweight="0.4809pt"/>
            </w:pict>
          </mc:Fallback>
        </mc:AlternateContent>
      </w:r>
    </w:p>
    <w:p>
      <w:pPr>
        <w:spacing w:after="0"/>
        <w:tabs>
          <w:tab w:leader="none" w:pos="10200" w:val="left"/>
        </w:tabs>
        <w:rPr>
          <w:sz w:val="20"/>
          <w:szCs w:val="20"/>
          <w:color w:val="auto"/>
        </w:rPr>
      </w:pPr>
      <w:r>
        <w:rPr>
          <w:rFonts w:ascii="Times New Roman" w:cs="Times New Roman" w:eastAsia="Times New Roman" w:hAnsi="Times New Roman"/>
          <w:sz w:val="20"/>
          <w:szCs w:val="20"/>
          <w:color w:val="auto"/>
        </w:rPr>
        <w:t>PART I . . . . .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w:t>
      </w:r>
    </w:p>
    <w:p>
      <w:pPr>
        <w:spacing w:after="0"/>
        <w:tabs>
          <w:tab w:leader="none" w:pos="960" w:val="left"/>
          <w:tab w:leader="none" w:pos="1020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w:t>
      </w:r>
    </w:p>
    <w:p>
      <w:pPr>
        <w:spacing w:after="0"/>
        <w:tabs>
          <w:tab w:leader="none" w:pos="960" w:val="left"/>
          <w:tab w:leader="none" w:pos="10140" w:val="left"/>
        </w:tabs>
        <w:rPr>
          <w:sz w:val="20"/>
          <w:szCs w:val="20"/>
          <w:color w:val="auto"/>
        </w:rPr>
      </w:pPr>
      <w:r>
        <w:rPr>
          <w:rFonts w:ascii="Times New Roman" w:cs="Times New Roman" w:eastAsia="Times New Roman" w:hAnsi="Times New Roman"/>
          <w:sz w:val="20"/>
          <w:szCs w:val="20"/>
          <w:color w:val="auto"/>
        </w:rPr>
        <w:t>Item 1A.</w:t>
        <w:tab/>
        <w:t>Risk Factors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33</w:t>
      </w:r>
    </w:p>
    <w:p>
      <w:pPr>
        <w:spacing w:after="0"/>
        <w:tabs>
          <w:tab w:leader="none" w:pos="960" w:val="left"/>
          <w:tab w:leader="none" w:pos="10140" w:val="left"/>
        </w:tabs>
        <w:rPr>
          <w:sz w:val="20"/>
          <w:szCs w:val="20"/>
          <w:color w:val="auto"/>
        </w:rPr>
      </w:pPr>
      <w:r>
        <w:rPr>
          <w:rFonts w:ascii="Times New Roman" w:cs="Times New Roman" w:eastAsia="Times New Roman" w:hAnsi="Times New Roman"/>
          <w:sz w:val="20"/>
          <w:szCs w:val="20"/>
          <w:color w:val="auto"/>
        </w:rPr>
        <w:t>Item 1B.</w:t>
        <w:tab/>
        <w:t>Unresolved Staff Comments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69</w:t>
      </w:r>
    </w:p>
    <w:p>
      <w:pPr>
        <w:spacing w:after="0"/>
        <w:tabs>
          <w:tab w:leader="none" w:pos="960" w:val="left"/>
          <w:tab w:leader="none" w:pos="10140" w:val="left"/>
        </w:tabs>
        <w:rPr>
          <w:sz w:val="20"/>
          <w:szCs w:val="20"/>
          <w:color w:val="auto"/>
        </w:rPr>
      </w:pPr>
      <w:r>
        <w:rPr>
          <w:rFonts w:ascii="Times New Roman" w:cs="Times New Roman" w:eastAsia="Times New Roman" w:hAnsi="Times New Roman"/>
          <w:sz w:val="20"/>
          <w:szCs w:val="20"/>
          <w:color w:val="auto"/>
        </w:rPr>
        <w:t>Item 1C.</w:t>
        <w:tab/>
        <w:t>Cybersecurity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69</w:t>
      </w:r>
    </w:p>
    <w:p>
      <w:pPr>
        <w:spacing w:after="0"/>
        <w:tabs>
          <w:tab w:leader="none" w:pos="960" w:val="left"/>
          <w:tab w:leader="none" w:pos="1014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71</w:t>
      </w:r>
    </w:p>
    <w:p>
      <w:pPr>
        <w:spacing w:after="0"/>
        <w:tabs>
          <w:tab w:leader="none" w:pos="960" w:val="left"/>
          <w:tab w:leader="none" w:pos="1014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71</w:t>
      </w:r>
    </w:p>
    <w:p>
      <w:pPr>
        <w:spacing w:after="0"/>
        <w:tabs>
          <w:tab w:leader="none" w:pos="960" w:val="left"/>
          <w:tab w:leader="none" w:pos="1014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72</w:t>
      </w:r>
    </w:p>
    <w:p>
      <w:pPr>
        <w:spacing w:after="0"/>
        <w:tabs>
          <w:tab w:leader="none" w:pos="10140" w:val="left"/>
        </w:tabs>
        <w:rPr>
          <w:sz w:val="20"/>
          <w:szCs w:val="20"/>
          <w:color w:val="auto"/>
        </w:rPr>
      </w:pPr>
      <w:r>
        <w:rPr>
          <w:rFonts w:ascii="Times New Roman" w:cs="Times New Roman" w:eastAsia="Times New Roman" w:hAnsi="Times New Roman"/>
          <w:sz w:val="20"/>
          <w:szCs w:val="20"/>
          <w:color w:val="auto"/>
        </w:rPr>
        <w:t>PART II . . . . .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73</w:t>
      </w: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20"/>
          <w:szCs w:val="20"/>
          <w:color w:val="auto"/>
        </w:rPr>
        <w:t>Market for Registrant’s Common Equity, Related Stockholder Matters and Issuer Purchases of Equity</w:t>
      </w:r>
    </w:p>
    <w:p>
      <w:pPr>
        <w:ind w:left="980"/>
        <w:spacing w:after="0"/>
        <w:tabs>
          <w:tab w:leader="none" w:pos="10140" w:val="left"/>
        </w:tabs>
        <w:rPr>
          <w:sz w:val="20"/>
          <w:szCs w:val="20"/>
          <w:color w:val="auto"/>
        </w:rPr>
      </w:pPr>
      <w:r>
        <w:rPr>
          <w:rFonts w:ascii="Times New Roman" w:cs="Times New Roman" w:eastAsia="Times New Roman" w:hAnsi="Times New Roman"/>
          <w:sz w:val="20"/>
          <w:szCs w:val="20"/>
          <w:color w:val="auto"/>
        </w:rPr>
        <w:t>Securities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73</w:t>
      </w:r>
    </w:p>
    <w:p>
      <w:pPr>
        <w:spacing w:after="0"/>
        <w:tabs>
          <w:tab w:leader="none" w:pos="960" w:val="left"/>
          <w:tab w:leader="none" w:pos="1014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74</w:t>
      </w:r>
    </w:p>
    <w:p>
      <w:pPr>
        <w:spacing w:after="0"/>
        <w:tabs>
          <w:tab w:leader="none" w:pos="960" w:val="left"/>
          <w:tab w:leader="none" w:pos="1014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 . . . . . . . . . . . . . . .</w:t>
      </w:r>
      <w:r>
        <w:rPr>
          <w:sz w:val="20"/>
          <w:szCs w:val="20"/>
          <w:color w:val="auto"/>
        </w:rPr>
        <w:tab/>
      </w:r>
      <w:r>
        <w:rPr>
          <w:rFonts w:ascii="Times New Roman" w:cs="Times New Roman" w:eastAsia="Times New Roman" w:hAnsi="Times New Roman"/>
          <w:sz w:val="20"/>
          <w:szCs w:val="20"/>
          <w:color w:val="auto"/>
        </w:rPr>
        <w:t>74</w:t>
      </w:r>
    </w:p>
    <w:p>
      <w:pPr>
        <w:spacing w:after="0"/>
        <w:tabs>
          <w:tab w:leader="none" w:pos="960" w:val="left"/>
          <w:tab w:leader="none" w:pos="10140" w:val="left"/>
        </w:tabs>
        <w:rPr>
          <w:sz w:val="20"/>
          <w:szCs w:val="20"/>
          <w:color w:val="auto"/>
        </w:rPr>
      </w:pPr>
      <w:r>
        <w:rPr>
          <w:rFonts w:ascii="Times New Roman" w:cs="Times New Roman" w:eastAsia="Times New Roman" w:hAnsi="Times New Roman"/>
          <w:sz w:val="20"/>
          <w:szCs w:val="20"/>
          <w:color w:val="auto"/>
        </w:rPr>
        <w:t>Item 7A.</w:t>
        <w:tab/>
        <w:t>Quantitative and Qualitative Disclosures about Market Risk . . . . . . . . . . . . . . . . . . . . . . . . . . . . . . . . . . . . . . . .</w:t>
      </w:r>
      <w:r>
        <w:rPr>
          <w:sz w:val="20"/>
          <w:szCs w:val="20"/>
          <w:color w:val="auto"/>
        </w:rPr>
        <w:tab/>
      </w:r>
      <w:r>
        <w:rPr>
          <w:rFonts w:ascii="Times New Roman" w:cs="Times New Roman" w:eastAsia="Times New Roman" w:hAnsi="Times New Roman"/>
          <w:sz w:val="20"/>
          <w:szCs w:val="20"/>
          <w:color w:val="auto"/>
        </w:rPr>
        <w:t>92</w:t>
      </w:r>
    </w:p>
    <w:p>
      <w:pPr>
        <w:spacing w:after="0"/>
        <w:tabs>
          <w:tab w:leader="none" w:pos="960" w:val="left"/>
          <w:tab w:leader="none" w:pos="1014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94</w:t>
      </w:r>
    </w:p>
    <w:p>
      <w:pPr>
        <w:spacing w:after="0"/>
        <w:tabs>
          <w:tab w:leader="none" w:pos="960" w:val="left"/>
          <w:tab w:leader="none" w:pos="1010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Disclosures . . . . . . . . . . . . .</w:t>
      </w:r>
      <w:r>
        <w:rPr>
          <w:sz w:val="20"/>
          <w:szCs w:val="20"/>
          <w:color w:val="auto"/>
        </w:rPr>
        <w:tab/>
      </w:r>
      <w:r>
        <w:rPr>
          <w:rFonts w:ascii="Times New Roman" w:cs="Times New Roman" w:eastAsia="Times New Roman" w:hAnsi="Times New Roman"/>
          <w:sz w:val="20"/>
          <w:szCs w:val="20"/>
          <w:color w:val="auto"/>
        </w:rPr>
        <w:t>134</w:t>
      </w:r>
    </w:p>
    <w:p>
      <w:pPr>
        <w:spacing w:after="0"/>
        <w:tabs>
          <w:tab w:leader="none" w:pos="960" w:val="left"/>
          <w:tab w:leader="none" w:pos="10100" w:val="left"/>
        </w:tabs>
        <w:rPr>
          <w:sz w:val="20"/>
          <w:szCs w:val="20"/>
          <w:color w:val="auto"/>
        </w:rPr>
      </w:pPr>
      <w:r>
        <w:rPr>
          <w:rFonts w:ascii="Times New Roman" w:cs="Times New Roman" w:eastAsia="Times New Roman" w:hAnsi="Times New Roman"/>
          <w:sz w:val="20"/>
          <w:szCs w:val="20"/>
          <w:color w:val="auto"/>
        </w:rPr>
        <w:t>Item 9A.</w:t>
        <w:tab/>
        <w:t>Controls and Procedures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134</w:t>
      </w:r>
    </w:p>
    <w:p>
      <w:pPr>
        <w:spacing w:after="0"/>
        <w:tabs>
          <w:tab w:leader="none" w:pos="960" w:val="left"/>
          <w:tab w:leader="none" w:pos="10100" w:val="left"/>
        </w:tabs>
        <w:rPr>
          <w:sz w:val="20"/>
          <w:szCs w:val="20"/>
          <w:color w:val="auto"/>
        </w:rPr>
      </w:pPr>
      <w:r>
        <w:rPr>
          <w:rFonts w:ascii="Times New Roman" w:cs="Times New Roman" w:eastAsia="Times New Roman" w:hAnsi="Times New Roman"/>
          <w:sz w:val="20"/>
          <w:szCs w:val="20"/>
          <w:color w:val="auto"/>
        </w:rPr>
        <w:t>Item 9B.</w:t>
        <w:tab/>
        <w:t>Other Information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135</w:t>
      </w:r>
    </w:p>
    <w:p>
      <w:pPr>
        <w:spacing w:after="0"/>
        <w:tabs>
          <w:tab w:leader="none" w:pos="960" w:val="left"/>
          <w:tab w:leader="none" w:pos="10100" w:val="left"/>
        </w:tabs>
        <w:rPr>
          <w:sz w:val="20"/>
          <w:szCs w:val="20"/>
          <w:color w:val="auto"/>
        </w:rPr>
      </w:pPr>
      <w:r>
        <w:rPr>
          <w:rFonts w:ascii="Times New Roman" w:cs="Times New Roman" w:eastAsia="Times New Roman" w:hAnsi="Times New Roman"/>
          <w:sz w:val="20"/>
          <w:szCs w:val="20"/>
          <w:color w:val="auto"/>
        </w:rPr>
        <w:t>Item 9C.</w:t>
        <w:tab/>
        <w:t>Disclosure Regarding Foreign Jurisdictions That Prevent Inspections . . . . . . . . . . . . . . . . . . . . . . . . . . . . . . . .</w:t>
      </w:r>
      <w:r>
        <w:rPr>
          <w:sz w:val="20"/>
          <w:szCs w:val="20"/>
          <w:color w:val="auto"/>
        </w:rPr>
        <w:tab/>
      </w:r>
      <w:r>
        <w:rPr>
          <w:rFonts w:ascii="Times New Roman" w:cs="Times New Roman" w:eastAsia="Times New Roman" w:hAnsi="Times New Roman"/>
          <w:sz w:val="20"/>
          <w:szCs w:val="20"/>
          <w:color w:val="auto"/>
        </w:rPr>
        <w:t>135</w:t>
      </w:r>
    </w:p>
    <w:p>
      <w:pPr>
        <w:spacing w:after="0"/>
        <w:tabs>
          <w:tab w:leader="none" w:pos="10100" w:val="left"/>
        </w:tabs>
        <w:rPr>
          <w:sz w:val="20"/>
          <w:szCs w:val="20"/>
          <w:color w:val="auto"/>
        </w:rPr>
      </w:pPr>
      <w:r>
        <w:rPr>
          <w:rFonts w:ascii="Times New Roman" w:cs="Times New Roman" w:eastAsia="Times New Roman" w:hAnsi="Times New Roman"/>
          <w:sz w:val="20"/>
          <w:szCs w:val="20"/>
          <w:color w:val="auto"/>
        </w:rPr>
        <w:t>Part III . . . . . .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136</w:t>
      </w:r>
    </w:p>
    <w:p>
      <w:pPr>
        <w:spacing w:after="0"/>
        <w:tabs>
          <w:tab w:leader="none" w:pos="960" w:val="left"/>
          <w:tab w:leader="none" w:pos="1010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 . . . . . . . . . . . . . . . . . . . . . . . . . . . . . . . . . . . . . . . . . .</w:t>
      </w:r>
      <w:r>
        <w:rPr>
          <w:sz w:val="20"/>
          <w:szCs w:val="20"/>
          <w:color w:val="auto"/>
        </w:rPr>
        <w:tab/>
      </w:r>
      <w:r>
        <w:rPr>
          <w:rFonts w:ascii="Times New Roman" w:cs="Times New Roman" w:eastAsia="Times New Roman" w:hAnsi="Times New Roman"/>
          <w:sz w:val="20"/>
          <w:szCs w:val="20"/>
          <w:color w:val="auto"/>
        </w:rPr>
        <w:t>136</w:t>
      </w:r>
    </w:p>
    <w:p>
      <w:pPr>
        <w:spacing w:after="0"/>
        <w:tabs>
          <w:tab w:leader="none" w:pos="960" w:val="left"/>
          <w:tab w:leader="none" w:pos="1010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136</w:t>
      </w:r>
    </w:p>
    <w:p>
      <w:pPr>
        <w:spacing w:after="0"/>
        <w:tabs>
          <w:tab w:leader="none" w:pos="960" w:val="left"/>
          <w:tab w:leader="none" w:pos="1010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20"/>
          <w:szCs w:val="20"/>
          <w:color w:val="auto"/>
        </w:rPr>
        <w:t>Security Ownership of Certain Beneficial Owners and Management and Related Stockholder Matters . . . . .</w:t>
      </w:r>
      <w:r>
        <w:rPr>
          <w:sz w:val="20"/>
          <w:szCs w:val="20"/>
          <w:color w:val="auto"/>
        </w:rPr>
        <w:tab/>
      </w:r>
      <w:r>
        <w:rPr>
          <w:rFonts w:ascii="Times New Roman" w:cs="Times New Roman" w:eastAsia="Times New Roman" w:hAnsi="Times New Roman"/>
          <w:sz w:val="20"/>
          <w:szCs w:val="20"/>
          <w:color w:val="auto"/>
        </w:rPr>
        <w:t>136</w:t>
      </w:r>
    </w:p>
    <w:p>
      <w:pPr>
        <w:spacing w:after="0"/>
        <w:tabs>
          <w:tab w:leader="none" w:pos="960" w:val="left"/>
          <w:tab w:leader="none" w:pos="1010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 . . . . . . . . . . . . . . . . . . . . . . . . . .</w:t>
      </w:r>
      <w:r>
        <w:rPr>
          <w:sz w:val="20"/>
          <w:szCs w:val="20"/>
          <w:color w:val="auto"/>
        </w:rPr>
        <w:tab/>
      </w:r>
      <w:r>
        <w:rPr>
          <w:rFonts w:ascii="Times New Roman" w:cs="Times New Roman" w:eastAsia="Times New Roman" w:hAnsi="Times New Roman"/>
          <w:sz w:val="20"/>
          <w:szCs w:val="20"/>
          <w:color w:val="auto"/>
        </w:rPr>
        <w:t>136</w:t>
      </w:r>
    </w:p>
    <w:p>
      <w:pPr>
        <w:spacing w:after="0"/>
        <w:tabs>
          <w:tab w:leader="none" w:pos="960" w:val="left"/>
          <w:tab w:leader="none" w:pos="1010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Accounting Fees and Services . . . . . . . . . . . . . . . . . . . . . . . . . . . . . . . . . . . . . . . . . . . . . . . . . . . . . . . .</w:t>
      </w:r>
      <w:r>
        <w:rPr>
          <w:sz w:val="20"/>
          <w:szCs w:val="20"/>
          <w:color w:val="auto"/>
        </w:rPr>
        <w:tab/>
      </w:r>
      <w:r>
        <w:rPr>
          <w:rFonts w:ascii="Times New Roman" w:cs="Times New Roman" w:eastAsia="Times New Roman" w:hAnsi="Times New Roman"/>
          <w:sz w:val="20"/>
          <w:szCs w:val="20"/>
          <w:color w:val="auto"/>
        </w:rPr>
        <w:t>136</w:t>
      </w:r>
    </w:p>
    <w:p>
      <w:pPr>
        <w:spacing w:after="0"/>
        <w:tabs>
          <w:tab w:leader="none" w:pos="10100" w:val="left"/>
        </w:tabs>
        <w:rPr>
          <w:sz w:val="20"/>
          <w:szCs w:val="20"/>
          <w:color w:val="auto"/>
        </w:rPr>
      </w:pPr>
      <w:r>
        <w:rPr>
          <w:rFonts w:ascii="Times New Roman" w:cs="Times New Roman" w:eastAsia="Times New Roman" w:hAnsi="Times New Roman"/>
          <w:sz w:val="20"/>
          <w:szCs w:val="20"/>
          <w:color w:val="auto"/>
        </w:rPr>
        <w:t>Part IV . . . . . .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137</w:t>
      </w:r>
    </w:p>
    <w:p>
      <w:pPr>
        <w:spacing w:after="0"/>
        <w:tabs>
          <w:tab w:leader="none" w:pos="960" w:val="left"/>
          <w:tab w:leader="none" w:pos="1010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Financial Statement Schedules . . . . . . . . . . . . . . . . . . . . . . . . . . . . . . . . . . . . . . . . . . . . . . . . . . . . . . . .</w:t>
      </w:r>
      <w:r>
        <w:rPr>
          <w:sz w:val="20"/>
          <w:szCs w:val="20"/>
          <w:color w:val="auto"/>
        </w:rPr>
        <w:tab/>
      </w:r>
      <w:r>
        <w:rPr>
          <w:rFonts w:ascii="Times New Roman" w:cs="Times New Roman" w:eastAsia="Times New Roman" w:hAnsi="Times New Roman"/>
          <w:sz w:val="20"/>
          <w:szCs w:val="20"/>
          <w:color w:val="auto"/>
        </w:rPr>
        <w:t>137</w:t>
      </w:r>
    </w:p>
    <w:p>
      <w:pPr>
        <w:spacing w:after="0"/>
        <w:tabs>
          <w:tab w:leader="none" w:pos="960" w:val="left"/>
          <w:tab w:leader="none" w:pos="1010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20"/>
          <w:szCs w:val="20"/>
          <w:color w:val="auto"/>
        </w:rPr>
        <w:t>Form 10-K Summary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139</w:t>
      </w:r>
    </w:p>
    <w:p>
      <w:pPr>
        <w:ind w:left="980"/>
        <w:spacing w:after="0"/>
        <w:tabs>
          <w:tab w:leader="none" w:pos="10100" w:val="left"/>
        </w:tabs>
        <w:rPr>
          <w:sz w:val="20"/>
          <w:szCs w:val="20"/>
          <w:color w:val="auto"/>
        </w:rPr>
      </w:pPr>
      <w:r>
        <w:rPr>
          <w:rFonts w:ascii="Times New Roman" w:cs="Times New Roman" w:eastAsia="Times New Roman" w:hAnsi="Times New Roman"/>
          <w:sz w:val="20"/>
          <w:szCs w:val="20"/>
          <w:color w:val="auto"/>
        </w:rPr>
        <w:t>SIGNATURES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140</w:t>
      </w:r>
    </w:p>
    <w:p>
      <w:pPr>
        <w:sectPr>
          <w:pgSz w:w="11880" w:h="15480" w:orient="portrait"/>
          <w:cols w:equalWidth="0" w:num="1">
            <w:col w:w="10480"/>
          </w:cols>
          <w:pgMar w:left="540" w:top="1345" w:right="86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i</w:t>
      </w:r>
    </w:p>
    <w:p>
      <w:pPr>
        <w:sectPr>
          <w:pgSz w:w="11880" w:h="15480" w:orient="portrait"/>
          <w:cols w:equalWidth="0" w:num="1">
            <w:col w:w="10480"/>
          </w:cols>
          <w:pgMar w:left="540" w:top="1345" w:right="860" w:bottom="66"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42" w:lineRule="exact"/>
        <w:rPr>
          <w:sz w:val="20"/>
          <w:szCs w:val="20"/>
          <w:color w:val="auto"/>
        </w:rPr>
      </w:pPr>
    </w:p>
    <w:p>
      <w:pPr>
        <w:jc w:val="both"/>
        <w:ind w:firstLine="361"/>
        <w:spacing w:after="0" w:line="260" w:lineRule="auto"/>
        <w:rPr>
          <w:sz w:val="20"/>
          <w:szCs w:val="20"/>
          <w:color w:val="auto"/>
        </w:rPr>
      </w:pPr>
      <w:r>
        <w:rPr>
          <w:rFonts w:ascii="Times New Roman" w:cs="Times New Roman" w:eastAsia="Times New Roman" w:hAnsi="Times New Roman"/>
          <w:sz w:val="19"/>
          <w:szCs w:val="19"/>
          <w:color w:val="auto"/>
        </w:rPr>
        <w:t>This Annual Report on Form 10-K includes forward- 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186"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Forward-looking statements contained in this Annual Report on Form 10-K may include, but are not limited to, statements about:</w:t>
      </w:r>
    </w:p>
    <w:p>
      <w:pPr>
        <w:spacing w:after="0" w:line="255" w:lineRule="exact"/>
        <w:rPr>
          <w:sz w:val="20"/>
          <w:szCs w:val="20"/>
          <w:color w:val="auto"/>
        </w:rPr>
      </w:pPr>
    </w:p>
    <w:p>
      <w:pPr>
        <w:ind w:left="720" w:hanging="361"/>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future business, social and environmental performance, goals and measures;</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anticipated growth prospects and trends in markets and industries relevant to our business;</w:t>
      </w:r>
    </w:p>
    <w:p>
      <w:pPr>
        <w:spacing w:after="0" w:line="252" w:lineRule="exact"/>
        <w:rPr>
          <w:rFonts w:ascii="Arial" w:cs="Arial" w:eastAsia="Arial" w:hAnsi="Arial"/>
          <w:sz w:val="20"/>
          <w:szCs w:val="20"/>
          <w:color w:val="auto"/>
        </w:rPr>
      </w:pPr>
    </w:p>
    <w:p>
      <w:pPr>
        <w:ind w:left="720" w:hanging="361"/>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business and investment plans;</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expectations about our ability to maintain or enhance our leadership position in the markets in which we participate;</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future consumer demand and behavior, including expectations about excess inventory utilization by customers;</w:t>
      </w:r>
    </w:p>
    <w:p>
      <w:pPr>
        <w:spacing w:after="0" w:line="252" w:lineRule="exact"/>
        <w:rPr>
          <w:rFonts w:ascii="Arial" w:cs="Arial" w:eastAsia="Arial" w:hAnsi="Arial"/>
          <w:sz w:val="20"/>
          <w:szCs w:val="20"/>
          <w:color w:val="auto"/>
        </w:rPr>
      </w:pPr>
    </w:p>
    <w:p>
      <w:pPr>
        <w:ind w:left="720" w:hanging="361"/>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effectively compete in the markets in which we operate;</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future products and technology, and the expected availability and benefits of such products and technology;</w:t>
      </w:r>
    </w:p>
    <w:p>
      <w:pPr>
        <w:spacing w:after="0" w:line="252" w:lineRule="exact"/>
        <w:rPr>
          <w:rFonts w:ascii="Arial" w:cs="Arial" w:eastAsia="Arial" w:hAnsi="Arial"/>
          <w:sz w:val="20"/>
          <w:szCs w:val="20"/>
          <w:color w:val="auto"/>
        </w:rPr>
      </w:pPr>
    </w:p>
    <w:p>
      <w:pPr>
        <w:ind w:left="720" w:hanging="361"/>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 of regulatory frameworks for current and future technology;</w:t>
      </w:r>
    </w:p>
    <w:p>
      <w:pPr>
        <w:spacing w:after="0" w:line="253" w:lineRule="exact"/>
        <w:rPr>
          <w:rFonts w:ascii="Arial" w:cs="Arial" w:eastAsia="Arial" w:hAnsi="Arial"/>
          <w:sz w:val="20"/>
          <w:szCs w:val="20"/>
          <w:color w:val="auto"/>
        </w:rPr>
      </w:pPr>
    </w:p>
    <w:p>
      <w:pPr>
        <w:ind w:right="40" w:firstLine="359"/>
        <w:spacing w:after="0" w:line="279"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regulation and trade policy, including increased tariffs, in regions in which we operate, including the U.S., Europe and China;</w:t>
      </w:r>
    </w:p>
    <w:p>
      <w:pPr>
        <w:spacing w:after="0" w:line="178" w:lineRule="exact"/>
        <w:rPr>
          <w:rFonts w:ascii="Arial" w:cs="Arial" w:eastAsia="Arial" w:hAnsi="Arial"/>
          <w:sz w:val="20"/>
          <w:szCs w:val="20"/>
          <w:color w:val="auto"/>
        </w:rPr>
      </w:pPr>
    </w:p>
    <w:p>
      <w:pPr>
        <w:ind w:left="720" w:hanging="360"/>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projected cost and pricing trends;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future production capacity and product supply;</w:t>
      </w:r>
    </w:p>
    <w:p>
      <w:pPr>
        <w:spacing w:after="0" w:line="252" w:lineRule="exact"/>
        <w:rPr>
          <w:rFonts w:ascii="Arial" w:cs="Arial" w:eastAsia="Arial" w:hAnsi="Arial"/>
          <w:sz w:val="20"/>
          <w:szCs w:val="20"/>
          <w:color w:val="auto"/>
        </w:rPr>
      </w:pPr>
    </w:p>
    <w:p>
      <w:pPr>
        <w:ind w:firstLine="360"/>
        <w:spacing w:after="0" w:line="279"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future benefits and competitive advantages associated with our technologies and architecture and the data we have accumulated;</w:t>
      </w:r>
    </w:p>
    <w:p>
      <w:pPr>
        <w:spacing w:after="0" w:line="178" w:lineRule="exact"/>
        <w:rPr>
          <w:rFonts w:ascii="Arial" w:cs="Arial" w:eastAsia="Arial" w:hAnsi="Arial"/>
          <w:sz w:val="20"/>
          <w:szCs w:val="20"/>
          <w:color w:val="auto"/>
        </w:rPr>
      </w:pPr>
    </w:p>
    <w:p>
      <w:pPr>
        <w:ind w:firstLine="360"/>
        <w:spacing w:after="0" w:line="279"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future purchase, use and availability of products, components and services supplied by third parties, including third-party IP and manufacturing services;</w:t>
      </w:r>
    </w:p>
    <w:p>
      <w:pPr>
        <w:spacing w:after="0" w:line="179" w:lineRule="exact"/>
        <w:rPr>
          <w:rFonts w:ascii="Arial" w:cs="Arial" w:eastAsia="Arial" w:hAnsi="Arial"/>
          <w:sz w:val="20"/>
          <w:szCs w:val="20"/>
          <w:color w:val="auto"/>
        </w:rPr>
      </w:pPr>
    </w:p>
    <w:p>
      <w:pPr>
        <w:ind w:firstLine="360"/>
        <w:spacing w:after="0" w:line="279"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uncertain events or assumptions, including statements relating to our estimated vehicle production and market opportunity, potential production volumes associated with design wins and other characterizations of future events or circumstances;</w:t>
      </w:r>
    </w:p>
    <w:p>
      <w:pPr>
        <w:spacing w:after="0" w:line="178" w:lineRule="exact"/>
        <w:rPr>
          <w:rFonts w:ascii="Arial" w:cs="Arial" w:eastAsia="Arial" w:hAnsi="Arial"/>
          <w:sz w:val="20"/>
          <w:szCs w:val="20"/>
          <w:color w:val="auto"/>
        </w:rPr>
      </w:pPr>
    </w:p>
    <w:p>
      <w:pPr>
        <w:ind w:firstLine="359"/>
        <w:spacing w:after="0" w:line="279"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availability, uses, sufficiency and cost of capital and capital resources, including expected returns to stockholders such as dividends, and the expected timing of future dividends;</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w:t>
      </w:r>
    </w:p>
    <w:p>
      <w:pPr>
        <w:sectPr>
          <w:pgSz w:w="11880" w:h="15480" w:orient="portrait"/>
          <w:cols w:equalWidth="0" w:num="1">
            <w:col w:w="10800"/>
          </w:cols>
          <w:pgMar w:left="540" w:top="1345" w:right="540" w:bottom="0" w:gutter="0" w:footer="0" w:header="0"/>
          <w:type w:val="continuous"/>
        </w:sectPr>
      </w:pPr>
    </w:p>
    <w:bookmarkStart w:id="5" w:name="page6"/>
    <w:bookmarkEnd w:id="5"/>
    <w:p>
      <w:pPr>
        <w:ind w:left="720" w:hanging="360"/>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tax- and accounting-related expectations;</w:t>
      </w:r>
    </w:p>
    <w:p>
      <w:pPr>
        <w:spacing w:after="0" w:line="252" w:lineRule="exact"/>
        <w:rPr>
          <w:rFonts w:ascii="Arial" w:cs="Arial" w:eastAsia="Arial" w:hAnsi="Arial"/>
          <w:sz w:val="20"/>
          <w:szCs w:val="20"/>
          <w:color w:val="auto"/>
        </w:rPr>
      </w:pPr>
    </w:p>
    <w:p>
      <w:pPr>
        <w:ind w:firstLine="360"/>
        <w:spacing w:after="0" w:line="279"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adverse conditions in Israel, including in connection with Israeli military operations in response to the October 7, 2023 terrorist attacks, which may affect our operations and may limit our ability to produce and sell our solutions;</w:t>
      </w:r>
    </w:p>
    <w:p>
      <w:pPr>
        <w:spacing w:after="0" w:line="178" w:lineRule="exact"/>
        <w:rPr>
          <w:rFonts w:ascii="Arial" w:cs="Arial" w:eastAsia="Arial" w:hAnsi="Arial"/>
          <w:sz w:val="20"/>
          <w:szCs w:val="20"/>
          <w:color w:val="auto"/>
        </w:rPr>
      </w:pPr>
    </w:p>
    <w:p>
      <w:pPr>
        <w:ind w:firstLine="360"/>
        <w:spacing w:after="0" w:line="279"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any disruption in our operations by the obligations of our personnel to perform military service as a result of current or future military actions involving Israel; and</w:t>
      </w:r>
    </w:p>
    <w:p>
      <w:pPr>
        <w:spacing w:after="0" w:line="178" w:lineRule="exact"/>
        <w:rPr>
          <w:rFonts w:ascii="Arial" w:cs="Arial" w:eastAsia="Arial" w:hAnsi="Arial"/>
          <w:sz w:val="20"/>
          <w:szCs w:val="20"/>
          <w:color w:val="auto"/>
        </w:rPr>
      </w:pPr>
    </w:p>
    <w:p>
      <w:pPr>
        <w:ind w:firstLine="360"/>
        <w:spacing w:after="0" w:line="279"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other statements described in this Annual Report on Form 10-K, including under the sections entitled “Item 1A. Risk Factors,” “Item 7. Management’s Discussion and Analysis of Financial Condition and Results of Operations” and “Item 1. Business”.</w:t>
      </w:r>
    </w:p>
    <w:p>
      <w:pPr>
        <w:spacing w:after="0" w:line="165"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The risk factors discussed under the section entitled “Item 1A. Risk Factors” included herein could cause our results to differ materially from those expressed in the forward-looking statements made in this Annual Report on Form 10-K.</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There also may be other risks that are currently unknown to us or that we are unable to predict at this time.</w:t>
      </w:r>
    </w:p>
    <w:p>
      <w:pPr>
        <w:sectPr>
          <w:pgSz w:w="11880" w:h="15480" w:orient="portrait"/>
          <w:cols w:equalWidth="0" w:num="1">
            <w:col w:w="10800"/>
          </w:cols>
          <w:pgMar w:left="540" w:top="136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10800"/>
          </w:cols>
          <w:pgMar w:left="540" w:top="1363" w:right="540" w:bottom="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7" w:lineRule="exact"/>
        <w:rPr>
          <w:sz w:val="20"/>
          <w:szCs w:val="20"/>
          <w:color w:val="auto"/>
        </w:rPr>
      </w:pPr>
    </w:p>
    <w:p>
      <w:pPr>
        <w:jc w:val="both"/>
        <w:ind w:firstLine="361"/>
        <w:spacing w:after="0" w:line="247" w:lineRule="auto"/>
        <w:rPr>
          <w:sz w:val="20"/>
          <w:szCs w:val="20"/>
          <w:color w:val="auto"/>
        </w:rPr>
      </w:pPr>
      <w:r>
        <w:rPr>
          <w:rFonts w:ascii="Times New Roman" w:cs="Times New Roman" w:eastAsia="Times New Roman" w:hAnsi="Times New Roman"/>
          <w:sz w:val="20"/>
          <w:szCs w:val="20"/>
          <w:i w:val="1"/>
          <w:iCs w:val="1"/>
          <w:color w:val="auto"/>
        </w:rPr>
        <w:t>In this Annual Report on Form 10-K, references to “we,” “us,” “our,” our “company,” “Mobileye,” the “Company,” and similar terms refer to Mobileye Global Inc. and, unless the context requires otherwise, its consolidated subsidiaries, except with respect to our historical business, operations, financial performance, and financial condition prior to our initial public offering, where such terms refer to Mobileye Group, which combines the operations of Cyclops Holdings Corporation, Mobileye B.V., GG Acquisition Ltd., Moovit App Global Ltd., and their respective subsidiaries, along with certain Intel employees mainly in research and development. References to “Moovit” refer to GG Acquisition Ltd., Moovit App Global Ltd. and their consolidated subsidiaries.</w:t>
      </w:r>
    </w:p>
    <w:p>
      <w:pPr>
        <w:spacing w:after="0" w:line="200"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i w:val="1"/>
          <w:iCs w:val="1"/>
          <w:color w:val="auto"/>
        </w:rPr>
        <w:t>We have a 52- or 53-week fiscal year that ends on the last Saturday in December. Fiscal years 2024 and 2023 were 52-week fiscal years; fiscal year 2022 was a 53-week fiscal year. The additional week in fiscal year 2022 was added to the first quarter, which consisted of 14 weeks. Any references to our performance for the years 2024, 2023 and 2022 are references to our fiscal years ended December 28, 2024, December 30, 2023 and December 31, 2022, respectively, and all references to our financial condition as of the end of 2024 and 2023 are references to the end of such fiscal years. Certain amounts, percentages, and other figures presented in this report have been subject to rounding adjustments. Accordingly, figures shown as totals, dollars, or percentage amounts of changes may not represent the arithmetic summation or calculation of the figures that precede them.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24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8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 -critical capabilities at the edge and in the cloud, advancing the safety of road users, and revolutionizing the driving experience and the movement of people and goods globally.</w:t>
      </w:r>
    </w:p>
    <w:p>
      <w:pPr>
        <w:spacing w:after="0" w:line="190"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While today ADAS is central to the advancement of automotive safety, we believe that an evolutionary path toward fully autonomous vehicles is the future of mobility. While still nascent, full autonomy</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where a human is not actively engaged in driving the vehicle for extended periods of time</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requires the autonomous driving solution to be capable of navigating any environment in any condition at any time. The ability to drive autonomously not only requires a substantial amount of data, but also a robust technology platform that optimizes both precision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safety) and recall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availability) without compromise, and can withstand the validation and audit process of global regulatory bodies. Further, the autonomous driving solution needs to be produced at a cost that makes it affordable. We are building our technology platform to address these fundamental and significant challenges in order to enable a full spectrum of solutions, from ADAS to autonomous driving, with several incremental steps in between.</w:t>
      </w:r>
    </w:p>
    <w:p>
      <w:pPr>
        <w:spacing w:after="0" w:line="200"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We believe that our industry-leading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efficient and modular by design, enabling our customers to productize our most advanced solutions today and then leverage those investments to launch even more advanced systems in a modular and incremental manner. Our solutions are also highly customizable, which allows our customers to benefit from the core technology supporting our advanced solutions while also augmenting and differentiating their offerings.</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10800"/>
          </w:cols>
          <w:pgMar w:left="540" w:top="1345" w:right="540" w:bottom="0" w:gutter="0" w:footer="0" w:header="0"/>
          <w:type w:val="continuous"/>
        </w:sectPr>
      </w:pPr>
    </w:p>
    <w:bookmarkStart w:id="7" w:name="page8"/>
    <w:bookmarkEnd w:id="7"/>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We have experienced significant growth since our founding. For 2024, 2023 and 2022, our revenue was $1.7 billion, $2.1 billion and $1.9 billion, respectively, representing a year-over-year decrease of 20% in 2024 compared to 2023 primarily due to a significant drawdown of excess inventory at our Tier 1 customers and a reduction in volumes shipped to China in 2024. We currently derive substantially all of our revenue from our commercially deployed ADAS solutions. We recorded net losses of $3,090 million, $27 million and $82 million in 2024, 2023 and 2022, respectively, with the net loss in 2024 primarily being the result of recording a $2,695 million ($2,613 million, net of tax) non-cash impairment of goodwill in the third quarter of 2024. Our Adjusted Net Income for 2024, 2023 and 2022 was $205 million, $659 million and $605 million, respectively. Adjusted Net Income is a non-GAAP financial measure; see “Item 7. Management’s Discussion and Analysis of Financial Condition and Results of Operations – Non-GAAP Financial Measures” for a reconciliation of Adjusted Net Income to Net Income (Loss). The adjustments to reconcile Net Income (Loss) with Adjusted Net Income are related to amortization of intangible assets, stock-based compensation expenses, impairment of goodwill, expenses related to the initial public offering of Mobileye in October 2022 (the “Mobileye IPO”) and related income tax effects where applicable. The amortization of intangible assets consisting of developed technology, customer relationships and brands, is primarily a result of Intel’s acquisition of Mobileye in 2017 and, to a lesser extent, the acquisition of Moovit in 2020.</w:t>
      </w:r>
    </w:p>
    <w:p>
      <w:pPr>
        <w:spacing w:after="0" w:line="204"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As of December 28, 2024, our solutions have been installed in approximately 1,200 vehicle models (including local country, year, and other vehicle model variations), and our System-on-Chips (“SoCs”) have been deployed in over 200 million vehicles. We are actively working with more than 50 Original Equipment Manufacturers (“OEMs”) worldwide on the implementation of our ADAS solutions. For the year ended December 28, 2024, we shipped approximately 29.0 million of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and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systems, of which the substantial majority were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This represents a decrease from approximately 37.4 million systems that we shipped in 2023, and approximately 33.7 million systems that we shipped in 2022, primarily due to a significant drawdown of excess inventory at our Tier 1 customers and a reduction in volumes shipped to China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507365</wp:posOffset>
            </wp:positionV>
            <wp:extent cx="5816600" cy="254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extLst>
                    </a:blip>
                    <a:srcRect/>
                    <a:stretch>
                      <a:fillRect/>
                    </a:stretch>
                  </pic:blipFill>
                  <pic:spPr bwMode="auto">
                    <a:xfrm>
                      <a:off x="0" y="0"/>
                      <a:ext cx="5816600" cy="254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We were founded in Israel in 1999. Our co-founder, Professor Amnon Shashua, is our President and Chief Executive Officer. In 2014, we completed an initial public offering as a foreign private issuer and traded under the symbol MBLY on the New York Stock Exchange. Intel Corporation (“Intel”) acquired Mobileye for $15.3 billion in 2017, after which we became a wholly-owned subsidiary of Intel. We completed the internal reorganization and design of our new public entity (the “Reorganization”) and the Mobileye IPO in October 2022.</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10800"/>
          </w:cols>
          <w:pgMar w:left="540" w:top="1347" w:right="540" w:bottom="0" w:gutter="0" w:footer="0" w:header="0"/>
          <w:type w:val="continuous"/>
        </w:sectPr>
      </w:pPr>
    </w:p>
    <w:bookmarkStart w:id="8" w:name="page9"/>
    <w:bookmarkEnd w:id="8"/>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Our Technology Platform is Built to Enable the Full-Stack of Autonomous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165100</wp:posOffset>
            </wp:positionV>
            <wp:extent cx="5722620" cy="2550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extLst>
                    </a:blip>
                    <a:srcRect/>
                    <a:stretch>
                      <a:fillRect/>
                    </a:stretch>
                  </pic:blipFill>
                  <pic:spPr bwMode="auto">
                    <a:xfrm>
                      <a:off x="0" y="0"/>
                      <a:ext cx="5722620" cy="2550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technology platform, which includes our software and hardware intellectual property, leverages our decades of experience as a technology leader for sensing and perception solutions for the automotive industry and our focused efforts to build highly scalable, compute-efficient and cost-efficient autonomous solutions. Our technologies are foundational to the development and deployment of our ADAS and AV capabilities. Our platform is built on five fundamental pillars:</w:t>
      </w:r>
    </w:p>
    <w:p>
      <w:pPr>
        <w:spacing w:after="0" w:line="202" w:lineRule="exact"/>
        <w:rPr>
          <w:sz w:val="20"/>
          <w:szCs w:val="20"/>
          <w:color w:val="auto"/>
        </w:rPr>
      </w:pPr>
    </w:p>
    <w:p>
      <w:pPr>
        <w:jc w:val="both"/>
        <w:ind w:firstLine="360"/>
        <w:spacing w:after="0" w:line="246" w:lineRule="auto"/>
        <w:tabs>
          <w:tab w:leader="none" w:pos="721"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b w:val="1"/>
          <w:bCs w:val="1"/>
          <w:u w:val="single" w:color="auto"/>
          <w:color w:val="auto"/>
        </w:rPr>
        <w:t>Computer Vision Processing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Mobileye’s history as a cutting-edge deployer of AI-based solutions in the real world starts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our expertise in computer vision processing. ADAS solutions are responsible for saving lives and must meet very high-performance metrics with extreme levels of efficiency, as well as pass increasing oversight from regulatory bodies. “Good enough” is simply not acceptable. The precision requirements for advanced solutions in the Premium ADAS and AV segments are even more exacting. We are a technology leader for computer vision technology for ADAS, largely through front camera solutions, and we have continuously enhanced our leadership position through our ability to meet the extreme performance, accuracy, and cost metrics of our OEM customers. In recent years, we have expanded our capability to enable creation of a 360-degree world-view through the processing of multiple cameras placed around the vehicle to support our portfolio of advanced solutions. Our products primarily use monocular camera processing that works accurately alone, or together with radar and lidar for redundancy. The software supporting camera processing is diverse, including end-to-end neural network processing (both 2- and 3-dimensional) and model-based techniques, among other approaches, This compound AI system structure leads to internal redundancies within the camera-based perception system that enhances precision through design. We have been responsible for many “industry first” launches using monocular vision processing, and have enhanced our computer vision capabilities over time to include multiple cameras such as the trifocal camera configuration (three cameras with different fields of view placed side-by-side facing forward), which has been in series production since 2018, and the 11-camera configuration on our Mobileye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solution, which was launched in late 2021.</w:t>
      </w:r>
    </w:p>
    <w:p>
      <w:pPr>
        <w:spacing w:after="0" w:line="107" w:lineRule="exact"/>
        <w:rPr>
          <w:rFonts w:ascii="Arial" w:cs="Arial" w:eastAsia="Arial" w:hAnsi="Arial"/>
          <w:sz w:val="20"/>
          <w:szCs w:val="20"/>
          <w:color w:val="auto"/>
        </w:rPr>
      </w:pPr>
    </w:p>
    <w:p>
      <w:pPr>
        <w:jc w:val="both"/>
        <w:ind w:firstLine="360"/>
        <w:spacing w:after="0" w:line="216" w:lineRule="auto"/>
        <w:tabs>
          <w:tab w:leader="none" w:pos="721"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b w:val="1"/>
          <w:bCs w:val="1"/>
          <w:u w:val="single" w:color="auto"/>
          <w:color w:val="auto"/>
        </w:rPr>
        <w:t>Road Experience Management</w:t>
      </w:r>
      <w:r>
        <w:rPr>
          <w:rFonts w:ascii="Times New Roman" w:cs="Times New Roman" w:eastAsia="Times New Roman" w:hAnsi="Times New Roman"/>
          <w:sz w:val="25"/>
          <w:szCs w:val="25"/>
          <w:b w:val="1"/>
          <w:bCs w:val="1"/>
          <w:u w:val="single" w:color="auto"/>
          <w:color w:val="auto"/>
          <w:vertAlign w:val="superscript"/>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Our Road Experience Management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technology generates high-precision maps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support advanced ADAS and autonomous vehicle systems from crowd-sourced data that is uploaded and analyzed in the cloud from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-equipped production ADAS solutions deployed on vehicles on the road.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is a cloud-based system that leverages the broad installed-base of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-equipped vehicles to build Mobileye Roadbook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our crowd-sourced, high-precision definition maps of roads from around the world. Our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mapping system harvests small packets of Road Segment Data from various vehicle models produced by our partner OEMs that are equipped with special processing software that extracts only the relevant information necessary to support increasing levels of ADAS and autonomous driving. In 2024 alone, we collected 29.6 billion miles of road data from, based on our estimates, 3 million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-enabled vehicles worldwide. The Road Segment Data is uploaded to the cloud where our software automatically creates and updates a detailed and accurate model of the road. Our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mapping system seamlessly creates high-precision maps from such Road Segment Data in the cloud at centimeter-level detail, which are then delivered to the edge and integrated with our computer vision engines to provide vehicles with real-time intelligence, including situational awareness, context, and foresight. Mobileye Roadbook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was designed to provide the driving solution with a pre-aggregated representation of relevant static and slowly changing elements of the environment (road geometry, boundaries, and semantics) and temporary events such as construction zones and road debris, at a high refresh rate.</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10800"/>
          </w:cols>
          <w:pgMar w:left="540" w:top="1350" w:right="540" w:bottom="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857250</wp:posOffset>
            </wp:positionH>
            <wp:positionV relativeFrom="page">
              <wp:posOffset>869950</wp:posOffset>
            </wp:positionV>
            <wp:extent cx="5826125" cy="5997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extLst>
                    </a:blip>
                    <a:srcRect/>
                    <a:stretch>
                      <a:fillRect/>
                    </a:stretch>
                  </pic:blipFill>
                  <pic:spPr bwMode="auto">
                    <a:xfrm>
                      <a:off x="0" y="0"/>
                      <a:ext cx="5826125" cy="599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60"/>
        <w:spacing w:after="0" w:line="233" w:lineRule="auto"/>
        <w:tabs>
          <w:tab w:leader="none" w:pos="721"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b w:val="1"/>
          <w:bCs w:val="1"/>
          <w:u w:val="single" w:color="auto"/>
          <w:color w:val="auto"/>
        </w:rPr>
        <w:t>Compound Artificial Intelligence Systems, including True Redundancy</w:t>
      </w:r>
      <w:r>
        <w:rPr>
          <w:rFonts w:ascii="Times New Roman" w:cs="Times New Roman" w:eastAsia="Times New Roman" w:hAnsi="Times New Roman"/>
          <w:sz w:val="25"/>
          <w:szCs w:val="25"/>
          <w:b w:val="1"/>
          <w:bCs w:val="1"/>
          <w:u w:val="single" w:color="auto"/>
          <w:color w:val="auto"/>
          <w:vertAlign w:val="superscript"/>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Our Compound AI structure supports precision,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recall, and overall efficiency by design. While recent advancements in transformer-based architectures and Generative AI create efficiencies in learning-based systems, which Mobileye makes full use of, it also introduces shortfalls such as lack of abstraction, shortcut-learning problem, alignment issues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learning from common but incorrect data), and the long-tail problem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identifying and fixing edge cases one by one). Inevitably this approach is intended to drive high recall at the expense of precision. This inherently introduces significant risk when it comes to the complexity of real-world driving scenarios. Our solution, which aligns with the latest developments in Generative AI even in non safety-critical applications includes insertion of abstractions and an architecture with multiple levels of redundancies that support a quadratic improvement in precision through design. Insertion of abstractions can successfully convert large sets of out-of-distribution edge cases to in-distribution without the need for iterative network re-training with more and more data. Additionally, our structure includes redundancies within the computer vision stack, the fusion of mapping with real-time perception, the fusion of decomposable and end-to-end architectures, and True Redundancy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 the fusion of independent world-views produced by separate vision and radar/lidar-based subsystems.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10800"/>
          </w:cols>
          <w:pgMar w:left="540" w:top="1440" w:right="540" w:bottom="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864235</wp:posOffset>
            </wp:positionH>
            <wp:positionV relativeFrom="page">
              <wp:posOffset>869950</wp:posOffset>
            </wp:positionV>
            <wp:extent cx="5816600" cy="32734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extLst>
                    </a:blip>
                    <a:srcRect/>
                    <a:stretch>
                      <a:fillRect/>
                    </a:stretch>
                  </pic:blipFill>
                  <pic:spPr bwMode="auto">
                    <a:xfrm>
                      <a:off x="0" y="0"/>
                      <a:ext cx="5816600" cy="327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When it comes to safety, our multi-faceted high-level fusion structure is governed by a Primary / Guardian / Fallback methodology (“PGF”) which can handle “majority-rule” as well as non-binary discrepancies. This technology approach supports a quadratic improvement in precision through a framework in which the system only fails if two subsystems fail concurrently. It is a critical enabler of our goal of building a fully autonomous driving-system that can be validated as safer than human- driven vehicles, devoid of unreasonable risks, and deployed in a cost-efficient manner. This approach separates our system from competitors that utilize a monolithic approach.</w:t>
      </w:r>
    </w:p>
    <w:p>
      <w:pPr>
        <w:spacing w:after="0" w:line="206" w:lineRule="exact"/>
        <w:rPr>
          <w:sz w:val="20"/>
          <w:szCs w:val="20"/>
          <w:color w:val="auto"/>
        </w:rPr>
      </w:pPr>
    </w:p>
    <w:p>
      <w:pPr>
        <w:jc w:val="both"/>
        <w:ind w:firstLine="360"/>
        <w:spacing w:after="0" w:line="244" w:lineRule="auto"/>
        <w:tabs>
          <w:tab w:leader="none" w:pos="721"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b w:val="1"/>
          <w:bCs w:val="1"/>
          <w:u w:val="single" w:color="auto"/>
          <w:color w:val="auto"/>
        </w:rPr>
        <w:t>Next Generation Imaging Radars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solution targeted to complement the camera-based system with a sensor that has nearly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fully-independent failure modes, supports high precision and to reduce the need for multiple expensive lidar sensors, supports cost-efficiency, a major component of recall. The in-house development of imaging radar is a key enabler of our goal of building a cost-effective fully autonomous driving-system. Our radar is expected to deliver rich point-cloud models like those customary of lidar, with far higher resolution and significantly more dynamic range than traditional radar. During 2024, these goals were validated through widespread testing of our B-sample hardware by a number of OEMs. These radars differ from legacy radar and other imaging radar development as, backed by advanced processing algorithms, they can enable an independent “sensing state” with independent failure modes than the camera-based system which supports a quadratic improvement in mean-time-between failure. Our choice to focus on the evolution of the radar modality is also related to its cost structure which is significantly below lidar sensors. We believe our custom designed imaging radars address not only the performance, but also the cost limitations of lidar-centric solutions for mass AV deployment. We have selected multiple manufacturers for this solution which is approaching start of production.</w:t>
      </w:r>
    </w:p>
    <w:p>
      <w:pPr>
        <w:spacing w:after="0" w:line="210" w:lineRule="exact"/>
        <w:rPr>
          <w:rFonts w:ascii="Arial" w:cs="Arial" w:eastAsia="Arial" w:hAnsi="Arial"/>
          <w:sz w:val="20"/>
          <w:szCs w:val="20"/>
          <w:color w:val="auto"/>
        </w:rPr>
      </w:pPr>
    </w:p>
    <w:p>
      <w:pPr>
        <w:jc w:val="both"/>
        <w:ind w:firstLine="359"/>
        <w:spacing w:after="0" w:line="218" w:lineRule="auto"/>
        <w:tabs>
          <w:tab w:leader="none" w:pos="719"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b w:val="1"/>
          <w:bCs w:val="1"/>
          <w:u w:val="single" w:color="auto"/>
          <w:color w:val="auto"/>
        </w:rPr>
        <w:t>Our Family of Purpose-Built EyeQ</w:t>
      </w:r>
      <w:r>
        <w:rPr>
          <w:rFonts w:ascii="Times New Roman" w:cs="Times New Roman" w:eastAsia="Times New Roman" w:hAnsi="Times New Roman"/>
          <w:sz w:val="25"/>
          <w:szCs w:val="25"/>
          <w:b w:val="1"/>
          <w:bCs w:val="1"/>
          <w:u w:val="single" w:color="auto"/>
          <w:color w:val="auto"/>
          <w:vertAlign w:val="superscript"/>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SoCs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Fundamental to our leadership position in ADAS and our ambitions to develop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most cost-efficient, high-performing AV solutions,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incorporate a set of proprietary compute-acceleration models to enhance the accuracy, quality, and functional safety of our perception solutions, while minimizing the power consumption to address the requirements of the automotive market. The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family design also enables a scalable Electronic Control Unit (“ECU”) architecture, thereby supporting a variety of ADAS and autonomous vehicle solution architectures that meet the functional safety requirements of our customers. These solutions range from base, windshield mounted ECUs to multi-SoC central compute ECUs supported currently by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5 High and in the near future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6 High, which can be deployed in a scalable way to support a full suite of Premium ADAS and AV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10800"/>
          </w:cols>
          <w:pgMar w:left="540" w:top="1440" w:right="540" w:bottom="0" w:gutter="0" w:footer="0" w:header="0"/>
        </w:sectPr>
      </w:pPr>
    </w:p>
    <w:bookmarkStart w:id="11" w:name="page12"/>
    <w:bookmarkEnd w:id="11"/>
    <w:p>
      <w:pPr>
        <w:jc w:val="both"/>
        <w:ind w:firstLine="360"/>
        <w:spacing w:after="0" w:line="231" w:lineRule="auto"/>
        <w:rPr>
          <w:sz w:val="20"/>
          <w:szCs w:val="20"/>
          <w:color w:val="auto"/>
        </w:rPr>
      </w:pPr>
      <w:r>
        <w:rPr>
          <w:rFonts w:ascii="Times New Roman" w:cs="Times New Roman" w:eastAsia="Times New Roman" w:hAnsi="Times New Roman"/>
          <w:sz w:val="20"/>
          <w:szCs w:val="20"/>
          <w:color w:val="auto"/>
        </w:rPr>
        <w:t>Efficiency of our inference silicon design is a core enabler of the overall efficiency of our system, and is critical in applications like automotive which highly value packaging size and power consumption. Designing an efficient silicon architecture requires optimizing the competing factors of efficiency and flexibility. We accomplish this through the development a variety of accelerators, each of which are designed to perform specific tasks that either most favor efficiency, flexibility, or a combination of both. Successful design has led to a 10-times improvement in frames-per-second processing for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6 High, as compared to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5 High, despite only double the headline processing power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TOPS) and 25% higher power consumption. Based on competitive benchmarking, the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6 High is significantly more efficient than more general purpose SoC’s that are much higher headline processing power, in terms of frames-per-second, latency, and cost. We continue to believe that, as AV solutions continue to develop, efficiency of inference silicon will be one of the most significant purchasing criteria and Mobileye has inherent advantages in this area.</w:t>
      </w:r>
    </w:p>
    <w:p>
      <w:pPr>
        <w:spacing w:after="0" w:line="207"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5 SoCs and subsequent generations are increasingly customizable by our OEM customers, supported by our Driving Experience Platform (“DXP”). DXP is a software platform that enables automakers to develop and customize the driving experience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 the OEM-unique aspect of a vehicle’s automated driving features) while utilizing Mobileye’s proven core technology perception and driving policy software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objective, universal aspects of a vehicle’s automated driving features). This new application programming interface supports our customers’ desire to create unique products from our technology while also accelerating time-to-market and reducing overall execution risk. Importantly, this collaborative addition to our platform offer a mutually beneficial middle ground between open and closed systems which we believe is the optimal path forward.</w:t>
      </w:r>
    </w:p>
    <w:p>
      <w:pPr>
        <w:spacing w:after="0" w:line="20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These five pillars form the core of our highly versatile and customizable platform, which we intend to deploy with progressively increasing functionality to continue to enhance our market-leading ADAS solutions and lead the evolution to autonomous driving solutions.</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The Autonomous Vehicle Revolution</w:t>
      </w:r>
    </w:p>
    <w:p>
      <w:pPr>
        <w:spacing w:after="0" w:line="242" w:lineRule="exact"/>
        <w:rPr>
          <w:sz w:val="20"/>
          <w:szCs w:val="20"/>
          <w:color w:val="auto"/>
        </w:rPr>
      </w:pPr>
    </w:p>
    <w:p>
      <w:pPr>
        <w:jc w:val="both"/>
        <w:ind w:firstLine="361"/>
        <w:spacing w:after="0" w:line="253" w:lineRule="auto"/>
        <w:rPr>
          <w:sz w:val="20"/>
          <w:szCs w:val="20"/>
          <w:color w:val="auto"/>
        </w:rPr>
      </w:pPr>
      <w:r>
        <w:rPr>
          <w:rFonts w:ascii="Times New Roman" w:cs="Times New Roman" w:eastAsia="Times New Roman" w:hAnsi="Times New Roman"/>
          <w:sz w:val="20"/>
          <w:szCs w:val="20"/>
          <w:color w:val="auto"/>
        </w:rPr>
        <w:t>Autonomous driving is one of the most difficult technological challenges facing the world today. Autonomous driving as a technological concept has been at the forefront of human imagination for decades. Since the early 2000s, a number of automotive and technology companies have invested heavily to try to make this a reality. Mobileye is leading the evolution from ADAS to autonomous driving.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135255</wp:posOffset>
            </wp:positionV>
            <wp:extent cx="5842000" cy="2377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extLst>
                    </a:blip>
                    <a:srcRect/>
                    <a:stretch>
                      <a:fillRect/>
                    </a:stretch>
                  </pic:blipFill>
                  <pic:spPr bwMode="auto">
                    <a:xfrm>
                      <a:off x="0" y="0"/>
                      <a:ext cx="5842000" cy="2377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auto"/>
        </w:rPr>
        <w:t>Vehicle autonomy can be viewed as a spectrum that uses the same technology building blocks to power the full span of driver assist functions, ranging from those available in hundreds of car models today, through full autonomy powering robotaxis and, eventually, personal autonomous vehicles. The automotive industry breaks down this spectrum into what are known as SAE Levels 1, 2, 3, 4 and</w:t>
      </w:r>
    </w:p>
    <w:p>
      <w:pPr>
        <w:spacing w:after="0" w:line="2" w:lineRule="exact"/>
        <w:rPr>
          <w:sz w:val="20"/>
          <w:szCs w:val="20"/>
          <w:color w:val="auto"/>
        </w:rPr>
      </w:pPr>
    </w:p>
    <w:p>
      <w:pPr>
        <w:spacing w:after="0" w:line="280" w:lineRule="auto"/>
        <w:tabs>
          <w:tab w:leader="none" w:pos="221"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developed our own, more user-friendly taxonomy. Each level of our taxonomy is further defined and supported by the particular operational design domain (“ODD”) for which it was designed.</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10800"/>
          </w:cols>
          <w:pgMar w:left="540" w:top="1347" w:right="540" w:bottom="0" w:gutter="0" w:footer="0" w:header="0"/>
          <w:type w:val="continuous"/>
        </w:sectPr>
      </w:pPr>
    </w:p>
    <w:bookmarkStart w:id="12" w:name="page13"/>
    <w:bookmarkEnd w:id="12"/>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First, we refer to basic driver assist features, such as automatic emergency braking or lane keeping assist, together with longitudinal control such as adaptive cruise control as “eyes-on/hands-on”. The driver is still responsible for the overall task of driving, while the system supports the human driver.</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Second, “eyes-on/hands-off”. This refers to premium driver assist functions adding additional safety and comfort functionality. This functionality allows the driver to experience hands-free driving while requiring the driver’s full attention and eyes on the road.</w:t>
      </w:r>
    </w:p>
    <w:p>
      <w:pPr>
        <w:spacing w:after="0" w:line="16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Third, “eyes-off/hands-off”. The system controls the driving function within a specified ODD, such as highway driving, without the need for the human driver to monitor driving. If the ODD is exceeded and the driver does not reassume control, the system is capable of performing a Minimum Risk Maneuver (“MRM”) and safely stop at the roadside.</w:t>
      </w:r>
    </w:p>
    <w:p>
      <w:pPr>
        <w:spacing w:after="0" w:line="186"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 xml:space="preserve">Fourth, “no driver”. When no human driver is present,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robotaxi</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system will perform a MRM when needed, including coming to a full stop, and can also contact a teleoperator for decision support, such as re-routing and rules decisions.</w:t>
      </w:r>
    </w:p>
    <w:p>
      <w:pPr>
        <w:spacing w:after="0" w:line="163"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We believe that the path to full autonomy at scale will begin with increased proliferation of the middle category</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eyes -on/hands-off premium driver assist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enabling hands-free highway driving, for example, and then will gradually extend to other types of roadways, such as rural, urban, and arterial roads. This will allow continued technological development and public trust and familiarity to grow and pave the way toward full autonomy. Our ADAS solutions, which have been deployed in over 200 million vehicles, are important building blocks for these more advanced autonomous systems. We believe the key factors in the growth of autonomous driving will be increased safety, consumer demand, and other economic and social benefits, such as increased mobility for older adults and persons with disabilities, less traffic congestion, and the reduction of land use for parking.</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Solutions</w:t>
      </w:r>
    </w:p>
    <w:p>
      <w:pPr>
        <w:spacing w:after="0" w:line="242" w:lineRule="exact"/>
        <w:rPr>
          <w:sz w:val="20"/>
          <w:szCs w:val="20"/>
          <w:color w:val="auto"/>
        </w:rPr>
      </w:pPr>
    </w:p>
    <w:p>
      <w:pPr>
        <w:jc w:val="both"/>
        <w:ind w:firstLine="360"/>
        <w:spacing w:after="0" w:line="227" w:lineRule="auto"/>
        <w:rPr>
          <w:sz w:val="20"/>
          <w:szCs w:val="20"/>
          <w:color w:val="auto"/>
        </w:rPr>
      </w:pPr>
      <w:r>
        <w:rPr>
          <w:rFonts w:ascii="Times New Roman" w:cs="Times New Roman" w:eastAsia="Times New Roman" w:hAnsi="Times New Roman"/>
          <w:sz w:val="20"/>
          <w:szCs w:val="20"/>
          <w:color w:val="auto"/>
        </w:rPr>
        <w:t>We have utilized the technology pillars detailed above to build a robust portfolio of end- to -end ADAS and autonomous driving solutions that provide the capabilities needed for the future of autonomous driving, leveraging a comprehensive suite of purpose-built software and hardware technologies. We pioneered “base” ADAS features to meet global regulatory requirements and safety ratings with our Base ADAS solution and we have since created new categories of ADAS with our Cloud-Enhanced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Mobileye Surround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and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offerings. Additionally, we have designed a full set of eyes-off/hands-off solutions at a wide variety of price points and a spectrum of functionalities and ODDs.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10800"/>
          </w:cols>
          <w:pgMar w:left="540" w:top="1347" w:right="540" w:bottom="0" w:gutter="0" w:footer="0" w:header="0"/>
          <w:type w:val="continuous"/>
        </w:sectPr>
      </w:pPr>
    </w:p>
    <w:bookmarkStart w:id="13" w:name="page14"/>
    <w:bookmarkEnd w:id="13"/>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believe that our industry-leading technology platform, built upon multiple years of research, development, data collection and validation, gives us the unique ability to not only deliver excellent safety ratings with our ADAS solutions, but also to make the mass deployment of autonomous driving solutions a reality. We believe that the breadth of our solutions, combined with our global customer base, represents a significant market opportunity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131445</wp:posOffset>
            </wp:positionV>
            <wp:extent cx="5816600" cy="3277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extLst>
                    </a:blip>
                    <a:srcRect/>
                    <a:stretch>
                      <a:fillRect/>
                    </a:stretch>
                  </pic:blipFill>
                  <pic:spPr bwMode="auto">
                    <a:xfrm>
                      <a:off x="0" y="0"/>
                      <a:ext cx="5816600" cy="3277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360"/>
        <w:spacing w:after="0" w:line="233" w:lineRule="auto"/>
        <w:rPr>
          <w:sz w:val="20"/>
          <w:szCs w:val="20"/>
          <w:color w:val="auto"/>
        </w:rPr>
      </w:pPr>
      <w:r>
        <w:rPr>
          <w:rFonts w:ascii="Times New Roman" w:cs="Times New Roman" w:eastAsia="Times New Roman" w:hAnsi="Times New Roman"/>
          <w:sz w:val="20"/>
          <w:szCs w:val="20"/>
          <w:color w:val="auto"/>
        </w:rPr>
        <w:t>The chart above represents commercially deployed solutions (Base ADAS, Cloud- Enhanced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Mobileye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and solutions that we expect to be commercially deployed in the future (Mobileye Surround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Mobileye Chauffeur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and Mobileye Drive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800"/>
          </w:cols>
          <w:pgMar w:left="540" w:top="1347" w:right="540" w:bottom="0" w:gutter="0" w:footer="0" w:header="0"/>
          <w:type w:val="continuous"/>
        </w:sectPr>
      </w:pPr>
    </w:p>
    <w:bookmarkStart w:id="14" w:name="page15"/>
    <w:bookmarkEnd w:id="14"/>
    <w:p>
      <w:pPr>
        <w:ind w:left="360"/>
        <w:spacing w:after="0"/>
        <w:rPr>
          <w:sz w:val="20"/>
          <w:szCs w:val="20"/>
          <w:color w:val="auto"/>
        </w:rPr>
      </w:pPr>
      <w:r>
        <w:rPr>
          <w:rFonts w:ascii="Times New Roman" w:cs="Times New Roman" w:eastAsia="Times New Roman" w:hAnsi="Times New Roman"/>
          <w:sz w:val="20"/>
          <w:szCs w:val="20"/>
          <w:b w:val="1"/>
          <w:bCs w:val="1"/>
          <w:color w:val="auto"/>
        </w:rPr>
        <w:t>Our End-to-End ADAS and AV Solutions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Mobileye Base 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165100</wp:posOffset>
            </wp:positionV>
            <wp:extent cx="5832475" cy="3218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extLst>
                    </a:blip>
                    <a:srcRect/>
                    <a:stretch>
                      <a:fillRect/>
                    </a:stretch>
                  </pic:blipFill>
                  <pic:spPr bwMode="auto">
                    <a:xfrm>
                      <a:off x="0" y="0"/>
                      <a:ext cx="5832475" cy="3218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360"/>
        <w:spacing w:after="0" w:line="227" w:lineRule="auto"/>
        <w:rPr>
          <w:sz w:val="20"/>
          <w:szCs w:val="20"/>
          <w:color w:val="auto"/>
        </w:rPr>
      </w:pPr>
      <w:r>
        <w:rPr>
          <w:rFonts w:ascii="Times New Roman" w:cs="Times New Roman" w:eastAsia="Times New Roman" w:hAnsi="Times New Roman"/>
          <w:sz w:val="20"/>
          <w:szCs w:val="20"/>
          <w:color w:val="auto"/>
        </w:rPr>
        <w:t>Mobileye’s Base ADAS, powered by our purpose built, on-windshield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devices and our expertise in computer vision, brings our core ADAS solutions to millions of vehicles on the road today and is foundational to our spectrum of ADAS and autonomous vehicle solutions.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provides drivers with basic safety features covered by front-facing sensing, such as collision warning, lane departure warnings, pedestrian and cyclist collision warning, headway monitoring and warning, speed limit indicator, blind spot detection, and many more. Our software algorithms and purpose-built hardware are designed to provide the driver with accurate and reliable driver assist solutions, promoting road safety.</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800"/>
          </w:cols>
          <w:pgMar w:left="540" w:top="1345" w:right="540" w:bottom="0" w:gutter="0" w:footer="0" w:header="0"/>
          <w:type w:val="continuous"/>
        </w:sectPr>
      </w:pPr>
    </w:p>
    <w:bookmarkStart w:id="15" w:name="page16"/>
    <w:bookmarkEnd w:id="15"/>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Cloud-Enhanced ADAS</w:t>
      </w:r>
      <w:r>
        <w:rPr>
          <w:rFonts w:ascii="Times New Roman" w:cs="Times New Roman" w:eastAsia="Times New Roman" w:hAnsi="Times New Roman"/>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128905</wp:posOffset>
            </wp:positionV>
            <wp:extent cx="5816600" cy="3208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extLst>
                    </a:blip>
                    <a:srcRect/>
                    <a:stretch>
                      <a:fillRect/>
                    </a:stretch>
                  </pic:blipFill>
                  <pic:spPr bwMode="auto">
                    <a:xfrm>
                      <a:off x="0" y="0"/>
                      <a:ext cx="5816600" cy="320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60"/>
        <w:spacing w:after="0" w:line="227" w:lineRule="auto"/>
        <w:rPr>
          <w:sz w:val="20"/>
          <w:szCs w:val="20"/>
          <w:color w:val="auto"/>
        </w:rPr>
      </w:pPr>
      <w:r>
        <w:rPr>
          <w:rFonts w:ascii="Times New Roman" w:cs="Times New Roman" w:eastAsia="Times New Roman" w:hAnsi="Times New Roman"/>
          <w:sz w:val="20"/>
          <w:szCs w:val="20"/>
          <w:color w:val="auto"/>
        </w:rPr>
        <w:t>Mobileye’s Cloud-Enhanced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leverages crowdsourced data from millions of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-equipped vehicles around the globe every day, providing high-level accuracy localization via continuously updated information about the driving scene. Enhancing the existing single-camera system with crowdsourced data offers comprehensive in-path assist functionality that enables better performance and compliance even in complex or challenging circumstances. Relying on data from prior human driving activity to anticipate and adapt, our Cloud-Enhanced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solution provides a safer, smoother, and more natural driving experience – marking a software defined leap in ADAS performance with no need for additional hardware.</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800"/>
          </w:cols>
          <w:pgMar w:left="540" w:top="1350" w:right="540" w:bottom="0" w:gutter="0" w:footer="0" w:header="0"/>
          <w:type w:val="continuous"/>
        </w:sectPr>
      </w:pPr>
    </w:p>
    <w:bookmarkStart w:id="16" w:name="page17"/>
    <w:bookmarkEnd w:id="16"/>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Mobileye Surround ADAS</w:t>
      </w:r>
      <w:r>
        <w:rPr>
          <w:rFonts w:ascii="Times New Roman" w:cs="Times New Roman" w:eastAsia="Times New Roman" w:hAnsi="Times New Roman"/>
          <w:sz w:val="25"/>
          <w:szCs w:val="25"/>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128905</wp:posOffset>
            </wp:positionV>
            <wp:extent cx="5828030" cy="3218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extLst>
                    </a:blip>
                    <a:srcRect/>
                    <a:stretch>
                      <a:fillRect/>
                    </a:stretch>
                  </pic:blipFill>
                  <pic:spPr bwMode="auto">
                    <a:xfrm>
                      <a:off x="0" y="0"/>
                      <a:ext cx="5828030" cy="3218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360"/>
        <w:spacing w:after="0" w:line="218" w:lineRule="auto"/>
        <w:rPr>
          <w:sz w:val="20"/>
          <w:szCs w:val="20"/>
          <w:color w:val="auto"/>
        </w:rPr>
      </w:pPr>
      <w:r>
        <w:rPr>
          <w:rFonts w:ascii="Times New Roman" w:cs="Times New Roman" w:eastAsia="Times New Roman" w:hAnsi="Times New Roman"/>
          <w:sz w:val="20"/>
          <w:szCs w:val="20"/>
          <w:color w:val="auto"/>
        </w:rPr>
        <w:t>Building on our ADAS expertise and the core of our single-camera Cloud-Enhanced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system, we offer through our Mobileye Surround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system the ability to meet expanded late-decade active safety requirements through the utilization, analysis, and processing of additional surround perception sensors. Mobileye Surround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utilizes the SuperVision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software stack, including our RSS (defined below) policy model, and is powered by a Mobileye ECU with one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6 High SoC, which processes data from the customer’s third party sensor suite featuring up to six cameras and up to five radars. Such cameras generally consist of two long-range cameras in the front and rear, while leveraging data from four short-range surround vision cameras that are already equipped on many production vehicles today for parking visualization purposes. Additionally, Mobileye Surround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offers eyes-on/hands-off functionality for highway ODDs by adding features like automatic lane change, front and rear collision avoidance, traffic jam assist, and a Highway Pilot function up to 130 kilometers per hour with the fidelity of a multi-camera and multi-radar sensor suite. This system also includes DXP support, which enables customers to customize the driving experience while benefiting from our industry-leading technology platform.</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800"/>
          </w:cols>
          <w:pgMar w:left="540" w:top="1350" w:right="540" w:bottom="0" w:gutter="0" w:footer="0" w:header="0"/>
          <w:type w:val="continuous"/>
        </w:sectPr>
      </w:pPr>
    </w:p>
    <w:bookmarkStart w:id="17" w:name="page18"/>
    <w:bookmarkEnd w:id="17"/>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Mobileye SuperVision</w:t>
      </w:r>
      <w:r>
        <w:rPr>
          <w:rFonts w:ascii="Times New Roman" w:cs="Times New Roman" w:eastAsia="Times New Roman" w:hAnsi="Times New Roman"/>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128905</wp:posOffset>
            </wp:positionV>
            <wp:extent cx="5829300" cy="3218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extLst>
                    </a:blip>
                    <a:srcRect/>
                    <a:stretch>
                      <a:fillRect/>
                    </a:stretch>
                  </pic:blipFill>
                  <pic:spPr bwMode="auto">
                    <a:xfrm>
                      <a:off x="0" y="0"/>
                      <a:ext cx="5829300" cy="3218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360"/>
        <w:spacing w:after="0" w:line="221" w:lineRule="auto"/>
        <w:rPr>
          <w:sz w:val="20"/>
          <w:szCs w:val="20"/>
          <w:color w:val="auto"/>
        </w:rPr>
      </w:pPr>
      <w:r>
        <w:rPr>
          <w:rFonts w:ascii="Times New Roman" w:cs="Times New Roman" w:eastAsia="Times New Roman" w:hAnsi="Times New Roman"/>
          <w:sz w:val="20"/>
          <w:szCs w:val="20"/>
          <w:color w:val="auto"/>
        </w:rPr>
        <w:t>Mobileye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our eyes-on/hands-off Premium Driver Assist offering, is our most advanced driver assist system on the market and the bridge to consumer autonomous vehicles. It is designed to handle standard driving functions across various road types, offering “hands-off” navigation capabilities under certain ODDs, while still requiring the driver to pay full attention and keep eyes on the road. Derived from our autonomous vehicle research and development, Mobileye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leverages cloud-based enhancements such as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a number of algorithmic and architectural redundancies, and our RSS policy model. The system utilizes 360-degree surround sensing with 11 third-party cameras powered (plus optional radar) processes by a turnkey ECU with two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5 or, in the future, two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6 SoCs. Furthermore, in addition to supervised point-to-point assisted driving, Mobileye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is capable of changing lanes, managing priorities, and turning in intersections as well as engaging in automated parking, preventative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evasive) steering and braking, and other Driver Assist features. This solution is further supported by OTA updates. The 11 third-party cameras (seven long range cameras and four short-range surround vision cameras) provide full surround coverage and consist of 120-degree and 28-degree cameras in the front, four 100-degree corner cameras (two front-facing and two rear-facing), a 60-degree rear camera and four wide-view 195-degree short-range cameras mounted on the side mirrors and front and rear bumpers. The mapping is powered by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and integrated with computer vision perception, to create a 360-degree environmental model (subject to the availability of map data) and RSS constrains the driving decisions to be compliant with an underlying formally proven model for safe driving decisions. This offering also includes DXP, which will enable customers to control the driving experience while benefiting from our industry-leading technology platform.</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800"/>
          </w:cols>
          <w:pgMar w:left="540" w:top="1350" w:right="540" w:bottom="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856615</wp:posOffset>
            </wp:positionH>
            <wp:positionV relativeFrom="page">
              <wp:posOffset>848360</wp:posOffset>
            </wp:positionV>
            <wp:extent cx="5830570" cy="213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3057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360"/>
        <w:spacing w:after="0" w:line="225" w:lineRule="auto"/>
        <w:rPr>
          <w:sz w:val="20"/>
          <w:szCs w:val="20"/>
          <w:color w:val="auto"/>
        </w:rPr>
      </w:pPr>
      <w:r>
        <w:rPr>
          <w:rFonts w:ascii="Times New Roman" w:cs="Times New Roman" w:eastAsia="Times New Roman" w:hAnsi="Times New Roman"/>
          <w:sz w:val="20"/>
          <w:szCs w:val="20"/>
          <w:color w:val="auto"/>
        </w:rPr>
        <w:t>Importantly, our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technology also serves as a bridge, or foundational technology, for Mobileye and its customers to develop a spectrum of “eyes-off/hands- off solutions with expanding ODDs. In other words, an OEM that adopts and validates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is taking a significant step towards consumer AV as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serves as a validated baseline, including a common primary ECU board, which can be leveraged to add eyes-off functionality under an increasing set of operating conditions in a modular way.</w:t>
      </w:r>
    </w:p>
    <w:p>
      <w:pPr>
        <w:spacing w:after="0" w:line="205"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The first series production launch of this offering occurred in 2021 as Geely Group launched Mobileye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in its ZEEKR premium electric vehicle brand. Through the end of 2024, over 300,000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systems were delivered to ZEEKR and other brands.</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Mobileye Chauffeur</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and Mobileye Drive</w:t>
      </w:r>
      <w:r>
        <w:rPr>
          <w:rFonts w:ascii="Times New Roman" w:cs="Times New Roman" w:eastAsia="Times New Roman" w:hAnsi="Times New Roman"/>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128905</wp:posOffset>
            </wp:positionV>
            <wp:extent cx="5816600" cy="3209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extLst>
                    </a:blip>
                    <a:srcRect/>
                    <a:stretch>
                      <a:fillRect/>
                    </a:stretch>
                  </pic:blipFill>
                  <pic:spPr bwMode="auto">
                    <a:xfrm>
                      <a:off x="0" y="0"/>
                      <a:ext cx="5816600" cy="320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800"/>
          </w:cols>
          <w:pgMar w:left="540" w:top="1440" w:right="540" w:bottom="0" w:gutter="0" w:footer="0" w:header="0"/>
        </w:sectPr>
      </w:pPr>
    </w:p>
    <w:bookmarkStart w:id="19" w:name="page20"/>
    <w:bookmarkEnd w:id="19"/>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Mobileye Chauffeur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is our geographically scalable eyes-off/hands-off solution for consumer vehicles in a gradually expanding ODD, combining computer vision technology with surround imaging radars and front lidar. The first generation solution will be based on three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6 High SoCs, deployed with a primary board including two EyeQ6 High SoCs supporting full surround computer vision perception and mapping and a secondary board with an additional EyeQ6 High SoC supporting radar / lidar perception and our Compound AI fusion architecture. The primary board is common to our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solution which reduces the OEM’s validation burden and the dual-board setup provides functional safety redundancy. The system will provide 360-degrees of coverage through two independent and redundant sensing subsystems, along with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maps, RSS, and our PGF architecture, to support optimized scalability and safety. Mobileye Chauffeur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is expected to be capable of eyes-off/hands-off driving with a human driver still in the driver’s seat, in a gradually expanding ODD that can range from a limited ODD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highway only, up to 130kph), an ODD that we believe covers the majority of most consumers’ driving, to the more advanced ODDs that we are pursuing through this solution in subsequent generations. By using Mobileye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eyes-on/hands-off system as a basis for Mobileye Chauffeur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we allow for an incremental and modular eyes-off transition from one ODD to the next. This can be done by adding more active sensors for redundancy and more compute power to the already validated and road-tested Mobileye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This approach gives our customers a viable, modular, and incremental path toward useful and safe consumer AV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150495</wp:posOffset>
            </wp:positionV>
            <wp:extent cx="5826125" cy="32188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extLst>
                    </a:blip>
                    <a:srcRect/>
                    <a:stretch>
                      <a:fillRect/>
                    </a:stretch>
                  </pic:blipFill>
                  <pic:spPr bwMode="auto">
                    <a:xfrm>
                      <a:off x="0" y="0"/>
                      <a:ext cx="5826125" cy="3218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360"/>
        <w:spacing w:after="0" w:line="224" w:lineRule="auto"/>
        <w:rPr>
          <w:sz w:val="20"/>
          <w:szCs w:val="20"/>
          <w:color w:val="auto"/>
        </w:rPr>
      </w:pPr>
      <w:r>
        <w:rPr>
          <w:rFonts w:ascii="Times New Roman" w:cs="Times New Roman" w:eastAsia="Times New Roman" w:hAnsi="Times New Roman"/>
          <w:sz w:val="20"/>
          <w:szCs w:val="20"/>
          <w:color w:val="auto"/>
        </w:rPr>
        <w:t>Mobileye Drive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is our fleet-focused end-to-end self-driving system that enables automakers, public transportation companies, and transportation network operators to offer a no-driver solution for robotaxis, ride-pooling, public transport, and goods delivery. This eyes-off/hands-off/no driver solution will build upon our core autonomous driving technologies found in Mobileye Chauffeur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will deliver driving functions without the need for any in-vehicle human intervention by adding teleoperability and by minimizing cases where human input would be required. Our overall turnkey self-driving solution offers an advanced ODD that can turn various vehicle configurations and solutions autonomous. Mobileye Drive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is already being integrated, and is in the development, testing and validation stages in autonomous public transit, autonomous goods delivery and autonomous mobility-as-a-service (“AMaaS”) across industries and around the globe.</w:t>
      </w:r>
    </w:p>
    <w:p>
      <w:pPr>
        <w:spacing w:after="0" w:line="203" w:lineRule="exact"/>
        <w:rPr>
          <w:sz w:val="20"/>
          <w:szCs w:val="20"/>
          <w:color w:val="auto"/>
        </w:rPr>
      </w:pPr>
    </w:p>
    <w:p>
      <w:pPr>
        <w:jc w:val="both"/>
        <w:ind w:firstLine="360"/>
        <w:spacing w:after="0" w:line="231" w:lineRule="auto"/>
        <w:rPr>
          <w:sz w:val="20"/>
          <w:szCs w:val="20"/>
          <w:color w:val="auto"/>
        </w:rPr>
      </w:pPr>
      <w:r>
        <w:rPr>
          <w:rFonts w:ascii="Times New Roman" w:cs="Times New Roman" w:eastAsia="Times New Roman" w:hAnsi="Times New Roman"/>
          <w:sz w:val="20"/>
          <w:szCs w:val="20"/>
          <w:color w:val="auto"/>
        </w:rPr>
        <w:t>We believe that both Mobileye Chauffeur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Mobileye Drive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have sustainable competitive advantages as a result of the cost efficiency, scalability, and regulatory validation of our technology platform:</w:t>
      </w:r>
    </w:p>
    <w:p>
      <w:pPr>
        <w:spacing w:after="0" w:line="213" w:lineRule="exact"/>
        <w:rPr>
          <w:sz w:val="20"/>
          <w:szCs w:val="20"/>
          <w:color w:val="auto"/>
        </w:rPr>
      </w:pPr>
    </w:p>
    <w:p>
      <w:pPr>
        <w:ind w:firstLine="360"/>
        <w:spacing w:after="0" w:line="283"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Cost Efficiency</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cost-efficient, low-energy, purpose-built central compute processors; imaging radars targeted to reduce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need for multiple lidar units;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800"/>
          </w:cols>
          <w:pgMar w:left="540" w:top="1347" w:right="540" w:bottom="0" w:gutter="0" w:footer="0" w:header="0"/>
          <w:type w:val="continuous"/>
        </w:sectPr>
      </w:pPr>
    </w:p>
    <w:bookmarkStart w:id="20" w:name="page21"/>
    <w:bookmarkEnd w:id="20"/>
    <w:p>
      <w:pPr>
        <w:jc w:val="both"/>
        <w:ind w:firstLine="360"/>
        <w:spacing w:after="0" w:line="235"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Geographic Scalability</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b w:val="1"/>
          <w:bCs w:val="1"/>
          <w:color w:val="auto"/>
        </w:rPr>
        <w:t>-</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-based maps that eliminate the need for dedicated high-definition mapping efforts; RSS-based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driving policy designed for global deployment by not relying on driving culture or local rules; sensing technologies built on a foundation of a massive data training set from over 40 countries; and</w:t>
      </w:r>
    </w:p>
    <w:p>
      <w:pPr>
        <w:spacing w:after="0" w:line="212" w:lineRule="exact"/>
        <w:rPr>
          <w:rFonts w:ascii="Arial" w:cs="Arial" w:eastAsia="Arial" w:hAnsi="Arial"/>
          <w:sz w:val="20"/>
          <w:szCs w:val="20"/>
          <w:color w:val="auto"/>
        </w:rPr>
      </w:pPr>
    </w:p>
    <w:p>
      <w:pPr>
        <w:jc w:val="both"/>
        <w:ind w:firstLine="360"/>
        <w:spacing w:after="0" w:line="235"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Regulatory Validation</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b w:val="1"/>
          <w:bCs w:val="1"/>
          <w:color w:val="auto"/>
        </w:rPr>
        <w:t>-</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True Redundancy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with multiple independent, separate perception subsystems feeding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Compound AI architecture that increases robustness and ease of validation, and RSS used by international bodies that are currently developing standards with respect to the safety of AV.</w:t>
      </w:r>
    </w:p>
    <w:p>
      <w:pPr>
        <w:spacing w:after="0" w:line="215" w:lineRule="exact"/>
        <w:rPr>
          <w:rFonts w:ascii="Arial" w:cs="Arial" w:eastAsia="Arial" w:hAnsi="Arial"/>
          <w:sz w:val="20"/>
          <w:szCs w:val="20"/>
          <w:color w:val="auto"/>
        </w:rPr>
      </w:pPr>
    </w:p>
    <w:p>
      <w:pPr>
        <w:jc w:val="both"/>
        <w:ind w:firstLine="360"/>
        <w:spacing w:after="0" w:line="236"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Self-Driving System &amp; Vehicles. </w:t>
      </w:r>
      <w:r>
        <w:rPr>
          <w:rFonts w:ascii="Times New Roman" w:cs="Times New Roman" w:eastAsia="Times New Roman" w:hAnsi="Times New Roman"/>
          <w:sz w:val="20"/>
          <w:szCs w:val="20"/>
          <w:color w:val="auto"/>
        </w:rPr>
        <w:t>We expect to deploy our Mobileye Drive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eyes-off/hands-off self-driving system inside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purpose-built vehicle platforms that are engineered to integrate our technology stack. Announced supply-side vehicle development partners are Volkswagen Commercial Vehicles, Schaeffler, Verne and Holon. We and our vehicle development partners will then market these vehicles and systems through business-to-business channels into a range of transportation network operators, with announced demand-side customers including Deutsche Bahn, Beep, Holo / Ruter, Lyft and others.</w:t>
      </w:r>
    </w:p>
    <w:p>
      <w:pPr>
        <w:spacing w:after="0" w:line="20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Overall, we believe our proprietary set of software and hardware technology solutions results in significant competitive advantages and a wider range of potential offerings compared to other approaches by industry participants attempting to commercialize network - deployed autonomous vehicles.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Models for AV Adoption</w:t>
      </w:r>
    </w:p>
    <w:p>
      <w:pPr>
        <w:spacing w:after="0" w:line="23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We believe that the availability of autonomous vehicles will cause a significant transformation in mobility, including vehicle ownership and utilization. We expect that autonomous vehicle technology will eventually be accessed by consumers through shared-vehicle AMaaS networks, as well as in consumer-owned and operated autonomous vehicles. It is our view that, to reach the full potential of autonomous driving over the long-term, the technology solutions that enable these separate markets should converge over time, and that is reflected in our strategy.</w:t>
      </w:r>
    </w:p>
    <w:p>
      <w:pPr>
        <w:spacing w:after="0" w:line="19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Autonomous driving has the potential to dramatically increase the proliferation of shared mobility, creating greater utilization of what is currently a significantly underutilized asset, the car. We believe that this model will ultimately manifest itself in the form of networks operated by a variety of different automotive and technology companies, where the consumer will be able to hail on-demand transportation at the click of a button, instead of owning a vehicle.</w:t>
      </w:r>
    </w:p>
    <w:p>
      <w:pPr>
        <w:spacing w:after="0" w:line="19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addition, we believe consumer-owned and operated AVs will fundamentally change how individuals utilize their vehicles. Automation would allow the individual to be significantly more productive during their commute or other time spent in the car, given that the vehicle could operate eyes-off/hands-off in an increasingly wide ODD. Providing consumers with access to affordable autonomous vehicles can create significant value by decreasing time spent focused on the driving function and increasing safety.</w:t>
      </w:r>
    </w:p>
    <w:p>
      <w:pPr>
        <w:spacing w:after="0" w:line="190"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As autonomous driving technology advances, a number of new transportation use cases are expected to emerge around the type of vehicle ownership, what is transported, and where and when the vehicle can operate. We believe that the most important factors in operating AMaaS networks will be the technology that powers the vehicles, as well as the scale of the network which will influence the availability of vehicles. As fleet operators increase network scale and availability of vehicles, the value of the platform to the user base will rise. We believe that mobility supply is developing in two main segments</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automated public transport operators and automated transportation network companies</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with very few companies able to operate within both over the long-term. It is our view that a flexible solution that supports both consumer AVs and AMaaS will be necessary to reach the full potential of autonomous driving over the long-term.</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Challenges to Making Autonomous Vehicles Ubiquitous</w:t>
      </w:r>
    </w:p>
    <w:p>
      <w:pPr>
        <w:spacing w:after="0" w:line="23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To make autonomous vehicles at scale a reality, we believe that there are three core challenges that must be addressed beyond optimization of safety and performance:</w:t>
      </w:r>
    </w:p>
    <w:p>
      <w:pPr>
        <w:sectPr>
          <w:pgSz w:w="11880" w:h="15480" w:orient="portrait"/>
          <w:cols w:equalWidth="0" w:num="1">
            <w:col w:w="10800"/>
          </w:cols>
          <w:pgMar w:left="540" w:top="135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800"/>
          </w:cols>
          <w:pgMar w:left="540" w:top="1359" w:right="540" w:bottom="0" w:gutter="0" w:footer="0" w:header="0"/>
          <w:type w:val="continuous"/>
        </w:sectPr>
      </w:pPr>
    </w:p>
    <w:bookmarkStart w:id="21" w:name="page22"/>
    <w:bookmarkEnd w:id="21"/>
    <w:p>
      <w:pPr>
        <w:jc w:val="both"/>
        <w:ind w:firstLine="360"/>
        <w:spacing w:after="0" w:line="243" w:lineRule="auto"/>
        <w:tabs>
          <w:tab w:leader="none" w:pos="722"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Regulatory Endorsement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Autonomous driving solutions must be architected, by design, to be verifiably safe, in a manner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that fosters broad societal and regulatory endorsement. Regulation is an often-overlooked factor. While laws and regulations are specific to human drivers, there are challenges to balance safety and practicality of an AV in a manner that is acceptable to society. We believe it will be easier to develop laws and regulations governing a fleet of robotaxis than privately owned vehicles. A fleet operator would receive a limited license per use case, per geographic region and will be subject to extensive reporting and back-office remote operations. In contrast, licensing AVs to consumers would require a complete overhaul of the complex laws and regulations that currently govern drivers. Autonomy must wait until regulation and technology reach an equilibrium, which we believe will first be achieved through AMaaS deployments. Self-driving regulation is inherently complicated, and driving policy depends on “what would happen next” reasoning, which is not factual. Two humans might provide two different answers when asked whether an AV should yield to a car at an intersection or take the right of way. As a result, there is no clear definition of “error,” but rather, it is open to interpretation or depends on after-the-fact judgment. All motor vehicle drivers owe a duty of care to other road users, and autonomous vehicles will need to be held to the same standard. Statistically, autonomous vehicles should be safer than human drivers. For driving policy, however, being “safer” does not always mean being better. As a society, we balance safety and practicality by determining what the “reasonable risk” we are willing to take is, and this is the type of question regulators will be required to address when licensing autonomous vehicles to navigate our roads.</w:t>
      </w:r>
    </w:p>
    <w:p>
      <w:pPr>
        <w:spacing w:after="0" w:line="211" w:lineRule="exact"/>
        <w:rPr>
          <w:rFonts w:ascii="Arial" w:cs="Arial" w:eastAsia="Arial" w:hAnsi="Arial"/>
          <w:sz w:val="20"/>
          <w:szCs w:val="20"/>
          <w:color w:val="auto"/>
        </w:rPr>
      </w:pPr>
    </w:p>
    <w:p>
      <w:pPr>
        <w:jc w:val="both"/>
        <w:ind w:firstLine="359"/>
        <w:spacing w:after="0" w:line="224" w:lineRule="auto"/>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Geographic Scale</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Geographic scale refers to the challenge of creating high-definition maps with great detail and accuracy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through our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technology, and keeping those maps continuously updated, which is crucial for series production AVs. AMaaS vehicles can be confined to geofenced areas, which allows AVs to reach prominence through the robotaxi industry before expanding the ODD to outside of those areas. While robotaxi operators may be successful providing their services in limited geofenced areas, broad-based consumer AV adoption requires the ability to drive safely anywhere, and in diverse environments, rather than only in geofenced areas. In 2024 alone, we collected 29.6 billion miles of road data from, based on our estimates 3 million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-enabled vehicles worldwide, and analyzed up to 62.4 million miles of road data per day, with the size of the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-enabled fleet increasing daily. Since we deployed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in 2018, we have harvested a total of 56.6 billion miles of road data. As of December 28, 2024, we estimate that the data we have accumulated covers over 95% of the approximately 0.8 million miles of motorway, trunk, and primary road types in each of the United States and Europe, respectively, as well as a large majority of other road types. This data enables us to create robust high definition maps to support solutions across the product spectrum from Cloud-Enhanced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to Mobileye Surround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Mobileye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to Mobileye Chauffeur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Mobileye Drive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w:t>
      </w:r>
    </w:p>
    <w:p>
      <w:pPr>
        <w:spacing w:after="0" w:line="118" w:lineRule="exact"/>
        <w:rPr>
          <w:rFonts w:ascii="Arial" w:cs="Arial" w:eastAsia="Arial" w:hAnsi="Arial"/>
          <w:sz w:val="20"/>
          <w:szCs w:val="20"/>
          <w:color w:val="auto"/>
        </w:rPr>
      </w:pPr>
    </w:p>
    <w:p>
      <w:pPr>
        <w:jc w:val="both"/>
        <w:ind w:firstLine="360"/>
        <w:spacing w:after="0" w:line="246" w:lineRule="auto"/>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Cost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The cost of a self-driving system commonly employed by robotaxis, with its cameras, radars, specialized lidars,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high-performance computing is currently in the tens of thousands of dollars. This cost level is acceptable for the monetization model of a driverless ride-hailing service, but is far too expensive for series-production passenger cars. In order for autonomous driving consumer vehicles to scale in volume, we believe the cost of the self-driving system needs to be reduced significantly, such as to several thousands of dollars, an order of magnitude lower than the cost of market solutions to date. The ability to scale at low-cost, both from the on-board technology perspective and the cost of mapping, is critical to the mass adoption of AVs. AVs need to be safe, yet affordable, to achieve adoption among individuals and not just fleet operators.</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Competitive Strengths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believe that our leadership in ADAS and autonomous driving is based primarily on our: (1) first-mover advantage;</w:t>
      </w:r>
    </w:p>
    <w:p>
      <w:pPr>
        <w:ind w:left="280" w:hanging="280"/>
        <w:spacing w:after="0"/>
        <w:tabs>
          <w:tab w:leader="none" w:pos="2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technology, including differentiated technological cores and solution architectures; (3) comprehensive portfolio of solutions;</w:t>
      </w:r>
    </w:p>
    <w:p>
      <w:pPr>
        <w:spacing w:after="0" w:line="280" w:lineRule="auto"/>
        <w:tabs>
          <w:tab w:leader="none" w:pos="28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including agility, response times, and time-to-market; and (5) inherent cost-driven advantages. These significant advantages form the basis for our competitive strengths described below:</w:t>
      </w:r>
    </w:p>
    <w:p>
      <w:pPr>
        <w:spacing w:after="0" w:line="175" w:lineRule="exact"/>
        <w:rPr>
          <w:rFonts w:ascii="Times New Roman" w:cs="Times New Roman" w:eastAsia="Times New Roman" w:hAnsi="Times New Roman"/>
          <w:sz w:val="20"/>
          <w:szCs w:val="20"/>
          <w:color w:val="auto"/>
        </w:rPr>
      </w:pPr>
    </w:p>
    <w:p>
      <w:pPr>
        <w:jc w:val="both"/>
        <w:ind w:firstLine="360"/>
        <w:spacing w:after="0" w:line="233" w:lineRule="auto"/>
        <w:tabs>
          <w:tab w:leader="none" w:pos="720" w:val="left"/>
        </w:tabs>
        <w:numPr>
          <w:ilvl w:val="2"/>
          <w:numId w:val="13"/>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Coupling of software and hardware delivers optimized performance and efficiency</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We design our own purpose-built SoCs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develop a software stack to optimally match the architecture of the SoCs. This results in an optimized cost/performance paradigm, allowing for a range of products that can be produced at high volume. We continue to innovate in this area; for example, our latest SoC, the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6 High, achieves a ten-fold increase in frames-per-second processing as compared to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5 High SoC, with only a two-times increase in overall processing power and 25% increase in power consumption. Our coupled software and hardware architecture is highly differentiated from general purpose SoCs and software stacks that are not optimized for a specific use case. Our approach results in low power consumption and lean compute, yet is able to support a very powerful range of solutions for the ADAS and AV markets. The principle of efficiency permeates the overall solution design, including our Compound AI system architecture, which includes our True Redundancy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approach, with multiple separate subsystems to increase robustness and simplify validation efforts, and RSS, which separates the perception system’s validation from the driving policy system, and allows for a compute-efficient driving policy. Each of these are critical contributors to achieving efficient solutions.</w:t>
      </w:r>
    </w:p>
    <w:p>
      <w:pPr>
        <w:sectPr>
          <w:pgSz w:w="11880" w:h="15480" w:orient="portrait"/>
          <w:cols w:equalWidth="0" w:num="1">
            <w:col w:w="10800"/>
          </w:cols>
          <w:pgMar w:left="540" w:top="1359" w:right="54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800"/>
          </w:cols>
          <w:pgMar w:left="540" w:top="1359" w:right="540" w:bottom="0" w:gutter="0" w:footer="0" w:header="0"/>
          <w:type w:val="continuous"/>
        </w:sectPr>
      </w:pPr>
    </w:p>
    <w:bookmarkStart w:id="22" w:name="page23"/>
    <w:bookmarkEnd w:id="22"/>
    <w:p>
      <w:pPr>
        <w:jc w:val="both"/>
        <w:ind w:left="-360" w:firstLine="360"/>
        <w:spacing w:after="0" w:line="226" w:lineRule="auto"/>
        <w:tabs>
          <w:tab w:leader="none" w:pos="36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Scalable EyeQ</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SoC design addresses the entire spectrum of ADAS and autonomous driving</w:t>
      </w:r>
      <w:r>
        <w:rPr>
          <w:rFonts w:ascii="Arial" w:cs="Arial" w:eastAsia="Arial" w:hAnsi="Arial"/>
          <w:sz w:val="20"/>
          <w:szCs w:val="20"/>
          <w:color w:val="auto"/>
        </w:rPr>
        <w:t xml:space="preserv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proprietary accelerator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cores are optimized for a wide variety of computer vision, signal processing, and machine learning tasks, including deep neural networks.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architecture is highly scalable, powers our solutions, ranging from our base ADAS to highly advanced autonomous driving solutions, and is designed to support the increasingly computationally intensive demands of ADAS and autonomous driving solutions on the same architecture.</w:t>
      </w:r>
    </w:p>
    <w:p>
      <w:pPr>
        <w:spacing w:after="0" w:line="216" w:lineRule="exact"/>
        <w:rPr>
          <w:rFonts w:ascii="Arial" w:cs="Arial" w:eastAsia="Arial" w:hAnsi="Arial"/>
          <w:sz w:val="20"/>
          <w:szCs w:val="20"/>
          <w:color w:val="auto"/>
        </w:rPr>
      </w:pPr>
    </w:p>
    <w:p>
      <w:pPr>
        <w:jc w:val="both"/>
        <w:ind w:left="-360" w:firstLine="360"/>
        <w:spacing w:after="0" w:line="238" w:lineRule="auto"/>
        <w:tabs>
          <w:tab w:leader="none" w:pos="361"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Industry leading computer vision capabilities</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ADAS solutions are responsible for saving lives and must meet very high-performance metrics with extreme levels of efficiency, and pass increasing oversight from regulatory bodies</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“good enough” is simply not acceptable. We are a technology leader for computer vision solutions for ADAS, and we have continuously enhanced our leadership position through our ability to meet the extreme performance, accuracy, and cost metrics of our OEM customers. Our products primarily use monocular camera processing that works accurately alone, or together with radar and lidar for redundancy. We have been responsible for many “industry first” launches using monocular vision processing. These include forward collision warning, automatic emergency braking, pedestrian detection, hands-free driving, and numerous other advanced functions based solely on computer vision. We have pioneered many computer vision features such as deep networks for the discovery of “free space” or the space available to the vehicle to drive in, so that a vehicle can determine a driving path. We have enhanced our computer vision capabilities over time to include multiple cameras such as the trifocal camera configuration (three cameras with different fields of view placed side-by-side facing forward), which has been in series production since 2018, and the 11-camera configuration on our Mobileye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solution, which was launched in late 2021.</w:t>
      </w:r>
    </w:p>
    <w:p>
      <w:pPr>
        <w:spacing w:after="0" w:line="218" w:lineRule="exact"/>
        <w:rPr>
          <w:rFonts w:ascii="Arial" w:cs="Arial" w:eastAsia="Arial" w:hAnsi="Arial"/>
          <w:sz w:val="20"/>
          <w:szCs w:val="20"/>
          <w:color w:val="auto"/>
        </w:rPr>
      </w:pPr>
    </w:p>
    <w:p>
      <w:pPr>
        <w:jc w:val="both"/>
        <w:ind w:left="-360" w:firstLine="360"/>
        <w:spacing w:after="0" w:line="235" w:lineRule="auto"/>
        <w:tabs>
          <w:tab w:leader="none" w:pos="36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We offer solutions for developing and deploying differentiated features on top of EyeQ</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SoC - </w:t>
      </w:r>
      <w:r>
        <w:rPr>
          <w:rFonts w:ascii="Times New Roman" w:cs="Times New Roman" w:eastAsia="Times New Roman" w:hAnsi="Times New Roman"/>
          <w:sz w:val="20"/>
          <w:szCs w:val="20"/>
          <w:color w:val="auto"/>
        </w:rPr>
        <w:t>Our platform is modular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design, enabling our customers to productize our most advanced solutions today and then leverage those investments to launch even more advanced systems in a modular and incremental manner. Our systems are also highly customizable, which allows our customers to benefit from our cutting-edge, verified, and validated core technologies such as computer vision, radar, and lidar processing, Compound AI system architecture (including True Redundancy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mapping, and driving policy, while enabling our customers to augment and differentiate their offerings. Customization on top of these core technologies comes primarily through Mobileye DXP, which is a software platform that enables automakers to build from Mobileye’s proven autonomous technology framework to create differentiated products and customized automated driving experiences while supporting faster time-to-market and reducing overall execution risk. Mobileye DXP was designed by separating the universal aspects of driving policy, such as integration with perception, providing safe decision-making actions, and predicting intentions of other road users, from the unique aspects of the driving experience, or “how” the vehicle executes specific scenarios. This approach enables a middle ground between traditional black box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“closed”) and software development kit (SDK)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“open) strategies, satisfying automakers’ desire to control and differentiate the overall driving experience—including how the vehicle responds to traffic signals, other vehicles on the road, take-way or give-way choices, and more. Additionally, automakers can also set specific response parameters for factors like geography, regulations, road type or weather conditions. DXP supports efficient, successive software updates based on automaker roadmaps, as the safety critical elements, like sensing, environmental perception, and driving policy, remain static.</w:t>
      </w:r>
    </w:p>
    <w:p>
      <w:pPr>
        <w:spacing w:after="0" w:line="219" w:lineRule="exact"/>
        <w:rPr>
          <w:rFonts w:ascii="Arial" w:cs="Arial" w:eastAsia="Arial" w:hAnsi="Arial"/>
          <w:sz w:val="20"/>
          <w:szCs w:val="20"/>
          <w:color w:val="auto"/>
        </w:rPr>
      </w:pPr>
    </w:p>
    <w:p>
      <w:pPr>
        <w:jc w:val="both"/>
        <w:ind w:left="-360" w:firstLine="360"/>
        <w:spacing w:after="0" w:line="225" w:lineRule="auto"/>
        <w:tabs>
          <w:tab w:leader="none" w:pos="36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“Scale by design” approach</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Our technology platform is built to deliver autonomous driving solutions at scale by leveraging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mapping technology, which allows our solutions to be driven without the limitations of geofencing; our True Redundancy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approach, which allows for cost-efficient validation; our RSS and driving policy, which provides a framework for regulatory certainty and lean compute that is critical for mass-deployment; and, our active sensor architecture based on our imaging radars, which we expect will help support cost-efficient consumer AV production at scale in the future.</w:t>
      </w:r>
    </w:p>
    <w:p>
      <w:pPr>
        <w:spacing w:after="0" w:line="216" w:lineRule="exact"/>
        <w:rPr>
          <w:rFonts w:ascii="Arial" w:cs="Arial" w:eastAsia="Arial" w:hAnsi="Arial"/>
          <w:sz w:val="20"/>
          <w:szCs w:val="20"/>
          <w:color w:val="auto"/>
        </w:rPr>
      </w:pPr>
    </w:p>
    <w:p>
      <w:pPr>
        <w:jc w:val="both"/>
        <w:ind w:left="-360" w:firstLine="360"/>
        <w:spacing w:after="0" w:line="237" w:lineRule="auto"/>
        <w:tabs>
          <w:tab w:leader="none" w:pos="361"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Autonomous driving-ADAS synergies</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The autonomous driving-ADAS interplay, which is borne out of our Compound AI</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architecture (including True Redundancy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is bi-directional: advanced technologies transfer from autonomous driving to ADAS and significantly enhance our market proposition, and in turn, these advanced autonomous driving technologies are validated in commercial, mass market ADAS deployments and contribute to the process of verifying and validating the various elements of our autonomous driving solution stack. Moreover, our scalable architecture provides our OEM partners with operational efficiencies as modular technology platform architecture minimizes the OEMs’ integration and validation burden as our solutions can be seamlessly deployed across multiple vehicle segments.</w:t>
      </w:r>
    </w:p>
    <w:p>
      <w:pPr>
        <w:sectPr>
          <w:pgSz w:w="11880" w:h="15480" w:orient="portrait"/>
          <w:cols w:equalWidth="0" w:num="1">
            <w:col w:w="10440"/>
          </w:cols>
          <w:pgMar w:left="900" w:top="135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440"/>
          </w:cols>
          <w:pgMar w:left="900" w:top="1359" w:right="540" w:bottom="0" w:gutter="0" w:footer="0" w:header="0"/>
          <w:type w:val="continuous"/>
        </w:sectPr>
      </w:pPr>
    </w:p>
    <w:bookmarkStart w:id="23" w:name="page24"/>
    <w:bookmarkEnd w:id="23"/>
    <w:p>
      <w:pPr>
        <w:jc w:val="both"/>
        <w:ind w:firstLine="360"/>
        <w:spacing w:after="0" w:line="213" w:lineRule="auto"/>
        <w:tabs>
          <w:tab w:leader="none" w:pos="720" w:val="left"/>
        </w:tabs>
        <w:numPr>
          <w:ilvl w:val="1"/>
          <w:numId w:val="15"/>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Road Experience Management</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creates a powerful network effect and long-term competitive advantage - </w:t>
      </w:r>
      <w:r>
        <w:rPr>
          <w:rFonts w:ascii="Times New Roman" w:cs="Times New Roman" w:eastAsia="Times New Roman" w:hAnsi="Times New Roman"/>
          <w:sz w:val="20"/>
          <w:szCs w:val="20"/>
          <w:color w:val="auto"/>
        </w:rPr>
        <w:t>Our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system is a crucial ingredient that we believe allows for: (1) defining a new category of cloud-enhanced ADAS that we call Cloud-Enhanced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where information in Mobileye Roadbook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enhances existing ADAS functions such as lane keeping assist and lane-centering and allows for new functions such as the analysis of behavior patterns in intersections and near traffic signs and lights;</w:t>
      </w:r>
    </w:p>
    <w:p>
      <w:pPr>
        <w:spacing w:after="0" w:line="2" w:lineRule="exact"/>
        <w:rPr>
          <w:rFonts w:ascii="Arial" w:cs="Arial" w:eastAsia="Arial" w:hAnsi="Arial"/>
          <w:sz w:val="20"/>
          <w:szCs w:val="20"/>
          <w:color w:val="auto"/>
        </w:rPr>
      </w:pPr>
    </w:p>
    <w:p>
      <w:pPr>
        <w:jc w:val="both"/>
        <w:spacing w:after="0" w:line="219" w:lineRule="auto"/>
        <w:tabs>
          <w:tab w:leader="none" w:pos="285"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evolving ADAS to an eyes-on/hands-off point-to-point assisted driving navigation system; and (3) the scale deployment of AV. REM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is complex, requiring advanced processing at the edge (for creating processed data to be sent to the cloud and for localizing the vehicle at centimeter-level accuracy in Mobileye Roadbook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and computationally intensive processing in the cloud to build Mobileye Roadbook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from billions of data packets sent from millions of vehicles</w:t>
      </w:r>
      <w:r>
        <w:rPr>
          <w:rFonts w:ascii="Arial" w:cs="Arial" w:eastAsia="Arial" w:hAnsi="Arial"/>
          <w:sz w:val="19"/>
          <w:szCs w:val="19"/>
          <w:color w:val="auto"/>
        </w:rPr>
        <w:t xml:space="preserve"> </w:t>
      </w:r>
      <w:r>
        <w:rPr>
          <w:rFonts w:ascii="Times New Roman" w:cs="Times New Roman" w:eastAsia="Times New Roman" w:hAnsi="Times New Roman"/>
          <w:sz w:val="19"/>
          <w:szCs w:val="19"/>
          <w:color w:val="auto"/>
        </w:rPr>
        <w:t>-</w:t>
      </w:r>
      <w:r>
        <w:rPr>
          <w:rFonts w:ascii="Arial" w:cs="Arial" w:eastAsia="Arial" w:hAnsi="Arial"/>
          <w:sz w:val="19"/>
          <w:szCs w:val="19"/>
          <w:color w:val="auto"/>
        </w:rPr>
        <w:t xml:space="preserve"> </w:t>
      </w:r>
      <w:r>
        <w:rPr>
          <w:rFonts w:ascii="Times New Roman" w:cs="Times New Roman" w:eastAsia="Times New Roman" w:hAnsi="Times New Roman"/>
          <w:sz w:val="19"/>
          <w:szCs w:val="19"/>
          <w:color w:val="auto"/>
        </w:rPr>
        <w:t>all automatically. REM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benefits from a powerful network effect, where more vehicles with REM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enabled technology from which we are able to collect and process data, not only improves our own solutions, but also delivers benefits to our customers and to consumers through greater safety and expanded functionality. We believe this network effect creates a powerful competitive advantage, particularly given our leadership position in ADAS, as we are able to efficiently collect large amounts of data from our consumer solutions already deployed on roads globally through their regular use. Our REM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maps are a critical component that supports our SuperVision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product’s ability to operate across a wide ODD and, therefore, the modular process of expanding this technology to eyes-off/hands-off Chauffeur products for a defined ODD. Further, our REM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maps support our ability to deploy our AMaaS technology in new cities and geographies quickly.</w:t>
      </w:r>
    </w:p>
    <w:p>
      <w:pPr>
        <w:spacing w:after="0" w:line="223" w:lineRule="exact"/>
        <w:rPr>
          <w:rFonts w:ascii="Times New Roman" w:cs="Times New Roman" w:eastAsia="Times New Roman" w:hAnsi="Times New Roman"/>
          <w:sz w:val="19"/>
          <w:szCs w:val="19"/>
          <w:color w:val="auto"/>
        </w:rPr>
      </w:pPr>
    </w:p>
    <w:p>
      <w:pPr>
        <w:jc w:val="both"/>
        <w:ind w:firstLine="360"/>
        <w:spacing w:after="0" w:line="229" w:lineRule="auto"/>
        <w:tabs>
          <w:tab w:leader="none" w:pos="720" w:val="left"/>
        </w:tabs>
        <w:numPr>
          <w:ilvl w:val="1"/>
          <w:numId w:val="15"/>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Data and technology advantage</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Developing effective ADAS technology is technologically complex, and requires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development of large validation datasets in order to train the required software algorithms effectively, a long-term commitment to validation and qualification with an OEM before series production can even begin, and significant financial resources. We have assembled a substantial dataset of real-world driving experience, encompassing hundreds of petabytes of data, which includes tens of millions of clips collected over decades of driving on urban, highway, and arterial roads all over the world that enable us to develop and continuously improve advanced computer vision algorithms to fit road scenarios and use cases that our system encounters. We have developed sophisticated 2D and 3D automatic-labeling methodologies that, together with a team of thousands of external specialized annotators, allow for fast development cycles for our computer vision engines based on the dataset we have. In addition, our advanced data labeling infrastructure and data mining tools can unlock significant data-driven insights. In parallel, we have created a rich dataset of roads driven from over 3 million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-enabled vehicles worldwide that we estimate covers over 95% of the approximately 0.8 million miles of motorway, trunk, and primary road types in each of the United States and Europe, respectively, as well as a large majority of all other road types. We apply a series of on-cloud algorithms to build this crowd-sourced data into a high-definition, rapidly updating map that contains a rich variety of information, including road geometry, drivable paths, common speeds, right-of-way, and traffic light-to-lane associations. Our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-enabled solutions continuously harvest high-precision data that is analyzed in the cloud, creating a large repository of real-world data from the analysis of tens of millions of miles of road data per day, varying by road types and geography. This data enables us to create robust high definition maps to support solutions across the product spectrum from Cloud-Enhanced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Mobileye Surround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to Mobileye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to Mobileye Chauffeur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Mobileye Drive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These two datasets create powerful network effects as we seek to continually improve our solutions as more vehicles are deployed with our technology.</w:t>
      </w:r>
    </w:p>
    <w:p>
      <w:pPr>
        <w:spacing w:after="0" w:line="234" w:lineRule="exact"/>
        <w:rPr>
          <w:rFonts w:ascii="Arial" w:cs="Arial" w:eastAsia="Arial" w:hAnsi="Arial"/>
          <w:sz w:val="20"/>
          <w:szCs w:val="20"/>
          <w:color w:val="auto"/>
        </w:rPr>
      </w:pPr>
    </w:p>
    <w:p>
      <w:pPr>
        <w:jc w:val="both"/>
        <w:ind w:firstLine="360"/>
        <w:spacing w:after="0" w:line="244" w:lineRule="auto"/>
        <w:tabs>
          <w:tab w:leader="none" w:pos="720" w:val="left"/>
        </w:tabs>
        <w:numPr>
          <w:ilvl w:val="1"/>
          <w:numId w:val="15"/>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RSS: Our Technology Safety Concept for Deploying AV at Scale -</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Responsibility Sensitive Safety (“RSS”), published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2017, is a key component of our safety model, intended to specifically address the regulatory and public debate regarding, and enable the acceptance of, eyes-off/hands-off autonomous solutions. It is a formal, explicit, machine interpretable model governing the safety of our autonomous driving solutions’ driving policy. RSS articulates a set of plausible-worst-case assumptions regarding the behavior of other road-users, thereby enabling assertive, human-like driving while rigorously respecting the boundary between safe driving decisions and dangerous, risk-inducing ones. By doing so, it provides a deterministic model for safe driving decisions. As such, RSS further gives regulators and industry participants a framework for standardizing autonomous driving decision-making safety. RSS is also the key enabler of our lean compute driving policy design, as we distinctly separate comfort driving strategies and tactics from safety-related inhibitions and adjustments. RSS has inspired a global standardization effort of AV safety including IEEE 2846, an industry working group that we lead. We first published our RSS model in 2017, setting another example of our industry leadership in addressing one of the key issues to enable regulatory and public acceptance of eyes-off/hands-off autonomous solutions at scale.</w:t>
      </w:r>
    </w:p>
    <w:p>
      <w:pPr>
        <w:spacing w:after="0" w:line="211" w:lineRule="exact"/>
        <w:rPr>
          <w:rFonts w:ascii="Arial" w:cs="Arial" w:eastAsia="Arial" w:hAnsi="Arial"/>
          <w:sz w:val="20"/>
          <w:szCs w:val="20"/>
          <w:color w:val="auto"/>
        </w:rPr>
      </w:pPr>
    </w:p>
    <w:p>
      <w:pPr>
        <w:jc w:val="both"/>
        <w:ind w:firstLine="360"/>
        <w:spacing w:after="0" w:line="253" w:lineRule="auto"/>
        <w:tabs>
          <w:tab w:leader="none" w:pos="720" w:val="left"/>
        </w:tabs>
        <w:numPr>
          <w:ilvl w:val="1"/>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RSS is the key enabler of our lean compute driving policy design, where we distinctly separate driving comfort features from safety-related inhibitions and adjustments. Our framework monitors and establishes driving policy by identifying intentions in order to only predict the plausible actions of road users, significantly reducing possible options and computational demands. Our RSS-based driving policy is designed for global deployment, as it does not need to be tailored to specific driving cultures.</w:t>
      </w:r>
    </w:p>
    <w:p>
      <w:pPr>
        <w:sectPr>
          <w:pgSz w:w="11880" w:h="15480" w:orient="portrait"/>
          <w:cols w:equalWidth="0" w:num="1">
            <w:col w:w="10800"/>
          </w:cols>
          <w:pgMar w:left="540" w:top="136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800"/>
          </w:cols>
          <w:pgMar w:left="540" w:top="1362" w:right="540" w:bottom="0" w:gutter="0" w:footer="0" w:header="0"/>
          <w:type w:val="continuous"/>
        </w:sectPr>
      </w:pPr>
    </w:p>
    <w:bookmarkStart w:id="24" w:name="page25"/>
    <w:bookmarkEnd w:id="24"/>
    <w:p>
      <w:pPr>
        <w:jc w:val="both"/>
        <w:ind w:firstLine="360"/>
        <w:spacing w:after="0" w:line="236" w:lineRule="auto"/>
        <w:tabs>
          <w:tab w:leader="none" w:pos="7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Purpose-built imaging-radar unlocks consumer AV at scale</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We have developed software-defined imaging-radar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cutting-edge dynamic range and resolution. Our differentiated True Redundancy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architecture, which is adaptable to different lidar architectures, will leverage our imaging-radar, which we believe will give us the ability to significantly reduce the cost of the overall sensor suite by replacing multiple, expensive lidars around the vehicle, with only a single front-facing lidar sensor, which we believe will support consumer AV production at scale.</w:t>
      </w:r>
    </w:p>
    <w:p>
      <w:pPr>
        <w:spacing w:after="0" w:line="216" w:lineRule="exact"/>
        <w:rPr>
          <w:rFonts w:ascii="Arial" w:cs="Arial" w:eastAsia="Arial" w:hAnsi="Arial"/>
          <w:sz w:val="20"/>
          <w:szCs w:val="20"/>
          <w:color w:val="auto"/>
        </w:rPr>
      </w:pPr>
    </w:p>
    <w:p>
      <w:pPr>
        <w:jc w:val="both"/>
        <w:ind w:firstLine="360"/>
        <w:spacing w:after="0" w:line="253" w:lineRule="auto"/>
        <w:tabs>
          <w:tab w:leader="none" w:pos="72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Deep, collaborative ecosystem relationships</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Our deep global relationships with key partners across the value chain,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component suppliers, through Tier 1 customers and up to OEMs, offer us a broad and diverse set of collaboration opportunities for high-performance computing, networking, and advanced packaging technologies, among others, from the vehicle to the cloud. Together with our partners, we believe that we can accelerate the pace of autonomous innovation and market adoption.</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Growth Strategies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Key levers of our growth strategy are:</w:t>
      </w:r>
    </w:p>
    <w:p>
      <w:pPr>
        <w:spacing w:after="0" w:line="254" w:lineRule="exact"/>
        <w:rPr>
          <w:sz w:val="20"/>
          <w:szCs w:val="20"/>
          <w:color w:val="auto"/>
        </w:rPr>
      </w:pPr>
    </w:p>
    <w:p>
      <w:pPr>
        <w:jc w:val="both"/>
        <w:ind w:firstLine="360"/>
        <w:spacing w:after="0" w:line="248"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Benefit from regulatory and safety rating changes promoting base ADAS</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We intend to continue to lead and deliver upon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global regulatory and safety requirements for base ADAS features by maintaining and enhancing our vision only solution. We expect a strong increase in base ADAS fitment rates due to global regulatory and safety requirements, as OEMs move to adopt standard ADAS technology for the vast majority of new model launches. We plan to continue to leverage our technology leadership and strong customer relationships to position us for additional design wins with high production volumes. We believe that our comprehensive stack of solutions and proven success at scale will enable us to further solidify our industry leadership.</w:t>
      </w:r>
    </w:p>
    <w:p>
      <w:pPr>
        <w:spacing w:after="0" w:line="207" w:lineRule="exact"/>
        <w:rPr>
          <w:rFonts w:ascii="Arial" w:cs="Arial" w:eastAsia="Arial" w:hAnsi="Arial"/>
          <w:sz w:val="20"/>
          <w:szCs w:val="20"/>
          <w:color w:val="auto"/>
        </w:rPr>
      </w:pPr>
    </w:p>
    <w:p>
      <w:pPr>
        <w:jc w:val="both"/>
        <w:ind w:firstLine="360"/>
        <w:spacing w:after="0" w:line="202"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Capitalize on Cloud-Enhanced ADAS</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features</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We have pioneered a cloud-enhanced ADAS solution, which offers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customers using advanced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versions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4 and above) a significant value through our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technology. Our Cloud-Enhanced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solution is capable of utilizing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and entry level camera technologies to deliver feature enhancements over time. Our premium Cloud-Enhanced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features range in complexity from all road-type lane keeping assist and lane centering, to Cross-Junction Assist, to Traffic Jam Assist. We will continue to grow the depth and breadth of our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maps in order to deliver leading ADAS capabilities. In the future, we plan to create revenue streams from our OTA capabilities and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maps through solution upgrades.</w:t>
      </w:r>
    </w:p>
    <w:p>
      <w:pPr>
        <w:spacing w:after="0" w:line="219" w:lineRule="exact"/>
        <w:rPr>
          <w:rFonts w:ascii="Arial" w:cs="Arial" w:eastAsia="Arial" w:hAnsi="Arial"/>
          <w:sz w:val="20"/>
          <w:szCs w:val="20"/>
          <w:color w:val="auto"/>
        </w:rPr>
      </w:pPr>
    </w:p>
    <w:p>
      <w:pPr>
        <w:jc w:val="both"/>
        <w:ind w:firstLine="360"/>
        <w:spacing w:after="0" w:line="227" w:lineRule="auto"/>
        <w:tabs>
          <w:tab w:leader="none" w:pos="720" w:val="left"/>
        </w:tabs>
        <w:numPr>
          <w:ilvl w:val="0"/>
          <w:numId w:val="17"/>
        </w:numPr>
        <w:rPr>
          <w:rFonts w:ascii="Arial" w:cs="Arial" w:eastAsia="Arial" w:hAnsi="Arial"/>
          <w:sz w:val="19"/>
          <w:szCs w:val="19"/>
          <w:color w:val="auto"/>
        </w:rPr>
      </w:pPr>
      <w:r>
        <w:rPr>
          <w:rFonts w:ascii="Times New Roman" w:cs="Times New Roman" w:eastAsia="Times New Roman" w:hAnsi="Times New Roman"/>
          <w:sz w:val="19"/>
          <w:szCs w:val="19"/>
          <w:b w:val="1"/>
          <w:bCs w:val="1"/>
          <w:i w:val="1"/>
          <w:iCs w:val="1"/>
          <w:color w:val="auto"/>
        </w:rPr>
        <w:t>Further enhance and drive adoption of our Premium Driver Assist solutions</w:t>
      </w:r>
      <w:r>
        <w:rPr>
          <w:rFonts w:ascii="Arial" w:cs="Arial" w:eastAsia="Arial" w:hAnsi="Arial"/>
          <w:sz w:val="19"/>
          <w:szCs w:val="19"/>
          <w:b w:val="1"/>
          <w:bCs w:val="1"/>
          <w:i w:val="1"/>
          <w:iCs w:val="1"/>
          <w:color w:val="auto"/>
        </w:rPr>
        <w:t xml:space="preserve"> </w:t>
      </w:r>
      <w:r>
        <w:rPr>
          <w:rFonts w:ascii="Times New Roman" w:cs="Times New Roman" w:eastAsia="Times New Roman" w:hAnsi="Times New Roman"/>
          <w:sz w:val="19"/>
          <w:szCs w:val="19"/>
          <w:b w:val="1"/>
          <w:bCs w:val="1"/>
          <w:i w:val="1"/>
          <w:iCs w:val="1"/>
          <w:color w:val="auto"/>
        </w:rPr>
        <w:t>-</w:t>
      </w:r>
      <w:r>
        <w:rPr>
          <w:rFonts w:ascii="Arial" w:cs="Arial" w:eastAsia="Arial" w:hAnsi="Arial"/>
          <w:sz w:val="19"/>
          <w:szCs w:val="19"/>
          <w:b w:val="1"/>
          <w:bCs w:val="1"/>
          <w:i w:val="1"/>
          <w:iCs w:val="1"/>
          <w:color w:val="auto"/>
        </w:rPr>
        <w:t xml:space="preserve"> </w:t>
      </w:r>
      <w:r>
        <w:rPr>
          <w:rFonts w:ascii="Times New Roman" w:cs="Times New Roman" w:eastAsia="Times New Roman" w:hAnsi="Times New Roman"/>
          <w:sz w:val="19"/>
          <w:szCs w:val="19"/>
          <w:color w:val="auto"/>
        </w:rPr>
        <w:t>Our Mobileye SuperVision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solution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represents a comprehensive eyes-on/hands-off ADAS solution. After the initial launch by the Geely Group’s premium electric vehicle brand, ZEEKR, we have successfully executed a series of software updates and also achieved a series of production program awards with Volkswagen Group that increased substantially the number of vehicle models in our future launch pipeline. During 2024, we made significant progress towards additional design wins for SuperVision throughout our top OEM customers. Our validated SuperVision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technology can serve as the foundation to enable eyes-off/hands-off capabilities in a modular way. In addition, our Mobileye SuperVision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configuration of sensors and compute can also be transformed into an effective “360 guardian,” helping the driver avoid accidents, as referenced in our Vision Zero publications. We believe that Mobileye SuperVision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has the potential to transform ADAS at its core, potentially leading to adoption driven by regulatory requirements and safety ratings of a Mobileye SuperVision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-like solution in its own category, similar to how safety-ratings and regulation have driven the adoption of base ADAS beginning in 2014.</w:t>
      </w:r>
    </w:p>
    <w:p>
      <w:pPr>
        <w:spacing w:after="0" w:line="201" w:lineRule="exact"/>
        <w:rPr>
          <w:sz w:val="20"/>
          <w:szCs w:val="20"/>
          <w:color w:val="auto"/>
        </w:rPr>
      </w:pPr>
    </w:p>
    <w:p>
      <w:pPr>
        <w:jc w:val="both"/>
        <w:ind w:firstLine="360"/>
        <w:spacing w:after="0" w:line="206" w:lineRule="auto"/>
        <w:rPr>
          <w:sz w:val="20"/>
          <w:szCs w:val="20"/>
          <w:color w:val="auto"/>
        </w:rPr>
      </w:pPr>
      <w:r>
        <w:rPr>
          <w:rFonts w:ascii="Times New Roman" w:cs="Times New Roman" w:eastAsia="Times New Roman" w:hAnsi="Times New Roman"/>
          <w:sz w:val="20"/>
          <w:szCs w:val="20"/>
          <w:color w:val="auto"/>
        </w:rPr>
        <w:t>Additionally, we added a new innovative Premium ADAS solution, Mobileye Surround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which utilizes the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software stack with a down-scaled sensor suite and an ECU that includes one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6 High SoC. The solution will enable eyes-on/hands- off driving on highway road types (as compared to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which is expected to operate on various ODDs). Mobileye Surround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will provide OEMs with higher levels of autonomy than Cloud-Enhanced Driver Assist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which we believe will expand the application and adoption of our products.</w:t>
      </w:r>
    </w:p>
    <w:p>
      <w:pPr>
        <w:spacing w:after="0" w:line="205" w:lineRule="exact"/>
        <w:rPr>
          <w:sz w:val="20"/>
          <w:szCs w:val="20"/>
          <w:color w:val="auto"/>
        </w:rPr>
      </w:pPr>
    </w:p>
    <w:p>
      <w:pPr>
        <w:jc w:val="both"/>
        <w:ind w:firstLine="360"/>
        <w:spacing w:after="0" w:line="316" w:lineRule="auto"/>
        <w:rPr>
          <w:sz w:val="20"/>
          <w:szCs w:val="20"/>
          <w:color w:val="auto"/>
        </w:rPr>
      </w:pPr>
      <w:r>
        <w:rPr>
          <w:rFonts w:ascii="Times New Roman" w:cs="Times New Roman" w:eastAsia="Times New Roman" w:hAnsi="Times New Roman"/>
          <w:sz w:val="20"/>
          <w:szCs w:val="20"/>
          <w:color w:val="auto"/>
        </w:rPr>
        <w:t>Our Premium Driver Assist offerings are expected to be available with DXP, which will enable OEM customers to deploy their own internally-developed software on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while benefiting from our industry-leading technology platform.</w:t>
      </w:r>
    </w:p>
    <w:p>
      <w:pPr>
        <w:sectPr>
          <w:pgSz w:w="11880" w:h="15480" w:orient="portrait"/>
          <w:cols w:equalWidth="0" w:num="1">
            <w:col w:w="10800"/>
          </w:cols>
          <w:pgMar w:left="540" w:top="136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800"/>
          </w:cols>
          <w:pgMar w:left="540" w:top="1362" w:right="540" w:bottom="0" w:gutter="0" w:footer="0" w:header="0"/>
          <w:type w:val="continuous"/>
        </w:sectPr>
      </w:pPr>
    </w:p>
    <w:bookmarkStart w:id="25" w:name="page26"/>
    <w:bookmarkEnd w:id="25"/>
    <w:p>
      <w:pPr>
        <w:jc w:val="both"/>
        <w:ind w:left="-360" w:firstLine="360"/>
        <w:spacing w:after="0" w:line="224" w:lineRule="auto"/>
        <w:tabs>
          <w:tab w:leader="none" w:pos="361" w:val="left"/>
        </w:tabs>
        <w:numPr>
          <w:ilvl w:val="0"/>
          <w:numId w:val="18"/>
        </w:numPr>
        <w:rPr>
          <w:rFonts w:ascii="Arial" w:cs="Arial" w:eastAsia="Arial" w:hAnsi="Arial"/>
          <w:sz w:val="19"/>
          <w:szCs w:val="19"/>
          <w:color w:val="auto"/>
        </w:rPr>
      </w:pPr>
      <w:r>
        <w:rPr>
          <w:rFonts w:ascii="Times New Roman" w:cs="Times New Roman" w:eastAsia="Times New Roman" w:hAnsi="Times New Roman"/>
          <w:sz w:val="19"/>
          <w:szCs w:val="19"/>
          <w:b w:val="1"/>
          <w:bCs w:val="1"/>
          <w:i w:val="1"/>
          <w:iCs w:val="1"/>
          <w:color w:val="auto"/>
        </w:rPr>
        <w:t>Innovate and commercialize our next-generation autonomous driving solutions</w:t>
      </w:r>
      <w:r>
        <w:rPr>
          <w:rFonts w:ascii="Arial" w:cs="Arial" w:eastAsia="Arial" w:hAnsi="Arial"/>
          <w:sz w:val="19"/>
          <w:szCs w:val="19"/>
          <w:b w:val="1"/>
          <w:bCs w:val="1"/>
          <w:i w:val="1"/>
          <w:iCs w:val="1"/>
          <w:color w:val="auto"/>
        </w:rPr>
        <w:t xml:space="preserve"> </w:t>
      </w:r>
      <w:r>
        <w:rPr>
          <w:rFonts w:ascii="Times New Roman" w:cs="Times New Roman" w:eastAsia="Times New Roman" w:hAnsi="Times New Roman"/>
          <w:sz w:val="19"/>
          <w:szCs w:val="19"/>
          <w:b w:val="1"/>
          <w:bCs w:val="1"/>
          <w:i w:val="1"/>
          <w:iCs w:val="1"/>
          <w:color w:val="auto"/>
        </w:rPr>
        <w:t>-</w:t>
      </w:r>
      <w:r>
        <w:rPr>
          <w:rFonts w:ascii="Arial" w:cs="Arial" w:eastAsia="Arial" w:hAnsi="Arial"/>
          <w:sz w:val="19"/>
          <w:szCs w:val="19"/>
          <w:b w:val="1"/>
          <w:bCs w:val="1"/>
          <w:i w:val="1"/>
          <w:iCs w:val="1"/>
          <w:color w:val="auto"/>
        </w:rPr>
        <w:t xml:space="preserve"> </w:t>
      </w:r>
      <w:r>
        <w:rPr>
          <w:rFonts w:ascii="Times New Roman" w:cs="Times New Roman" w:eastAsia="Times New Roman" w:hAnsi="Times New Roman"/>
          <w:sz w:val="19"/>
          <w:szCs w:val="19"/>
          <w:color w:val="auto"/>
        </w:rPr>
        <w:t>Propelled by our next generation EyeQ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SoC, our surround computer vision Mobileye SuperVision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solution, productization of software-defined imaging radars and our Compound AI system architecture including True Redundancy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we believe that we will be positioned to deliver an autonomous driving solution that can enable the mass adoption of AV. We plan to continue to develop innovative and cost-optimized solutions to deliver comprehensive capabilities for mass market adoption to our customers. We believe the introduction of our Premium ADAS capabilities with our launched Mobileye SuperVision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solution, which can be scaled to a variety of Mobileye Chauffeur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consumer AV solutions, and our eyes-off/hands-off/no driver capabilities with Mobileye Drive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will help us continue to provide our customers with innovative solutions and enable further growth for us. The favorable view of Chauffeur eyes-off technology by automakers is based on two key factors: 1) Chauffeur adds “buying your time back” as an additional value proposition on top of the safety and convenience benefits of SuperVision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and 2) the sharing of tech building blocks between SuperVision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and Chauffeur creates a scalable bridge from one to the other, significantly lowering the investment needs and raising the probability of success for a consumer AV product. We plan to continue to build and enhance our full-stack technology platform in order to offer an affordable, time-saving and much safer driving experience, which we believe will propel the mass-market adoption of autonomous driving solutions.</w:t>
      </w:r>
    </w:p>
    <w:p>
      <w:pPr>
        <w:spacing w:after="0" w:line="218" w:lineRule="exact"/>
        <w:rPr>
          <w:rFonts w:ascii="Arial" w:cs="Arial" w:eastAsia="Arial" w:hAnsi="Arial"/>
          <w:sz w:val="19"/>
          <w:szCs w:val="19"/>
          <w:color w:val="auto"/>
        </w:rPr>
      </w:pPr>
    </w:p>
    <w:p>
      <w:pPr>
        <w:jc w:val="both"/>
        <w:ind w:left="-360" w:firstLine="360"/>
        <w:spacing w:after="0" w:line="244" w:lineRule="auto"/>
        <w:tabs>
          <w:tab w:leader="none" w:pos="36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Utilize our flexible platform to expand our collaboration with our OEM customers</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We have designed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5 SoCs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subsequent generations to be increasingly customizable by our OEM customers, supported by DXP. DXP enables automakers to develop and customize the driving experience while utilizing Mobileye’s proven core technology perception and driving software - allowing our customers to create unique products from our technology while accelerating time-to-market and reducing overall execution risk. We plan to continue to develop our platform to offer our customers the ability to seamlessly address the additional capabilities and features that they demand by customizing their offerings on top of our solutions. This collaborative addition to our platform offer a mutually beneficial middle ground between open and closed systems, which will allow OEMs to innovate on top of our platform, augmenting and differentiating their offerings, while benefiting from our cutting-edge, verified and validated core technologies such as computer vision, true redundancy perception,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mapping and driving policy.</w:t>
      </w:r>
    </w:p>
    <w:p>
      <w:pPr>
        <w:spacing w:after="0" w:line="101" w:lineRule="exact"/>
        <w:rPr>
          <w:rFonts w:ascii="Arial" w:cs="Arial" w:eastAsia="Arial" w:hAnsi="Arial"/>
          <w:sz w:val="20"/>
          <w:szCs w:val="20"/>
          <w:color w:val="auto"/>
        </w:rPr>
      </w:pPr>
    </w:p>
    <w:p>
      <w:pPr>
        <w:jc w:val="both"/>
        <w:ind w:left="-360" w:firstLine="360"/>
        <w:spacing w:after="0" w:line="248" w:lineRule="auto"/>
        <w:tabs>
          <w:tab w:leader="none" w:pos="361"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Capitalize on our active sensor technology</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We intend to continue to develop and commercialize next-generation active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sensors such as software-defined imaging radars, which leverage our AI capabilities. Our software-defined imaging radars are designed to form a standalone “sensing state” layer which can be utilized as a sensing layer on its own, enabling 360-degree coverage, replacing multiple lidar sensors and requiring only a single front-facing lidar. We believe enhancing our sensing and perception technology leadership will further strengthen our competitive position and allow us to offer additional differentiated and cost-effective solutions to our customers.</w:t>
      </w:r>
    </w:p>
    <w:p>
      <w:pPr>
        <w:spacing w:after="0" w:line="207" w:lineRule="exact"/>
        <w:rPr>
          <w:rFonts w:ascii="Arial" w:cs="Arial" w:eastAsia="Arial" w:hAnsi="Arial"/>
          <w:sz w:val="20"/>
          <w:szCs w:val="20"/>
          <w:color w:val="auto"/>
        </w:rPr>
      </w:pPr>
    </w:p>
    <w:p>
      <w:pPr>
        <w:jc w:val="both"/>
        <w:ind w:left="-360" w:firstLine="360"/>
        <w:spacing w:after="0" w:line="222" w:lineRule="auto"/>
        <w:tabs>
          <w:tab w:leader="none" w:pos="36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Accelerate our roadmap of next generation proprietary EyeQ</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SoCs</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We believe that we have created the standard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processors focused on Compound AI systems that control perception, including computer vision.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are purpose-built for sensing and perception technologies and optimized for high throughput and power efficiency. We intend to continue to accelerate our technology leadership with a focus on silicon, packaging, and systems level needs to deliver cost-efficient processing at the edge.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6 High will be built to address the needs of eyes-on/hands-off and eyes-off/hands-off solutions in a scalable way. Our architecture is highly scalable and is designed to support the increasing and computationally intensive demands of future autonomous driving applications.</w:t>
      </w:r>
    </w:p>
    <w:p>
      <w:pPr>
        <w:spacing w:after="0" w:line="216" w:lineRule="exact"/>
        <w:rPr>
          <w:rFonts w:ascii="Arial" w:cs="Arial" w:eastAsia="Arial" w:hAnsi="Arial"/>
          <w:sz w:val="20"/>
          <w:szCs w:val="20"/>
          <w:color w:val="auto"/>
        </w:rPr>
      </w:pPr>
    </w:p>
    <w:p>
      <w:pPr>
        <w:jc w:val="both"/>
        <w:ind w:left="-360" w:firstLine="360"/>
        <w:spacing w:after="0" w:line="235" w:lineRule="auto"/>
        <w:tabs>
          <w:tab w:leader="none" w:pos="36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Utilize our substantial and growing dataset to continuously improve the intelligence and robustness of our solutions</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will continue to grow the depth and breadth of our substantial dataset. We believe that our ability to use this data to create, maintain, and improve our Compound AI systems and high-precision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maps through our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mapping system will enable us to further improve our ADAS offerings and position us well for autonomous driving.</w:t>
      </w:r>
    </w:p>
    <w:p>
      <w:pPr>
        <w:spacing w:after="0" w:line="215" w:lineRule="exact"/>
        <w:rPr>
          <w:rFonts w:ascii="Arial" w:cs="Arial" w:eastAsia="Arial" w:hAnsi="Arial"/>
          <w:sz w:val="20"/>
          <w:szCs w:val="20"/>
          <w:color w:val="auto"/>
        </w:rPr>
      </w:pPr>
    </w:p>
    <w:p>
      <w:pPr>
        <w:jc w:val="both"/>
        <w:ind w:left="-360" w:firstLine="360"/>
        <w:spacing w:after="0" w:line="227" w:lineRule="auto"/>
        <w:tabs>
          <w:tab w:leader="none" w:pos="361"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Establish our Eyes-Off/Hands-Off autonomous and AMaaS solutions</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We believe that Mobileye Chauffeur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Mobileye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Drive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will unlock new use cases and end-consumers for our OEM and fleet-owner customers, which will be applicable for both the AMaaS and consumer AV markets. We expect, in collaboration with our customers, to add additional cities to our AMaaS offerings to showcase our industry-leading technology and to help accelerate the pace of AV adoption. We also expect to continue to invest in our ecosystem partnerships with OEMs and transportation network companies in order to foster close collaboration and further commercialize our autonomous technologies.</w:t>
      </w:r>
    </w:p>
    <w:p>
      <w:pPr>
        <w:sectPr>
          <w:pgSz w:w="11880" w:h="15480" w:orient="portrait"/>
          <w:cols w:equalWidth="0" w:num="1">
            <w:col w:w="10440"/>
          </w:cols>
          <w:pgMar w:left="900" w:top="136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440"/>
          </w:cols>
          <w:pgMar w:left="900" w:top="1362" w:right="540" w:bottom="0" w:gutter="0" w:footer="0" w:header="0"/>
          <w:type w:val="continuous"/>
        </w:sectPr>
      </w:pPr>
    </w:p>
    <w:bookmarkStart w:id="26" w:name="page27"/>
    <w:bookmarkEnd w:id="26"/>
    <w:p>
      <w:pPr>
        <w:jc w:val="both"/>
        <w:ind w:firstLine="360"/>
        <w:spacing w:after="0" w:line="236"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Benefit from opportunities in large emerging markets</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b w:val="1"/>
          <w:bCs w:val="1"/>
          <w:i w:val="1"/>
          <w:iCs w:val="1"/>
          <w:color w:val="auto"/>
        </w:rPr>
        <w:t>-</w:t>
      </w:r>
      <w:r>
        <w:rPr>
          <w:rFonts w:ascii="Arial" w:cs="Arial" w:eastAsia="Arial" w:hAnsi="Arial"/>
          <w:sz w:val="20"/>
          <w:szCs w:val="20"/>
          <w:b w:val="1"/>
          <w:bCs w:val="1"/>
          <w:i w:val="1"/>
          <w:iCs w:val="1"/>
          <w:color w:val="auto"/>
        </w:rPr>
        <w:t xml:space="preserve"> </w:t>
      </w:r>
      <w:r>
        <w:rPr>
          <w:rFonts w:ascii="Times New Roman" w:cs="Times New Roman" w:eastAsia="Times New Roman" w:hAnsi="Times New Roman"/>
          <w:sz w:val="20"/>
          <w:szCs w:val="20"/>
          <w:color w:val="auto"/>
        </w:rPr>
        <w:t>We intend to continue to invest in customer relationships in emerging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markets to accelerate ADAS and autonomous driving adoption, particularly in India. Mahindra &amp; Mahindra, one of India’s largest automakers, has launched the first vehicle made locally to offer ADAS capabilities, which is</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powered by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Its accessible price point compared to imported alternatives expands the ADAS reach to a broader range of consumers in one of the most populous countries in the world. We believe our long-term partnerships with emerging market OEMs position our solutions at the forefront of continued innovation and market growth.</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Customers</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Our customers include leading OEMs, which we primarily sell to through Tier 1 automotive suppliers that implement our product into automotive vehicles, as well as fleet owners and operators.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OEMs</w:t>
      </w:r>
    </w:p>
    <w:p>
      <w:pPr>
        <w:spacing w:after="0" w:line="23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Our market position has remained strong across a broad set of customer relationships for many years. We are actively working with more than 50 OEMs worldwide on the implementation of our ADAS solutions.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Tier 1 Automotive Suppliers</w:t>
      </w:r>
    </w:p>
    <w:p>
      <w:pPr>
        <w:spacing w:after="0" w:line="239"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19"/>
          <w:szCs w:val="19"/>
          <w:color w:val="auto"/>
        </w:rPr>
        <w:t>We supply certain OEMs with the EyeQ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platform through our arrangements with automotive system integrators, known as Tier 1 automotive suppliers, which are direct suppliers to OEMs. Our Tier 1 customers include Aptiv, Magna, Valeo, ZF, Imotion and others.</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Mobility-as-a-Service</w:t>
      </w:r>
    </w:p>
    <w:p>
      <w:pPr>
        <w:spacing w:after="0" w:line="23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20"/>
          <w:szCs w:val="20"/>
          <w:color w:val="auto"/>
        </w:rPr>
        <w:t>We expect to sell the Mobileye Drive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self-driving vehicles to a range of transportation network companies, public transit operators and vehicle OEMs which intend to operate a variety of services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consumer- facing AMaaS, transportation on demand, delivery). These partners could produce vehicles themselves and integrate Mobileye Drive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with our assistance.</w:t>
      </w:r>
    </w:p>
    <w:p>
      <w:pPr>
        <w:spacing w:after="0" w:line="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Partnerships with STMicroelectronics and Intel</w:t>
      </w:r>
    </w:p>
    <w:p>
      <w:pPr>
        <w:spacing w:after="0" w:line="242"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Our long-standing relationship with STMicroelectronics N.V. (“STMicroelectronics”) continues to strengthen with the complexity of our solutions. Our partnership includes close collaboration in product development, design, and manufacturing. For example, we have co-developed six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generations, including the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6. We also benefit from STMicroelectronics’ advanced packaging and testing capabilities and automotive expertise. Together with STMicroelectronics, we are working on developing and productizing next-generation automotive-grade technology for high volume automotive applications, which we believe will accelerate the pace of autonomous innovation and market adoption.</w:t>
      </w:r>
    </w:p>
    <w:p>
      <w:pPr>
        <w:spacing w:after="0" w:line="201"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Our close partnership with Intel exists on multiple fronts. As a result of our relationship with Intel, we have access to certain technologies that support design and development of our software-defined radar, including Intel’s mmWave technologies. Additionally, we intend to explore a collaboration with Intel on a technology platform to integrate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with Intel’s market-leading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Our products are designed and manufactured specifically for automotive applications after extensive validation tests under stringent automotive environmental conditions.</w:t>
      </w:r>
    </w:p>
    <w:p>
      <w:pPr>
        <w:spacing w:after="0" w:line="164"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We partner with STMicroelectronics, a leading supplier and innovator of semiconductor devices for automotive applications, in manufacturing, design and research and development. We have co-developed six generations of our automotive grade SoC,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with STMicroelectronics including EyeQ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5 and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6. We design the front-end and STMicroelectronics designs the back-end package and also includes testing, quality assurance, customer care, failure analysis and manufacturing standards. All of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integrated circuits are manufactured by or outsourced to a partner foundry by STMicroelectronics.</w:t>
      </w:r>
    </w:p>
    <w:p>
      <w:pPr>
        <w:sectPr>
          <w:pgSz w:w="11880" w:h="15480" w:orient="portrait"/>
          <w:cols w:equalWidth="0" w:num="1">
            <w:col w:w="10800"/>
          </w:cols>
          <w:pgMar w:left="540" w:top="1362" w:right="54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800"/>
          </w:cols>
          <w:pgMar w:left="540" w:top="1362" w:right="540" w:bottom="0" w:gutter="0" w:footer="0" w:header="0"/>
          <w:type w:val="continuous"/>
        </w:sectPr>
      </w:pPr>
    </w:p>
    <w:bookmarkStart w:id="27" w:name="page28"/>
    <w:bookmarkEnd w:id="27"/>
    <w:p>
      <w:pPr>
        <w:jc w:val="both"/>
        <w:ind w:firstLine="360"/>
        <w:spacing w:after="0" w:line="316" w:lineRule="auto"/>
        <w:rPr>
          <w:sz w:val="20"/>
          <w:szCs w:val="20"/>
          <w:color w:val="auto"/>
        </w:rPr>
      </w:pPr>
      <w:r>
        <w:rPr>
          <w:rFonts w:ascii="Times New Roman" w:cs="Times New Roman" w:eastAsia="Times New Roman" w:hAnsi="Times New Roman"/>
          <w:sz w:val="20"/>
          <w:szCs w:val="20"/>
          <w:color w:val="auto"/>
        </w:rPr>
        <w:t>We have also established a relationship with Quanta Computer and other suppliers to develop and assemble our ECUs including our reference design for our Mobileye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solution, which includes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5 SoCs from STMicroelectronics.</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Regulation and Ratings</w:t>
      </w:r>
    </w:p>
    <w:p>
      <w:pPr>
        <w:spacing w:after="0" w:line="24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Automobile safety is driven by both regulations and the availability to consumers of independent assessments of the safety performance of different car models. These assessments have encouraged OEMs to produce cars that are safer than those required by law. In many countries, these NCAPs have created a “market for safety” as car manufacturers seek to demonstrate that their models satisfy the various NCAPs’ highest ratings.</w:t>
      </w:r>
    </w:p>
    <w:p>
      <w:pPr>
        <w:spacing w:after="0" w:line="191"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National NCAPs will continue to add specific ADAS applications to their evaluation items over the next several years, led by the Euro NCAP. In the EU, pre-market approval is required for all vehicles sold, and many manufacturers choose to satisfy a set of technical criteria determined by the Euro NCAP. The Australian, Japanese, and Korean NCAPs’ have fully harmonized their policies with the Euro NCAP. In the United States, ADAS regulation continues to make large strides. For example, the INVEST in America Act, which was passed in late 2021, requires the U.S. Department of Transportation to issue requirements and standards regarding vehicle safety technologies. On the AV front, our RSS driving policy provides a cornerstone for global standardization efforts of the safety of assisted and automated driving, in particular IEEE 2846, a working group of approximately 30 organizations in the industry that we lead.</w:t>
      </w:r>
    </w:p>
    <w:p>
      <w:pPr>
        <w:spacing w:after="0" w:line="186"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At the federal level in the United States, the safety of motor vehicles is regulated by the U.S. Department of Transportation through two federal Agencies</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the National Highway Traffic Safety Administration (the “NHTSA”), which regulates all motor vehicles, and the Federal Motor Carrier Safety Administration (the “FMCSA”), which regulates commercial motor vehicles. NHTSA establishes the Federal Motor Vehicle Safety Standards (the “FMVSS”) for motor vehicles and motor vehicle equipment and oversees the actions that manufacturers of motor vehicles and motor vehicle equipment are required to take regarding the reporting of information related to defects or injuries related to their products and the recall and repair of vehicles and equipment that contain safety defects or fail to comply with the FMVSS. FMCSA regulates the safety of commercial motor carriers operating in interstate commerce, the qualifications and safety of commercial motor vehicle drivers, and the safe operation of commercial trucks.</w:t>
      </w:r>
    </w:p>
    <w:p>
      <w:pPr>
        <w:spacing w:after="0" w:line="202"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While there are currently no mandatory federal U.S. regulations expressly pertaining to the safety of autonomous driving systems, the U.S. Department of Transportation has established recommended voluntary guidelines, and the NHTSA or the FMCSA, as applicable, have authority to take enforcement action should an automated driving system pose an unreasonable risk to safety or inhibit the safe operation of a motor vehicle. Certain U.S. states have legal restrictions on autonomous driving vehicles, and many other states are considering them. These variations increase the legal complexity of deploying our solutions. If discrepancies emerge in the legal restrictions adopted by different U.S. states, our plan is to develop our technology to comply with the strictest standards. We will continue to actively monitor regulatory developments in the U.S. and intend to adjust our products and solutions as needed.</w:t>
      </w:r>
    </w:p>
    <w:p>
      <w:pPr>
        <w:spacing w:after="0" w:line="199"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In Europe, certain vehicle safety regulations apply to self-driving braking and steering systems, and certain treaties also restrict the legality of certain higher levels of autonomous driving vehicles. In jurisdictions that follow the regulations of the United Nations Economic Commission for Europe, some regulations restrict the design of advanced driver-assistance or self-driving features, which can compromise or prevent their use entirely. Other applicable laws, both current and proposed, may hinder the path and timeline to introducing self-driving vehicles for sale and use in the markets where they apply. Other markets, including China, continue to consider self-driving regulation. Any implemented regulations may differ materially from those in the United States and Europe, which may further increase the legal complexity of self-driving vehicles and limit or prevent certain features. Autonomous driving laws and regulations are expected to continue to evolve in numerous jurisdictions in the United States and foreign countries and may create restrictions on autonomous driving features that we develop.</w:t>
      </w:r>
    </w:p>
    <w:p>
      <w:pPr>
        <w:spacing w:after="0" w:line="19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order for us to operate in international markets outside the United States, we must comply with relevant legal regulations regarding autonomous vehicles as well as technology export control, data security, cybersecurity and other related regulations that apply to global technology companies. We have developed robust compliance processes and procedures related to these regulatory requirements and believe that we are in compliance with such requirements.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800"/>
          </w:cols>
          <w:pgMar w:left="540" w:top="1347" w:right="540" w:bottom="0" w:gutter="0" w:footer="0" w:header="0"/>
          <w:type w:val="continuous"/>
        </w:sectPr>
      </w:pPr>
    </w:p>
    <w:bookmarkStart w:id="28" w:name="page29"/>
    <w:bookmarkEnd w:id="28"/>
    <w:p>
      <w:pPr>
        <w:jc w:val="both"/>
        <w:ind w:firstLine="361"/>
        <w:spacing w:after="0" w:line="242" w:lineRule="auto"/>
        <w:rPr>
          <w:sz w:val="20"/>
          <w:szCs w:val="20"/>
          <w:color w:val="auto"/>
        </w:rPr>
      </w:pPr>
      <w:r>
        <w:rPr>
          <w:rFonts w:ascii="Times New Roman" w:cs="Times New Roman" w:eastAsia="Times New Roman" w:hAnsi="Times New Roman"/>
          <w:sz w:val="20"/>
          <w:szCs w:val="20"/>
          <w:color w:val="auto"/>
        </w:rPr>
        <w:t>On October 7, 2022, the U.S. Department of Commerce’s Bureau of Industry and Security (“BIS”) announced restrictions on the export of advanced computing integrated circuits and related items to China and certain other jurisdictions. Based on our existing customer base and the export classifications for our existing chip products, we do not believe that these U.S. export controls will have a material impact on our sales of these products to our existing customers in China. In 2023, BIS added to these restrictions and the U.S. also worked with Japan and the Netherlands to align on additional restrictions on semiconductor manufacturing equipment. In 2024, BIS further expanded export controls to limit the global distribution of high-performance integrated circuits by restricting sales through customer allocations and imposing per-country caps. Further, on January 14, 2025, BIS announced the adoption of a final rule prohibiting certain transactions involving the sale or import of (i) connected vehicles integrating “Vehicle Connectivity System” hardware, and (ii) connected vehicles integrating “Automated Driving System” or “Vehicle Connectivity System” software, or those components sold separately, in each case with a sufficient nexus to the People’s Republic of China or Russia. The software provisions of the final rule and the prohibition on sales of connected vehicles will take effect for model 2027 and the hardware-related prohibitions will take effect model year 2030, or January 1, 2029 for units without a model year. We are developing compliance processes for these new rules and expect to be compliant when these restrictions are effective. Import and Export control regulations adopted by the United States and other jurisdictions are subject to change and interpretation, and it is possible that future regulatory actions by BIS impacting U.S. imports and exports of integrated circuits as well as certain software and hardware components used in our systems and related items could have a material impact on our business operations.</w:t>
      </w:r>
    </w:p>
    <w:p>
      <w:pPr>
        <w:spacing w:after="0" w:line="2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Data Privacy</w:t>
      </w:r>
    </w:p>
    <w:p>
      <w:pPr>
        <w:spacing w:after="0" w:line="242"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Privacy is fundamental to Mobileye. We collect, process, transmit, and store personal information in connection with the operation of our business and are subject to a variety of local, state, national and international laws, directives and regulations that apply to the collection, use, retention, protection, security, disclosure, transfer and other processing of personal data in the different jurisdictions in which we operate. Data collected by the camera of our solutions during the development cycle of a project may include personal information such as license plate numbers of other vehicles, facial features of pedestrians, appearance of individuals, GPS data, and geolocation data in order to train the data analytics and AI technology equipped in our solutions for the purpose of identifying different objects and predicting potential issues that may arise during the operation of a motor vehicle. We anticipate that our collection of such personal information may increase as a result of the introduction of our MaaS solutions, and our integration of Moovit, which may provide us with access to personal information of users. Our data-collection processes implement strict methodologies to comply with data protection and privacy laws, including the EU General Data Protection Regulation (the “GDPR”), the UK General Data Protection Regulation, and U.S. federal and state laws, including the California Consumer Privacy Act of 2018 (the “CCPA”), as amended by the California Privacy Rights Act of 2020 (the “CPRA”).</w:t>
      </w:r>
    </w:p>
    <w:p>
      <w:pPr>
        <w:spacing w:after="0" w:line="206"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leverage systems and applications that are spread over the countries in which we do business, requiring us to regularly move data across national borders. As a result, we are subject to a variety of laws and regulations in the United States, China, the European Union, and other foreign jurisdictions as well as contractual obligations, regarding data privacy, protection, and security.</w:t>
      </w:r>
    </w:p>
    <w:p>
      <w:pPr>
        <w:spacing w:after="0" w:line="183"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The scope and interpretation of the laws and regulations that are or may be applicable to us are often uncertain and may be conflicting, particularly with respect to foreign laws. We are subject to the GDPR, which became effective in May 2018. EU member states have enacted certain implementing legislation that adds to and/or further interprets the GDPR requirements. The GDPR, together with national legislation, regulations and guidelines of the EU member states governing the processing of personal data, impose strict obligations and restrictions on the ability to collect, use, retain, protect, disclose, transfer, and otherwise process personal data with respect to EU data subjects. In particular, the GDPR includes obligations and restrictions concerning the consent and rights of individuals to whom the personal data relates, the transfer of personal data out of the EEA, security breach notifications and the security and confidentiality of personal data. We are also subject to the UK General Data Protection Regulation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a version of the GDPR as implemented into UK law), exposing us to two parallel regimes with potentially divergent interpretations and enforcement actions for certain violations. While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that decision will sunset in June 2025 unless extended and it may be revoked in the future by the European Commission if the UK data protection regime is reformed in ways that deviate substantially from the GDPR. Other countries have enacted or are considering enacting similar cross-border data transfer rules or data localization requirements.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800"/>
          </w:cols>
          <w:pgMar w:left="540" w:top="1347" w:right="540" w:bottom="0" w:gutter="0" w:footer="0" w:header="0"/>
          <w:type w:val="continuous"/>
        </w:sectPr>
      </w:pPr>
    </w:p>
    <w:bookmarkStart w:id="29" w:name="page30"/>
    <w:bookmarkEnd w:id="29"/>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Additionally, U.S. state governments have enacted new data protection and privacy laws and regulations since 2018, including California, Colorado, Connecticut, Delaware, Iowa, Texas, Utah and Virginia. These new state laws and regulations may impact our business practices, including limiting our ability to use clips for internal development and validation purposes. Federal and state laws and regulations are changing rapidly and there is discussion in Congress of a new federal data protection and privacy law to which we would become subject if it is enacted. Compliance with these federal and state data protection and privacy laws and regulations, and other similar federal or state laws and regulations that may be enacted in the future, may require us to put in place additional mechanisms to comply with such laws and regulations which could cause us to incur substantial costs or require us to change our business practices, including our data processing practices, in a manner adverse to our business. Moreover, any failure to comply with such federal and state laws and regulations could result in, among other things, regulatory or government investigations, monetary penalties or fines, litigation (including civil claims, such as representative actions and other class action-type litigation), and orders to cease, modify or change our business practices, including our data processing practices.</w:t>
      </w:r>
    </w:p>
    <w:p>
      <w:pPr>
        <w:spacing w:after="0" w:line="198"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In China, the PRC Cyber Security Law became effective on June 1, 2017. The Cyber Security Law reaffirms the basic principles and requirements specified in other existing laws and regulations on personal information protection, such as the requirements on the collection, use, processing, storage, and disclosure of personal information. Specifically, it requires that network operators take technical measures and other necessary measures in accordance with applicable laws and regulations and the compulsory requirements of the national and industrial standards to safeguard the safe and stable operation of its networks, maintain the integrity, confidentiality, and availability of network data, take technical and other necessary measures to ensure the security of the personal information they have collected against unauthorized access, alteration, disclosure, or loss, and formulate contingency plans for network security incidents and remediation measures. It also requires a subset of network operators that meet certain thresholds to be critical information infrastructure operators (“CIIO”) to store personal information and important data collected and generated during its operation within the territory of China locally on servers in China.</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Competition</w:t>
      </w:r>
    </w:p>
    <w:p>
      <w:pPr>
        <w:spacing w:after="0" w:line="244"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The ADAS and autonomous driving industries are highly competitive. In the ADAS and consumer AV market, we face competition primarily from other external providers including Tier 1 automotive suppliers and silicon providers, as well as in-house solutions developed by the OEMs to a certain extent. Our Tier 1 customers may be developing or may in the future develop competing solutions. For example, certain of our competitors have announced that they are operating autonomous robotaxis. Tier 1 automotive supplier competitors include Bosch, Continental, and Denso. Our silicon provider competitors include Ambarella, Advanced Micro Devices, Arriver / Qualcomm, Black Sesame Technologies, Horizon Robotics, Huawei, NVIDIA, NXP, Renesas Electronics, and Texas Instruments. OEMs who have or are pursuing their own in-house solutions are also indirect competitors, with Tesla and Mercedes-Benz being examples of automakers taking that approach today, with others such as General Motors, NIO, Volvo Cars, Xpeng Motors, Huawei and Li Auto also pursuing in-house solutions for portions of the advanced ADAS software stack. In the future, our indirect competitors could become direct competitors.</w:t>
      </w:r>
    </w:p>
    <w:p>
      <w:pPr>
        <w:spacing w:after="0" w:line="202"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19"/>
          <w:szCs w:val="19"/>
          <w:color w:val="auto"/>
        </w:rPr>
        <w:t>In the autonomous driving market, including AMaaS and consumer AV, we face competition from technology companies, internal development teams from the automakers themselves, sometimes in combination with investments in early -stage autonomous vehicle technology companies, Tier 1 automotive companies, as well as robotaxi providers. AMaaS competitors include Cruise, Motional, Waymo, Yandex, and Zoox in the United States and Europe and Auto X, Baidu, Deeproute.ai, Didi Chuxing, Momenta, and WeRide in China. Consumer AV competitors include Sony and Tesla, who are developing self-driving vehicles for consumers. We also face competition from companies that offer “software-only” autonomous vehicle solutions, including StradVision, Autobrains and Wayve.</w:t>
      </w:r>
    </w:p>
    <w:p>
      <w:pPr>
        <w:spacing w:after="0" w:line="184" w:lineRule="exact"/>
        <w:rPr>
          <w:sz w:val="20"/>
          <w:szCs w:val="20"/>
          <w:color w:val="auto"/>
        </w:rPr>
      </w:pPr>
    </w:p>
    <w:p>
      <w:pPr>
        <w:jc w:val="both"/>
        <w:ind w:firstLine="361"/>
        <w:spacing w:after="0" w:line="236" w:lineRule="auto"/>
        <w:rPr>
          <w:sz w:val="20"/>
          <w:szCs w:val="20"/>
          <w:color w:val="auto"/>
        </w:rPr>
      </w:pPr>
      <w:r>
        <w:rPr>
          <w:rFonts w:ascii="Times New Roman" w:cs="Times New Roman" w:eastAsia="Times New Roman" w:hAnsi="Times New Roman"/>
          <w:sz w:val="20"/>
          <w:szCs w:val="20"/>
          <w:color w:val="auto"/>
        </w:rPr>
        <w:t>Developing effective ADAS technology is technologically complex, requires the development of large validation datasets in order to train the required software algorithms effectively, requires a long-term commitment to validation and qualification with an OEM before series production can even begin, and requires significant financial resources. In addition, our tightly coupled software and hardware solutions, which are based on highly advanced, road-tested, sensing and perception technologies from decades of leadership in artificial intelligence (“AI”), including computer vision, and powered by our mission critical software and purpose-built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family of SoCs are extremely hard to replicate.</w:t>
      </w:r>
    </w:p>
    <w:p>
      <w:pPr>
        <w:spacing w:after="0" w:line="205"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Moovit competes against urban mobility applications and MaaS solutions which provide transportation services and navigation data to consumers. Moovit’s free and subscription-based application competition includes Alphabet, Apple, Citymapper, and Transit. Moovit’s application also competes with local urban and inter-city ticketing service providers that provide purchase and ticketing of public transit and mobility services on their own platform.</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800"/>
          </w:cols>
          <w:pgMar w:left="540" w:top="1347" w:right="540" w:bottom="0" w:gutter="0" w:footer="0" w:header="0"/>
          <w:type w:val="continuous"/>
        </w:sectPr>
      </w:pPr>
    </w:p>
    <w:bookmarkStart w:id="30" w:name="page31"/>
    <w:bookmarkEnd w:id="30"/>
    <w:p>
      <w:pPr>
        <w:ind w:left="360"/>
        <w:spacing w:after="0"/>
        <w:rPr>
          <w:sz w:val="20"/>
          <w:szCs w:val="20"/>
          <w:color w:val="auto"/>
        </w:rPr>
      </w:pPr>
      <w:r>
        <w:rPr>
          <w:rFonts w:ascii="Times New Roman" w:cs="Times New Roman" w:eastAsia="Times New Roman" w:hAnsi="Times New Roman"/>
          <w:sz w:val="20"/>
          <w:szCs w:val="20"/>
          <w:color w:val="auto"/>
        </w:rPr>
        <w:t>The principal competitive factors impacting the market for our solutions include:</w:t>
      </w:r>
    </w:p>
    <w:p>
      <w:pPr>
        <w:spacing w:after="0" w:line="254" w:lineRule="exact"/>
        <w:rPr>
          <w:sz w:val="20"/>
          <w:szCs w:val="20"/>
          <w:color w:val="auto"/>
        </w:rPr>
      </w:pPr>
    </w:p>
    <w:p>
      <w:pPr>
        <w:ind w:left="720" w:hanging="360"/>
        <w:spacing w:after="0" w:line="279"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completeness of our technology platform including SoCs, sensing and perception technologies, sensor fusion architecture, high-precision mapping system, and supporting software and algorithms;</w:t>
      </w:r>
    </w:p>
    <w:p>
      <w:pPr>
        <w:spacing w:after="0" w:line="179" w:lineRule="exact"/>
        <w:rPr>
          <w:rFonts w:ascii="Arial" w:cs="Arial" w:eastAsia="Arial" w:hAnsi="Arial"/>
          <w:sz w:val="20"/>
          <w:szCs w:val="20"/>
          <w:color w:val="auto"/>
        </w:rPr>
      </w:pPr>
    </w:p>
    <w:p>
      <w:pPr>
        <w:ind w:left="720" w:hanging="360"/>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ability to design and develop ADAS and autonomous driving solutions that meet our customers’ needs;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automotive quality standards, compliance, and performance in all areas of ADAS and autonomous driving;</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agile software validation and robust product release discipline;</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scalability, and cost efficiency of our solutions;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engineering capabilities, the ability to innovate and continuously improve our technology;</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pricing;</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design and development support for our customers;</w:t>
      </w:r>
    </w:p>
    <w:p>
      <w:pPr>
        <w:spacing w:after="0" w:line="252"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manufacturing reliability and the ability to make on-time delivery of appropriate quantities of product at a consistent level of quality;</w:t>
      </w:r>
    </w:p>
    <w:p>
      <w:pPr>
        <w:spacing w:after="0" w:line="179" w:lineRule="exact"/>
        <w:rPr>
          <w:rFonts w:ascii="Arial" w:cs="Arial" w:eastAsia="Arial" w:hAnsi="Arial"/>
          <w:sz w:val="20"/>
          <w:szCs w:val="20"/>
          <w:color w:val="auto"/>
        </w:rPr>
      </w:pPr>
    </w:p>
    <w:p>
      <w:pPr>
        <w:ind w:left="720" w:hanging="360"/>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ability to meet regulatory requirements;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intellectual property protection; and</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brand and reputation, including the ability to market new offerings.</w:t>
      </w:r>
    </w:p>
    <w:p>
      <w:pPr>
        <w:spacing w:after="0" w:line="23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We believe we compete favorably with respect to these factors. In addition, as the ADAS and autonomous driving markets progress and, in some use cases, converge, we believe we will be in a favorable position to achieve meaningful business wins given our differentiated capabilities.</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Distribution and Marketing</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Our products are sold directly to customers throughout the world, or through distribution channels for our remaining inventory of aftermarket products meant for vehicles that do not come pre-equipped with ADAS technology.</w:t>
      </w:r>
    </w:p>
    <w:p>
      <w:pPr>
        <w:spacing w:after="0" w:line="16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actively promote our brand and technologies to increase awareness and generate demand through direct marketing as well as co-marketing programs. Our direct marketing to consumers and businesses primarily includes trade events, industry and consumer communications and press relations. We work closely with our existing customers in order to ensure that we are aware of their requirements and plans for future car models and can respond promptly and effectively.</w:t>
      </w:r>
    </w:p>
    <w:p>
      <w:pPr>
        <w:spacing w:after="0" w:line="190"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We regularly present our technology to regulators and safety organizations to demonstrate its capabilities and reliability and to help ensure that they develop regulations and ratings that address the full range of benefits that we believe we can offer.</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42"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We believe our strong research and development is our principal competitive strength and has led to our position in the market. Our research and development activities are predominantly conducted in Israel. We have approximately 85% of our full time-equivalent employees engaged in research and development, many of whom have been with the company for significant tenures. Our research and development efforts focus on algorithms, including visual processing, camera control, vehicle control, camera/radar fusion, autonomous driving sensing technologies,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technology, driving policy and related engineering tasks as well as application software, silicon design and hardware electronics design. We believe we have a unique approach by developing ADAS and autonomous solutions simultaneously, giving us a technical and scale advantage over our competition.</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800"/>
          </w:cols>
          <w:pgMar w:left="540" w:top="1349" w:right="540" w:bottom="0" w:gutter="0" w:footer="0" w:header="0"/>
          <w:type w:val="continuous"/>
        </w:sectPr>
      </w:pPr>
    </w:p>
    <w:bookmarkStart w:id="31" w:name="page32"/>
    <w:bookmarkEnd w:id="31"/>
    <w:p>
      <w:pPr>
        <w:ind w:left="360"/>
        <w:spacing w:after="0"/>
        <w:rPr>
          <w:sz w:val="20"/>
          <w:szCs w:val="20"/>
          <w:color w:val="auto"/>
        </w:rPr>
      </w:pPr>
      <w:r>
        <w:rPr>
          <w:rFonts w:ascii="Times New Roman" w:cs="Times New Roman" w:eastAsia="Times New Roman" w:hAnsi="Times New Roman"/>
          <w:sz w:val="20"/>
          <w:szCs w:val="20"/>
          <w:b w:val="1"/>
          <w:bCs w:val="1"/>
          <w:color w:val="auto"/>
        </w:rPr>
        <w:t>Our Employees</w:t>
      </w:r>
    </w:p>
    <w:p>
      <w:pPr>
        <w:spacing w:after="0" w:line="242"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As of December 28, 2024, we had approximately 3,900 employees operating across eight countries, with approximately 85% of such employees involved in research and development and approximately 3,600 of such employees operating in Israel. None of our employees is represented by a labor union with respect to his, her or their employment. In certain countries in which we operate,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538480</wp:posOffset>
            </wp:positionV>
            <wp:extent cx="6400800" cy="3201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extLst>
                        <a:ext uri="{28A0092B-C50C-407E-A947-70E740481C1C}"/>
                      </a:extLst>
                    </a:blip>
                    <a:srcRect/>
                    <a:stretch>
                      <a:fillRect/>
                    </a:stretch>
                  </pic:blipFill>
                  <pic:spPr bwMode="auto">
                    <a:xfrm>
                      <a:off x="0" y="0"/>
                      <a:ext cx="6400800" cy="3201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42"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Our ability to compete effectively depends in part on our ability to develop and maintain the proprietary aspects of our technology. Our policy is to obtain appropriate proprietary rights protection for any potentially significant new technology acquired or developed by us. As of December 28, 2024, we held 382 U.S. patents, 74 European patents, 175 U.S. patent applications, 608 European and other non-U.S. patent applications, and provisional patent filings. We do not view any single patent or patent application to be material.</w:t>
      </w:r>
    </w:p>
    <w:p>
      <w:pPr>
        <w:spacing w:after="0" w:line="174"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In addition to patent laws, we rely on copyright and trade secret laws to protect our proprietary rights. We attempt to protect our trade secrets and other proprietary information through agreements with OEMs, distributors, other customers and suppliers, proprietary information agreements with our employees and consultants, and other similar measures. Our primary trademarks are for our name and product names. We cannot be certain that we will be successful in protecting our proprietary rights. While we believe our patents, patent applications, software and other proprietary know-how have value, changing technology makes our future success dependent principally upon our ability to successfully achieve continuing innovation.</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800"/>
          </w:cols>
          <w:pgMar w:left="540" w:top="1345" w:right="540" w:bottom="0" w:gutter="0" w:footer="0" w:header="0"/>
          <w:type w:val="continuous"/>
        </w:sectPr>
      </w:pPr>
    </w:p>
    <w:bookmarkStart w:id="32" w:name="page33"/>
    <w:bookmarkEnd w:id="32"/>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Litigation may be necessary in the future to enforce our proprietary rights, to determine the validity and scope of the proprietary rights of others, or to defend us against claims of infringement, misappropriation or other violation or invalidity by others. An adverse outcome in such litigation or similar proceedings could subject us to significant liabilities to third parties, require disputed rights to be licensed from others or require us to cease marketing or using certain products, any of which could have a material adverse effect on our business, financial condition, and results of operations. In addition, the cost of addressing any intellectual property litigation claim, both in legal fees and expenses, as well as from the diversion of management’s resources, regardless of whether the claim is valid, could be significant and could have a material adverse effect on our business, financial condition, and results of operations.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Relationship with Intel</w:t>
      </w:r>
    </w:p>
    <w:p>
      <w:pPr>
        <w:spacing w:after="0" w:line="244" w:lineRule="exact"/>
        <w:rPr>
          <w:sz w:val="20"/>
          <w:szCs w:val="20"/>
          <w:color w:val="auto"/>
        </w:rPr>
      </w:pPr>
    </w:p>
    <w:p>
      <w:pPr>
        <w:jc w:val="both"/>
        <w:ind w:firstLine="361"/>
        <w:spacing w:after="0" w:line="242" w:lineRule="auto"/>
        <w:rPr>
          <w:sz w:val="20"/>
          <w:szCs w:val="20"/>
          <w:color w:val="auto"/>
        </w:rPr>
      </w:pPr>
      <w:r>
        <w:rPr>
          <w:rFonts w:ascii="Times New Roman" w:cs="Times New Roman" w:eastAsia="Times New Roman" w:hAnsi="Times New Roman"/>
          <w:sz w:val="20"/>
          <w:szCs w:val="20"/>
          <w:color w:val="auto"/>
        </w:rPr>
        <w:t>Prior to the Mobileye IPO, Intel beneficially owned 100% of our outstanding shares of common stock and we operated as Intel’s wholly owned subsidiary. As of December 28, 2024, Intel beneficially owns all of the outstanding shares of our Class B common stock, representing approximately 87.7% of our outstanding common stock and 98.6% of the voting power of our common stock. As a result, Intel is able to control all matters submitted to our stockholders for approval, including the election of our directors and the approval of significant corporate transactions. Furthermore, in addition to any other vote required by law or by our amended and restated certificate of incorporation, until the first date on which Intel ceases to beneficially own 20% or more of our outstanding shares of common stock, the prior affirmative vote or written consent of Intel as the holder of our Class B common stock will be required in order for us to: adopt or implement any stockholder rights plan or similar takeover defense measure; consolidate or merge with or into any other entity; permit any of our subsidiaries to consolidate or merge with or into any other entity, with certain exceptions; acquire the stock or assets of another entity for consideration in excess of $250,000,000 other than transactions in which we and one or more of our wholly owned subsidiaries are the only parties; issue any stock or other equity securities except to our subsidiaries, pursuant to the Mobileye IPO, or pursuant to our employee benefit plans limited to a share reserve of 5% of the outstanding number of shares of our common stock on the immediately preceding December 31; make or commit to make any individual or series of related capital or other expenditures in excess of $250,000,000; create, incur, assume or permit to exist any indebtedness or guarantee any indebtedness in excess of $250,000,000; make any loan to or purchase any debt securities of any person in excess of $250,000,000; redeem, purchase or otherwise acquire or retire for value any equity securities of our company except repurchases from employees, officers, directors or other service providers upon termination of employment or through the exercise of any right of first refusal; take any actions to dissolve, liquidate, or wind-up our company; declare dividends on our stock; or amend, terminate or adopt any provision inconsistent with our amended and restated certificate of incorporation or amended and restated bylaws. See “Item 1A. Risk Factors — Risks Related to our Relationship with Intel and our Dual Class Structure”.</w:t>
      </w:r>
    </w:p>
    <w:p>
      <w:pPr>
        <w:spacing w:after="0" w:line="203"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We and Intel continue to interact as strategic partners, collaborating on projects to pursue the growth of computing and advanced technology in the automotive sector. In connection with the Mobileye IPO, we entered into certain agreements (collectively, the “Intercompany Agreements”) with Intel and certain of its subsidiaries that provide the framework for our ongoing relationship with Intel, including the Master Transaction Agreement, which contains key provisions relating to our ongoing relationship with Intel. The Master Transaction Agreement also contains agreements relating to the conduct of the Mobileye IPO and future transactions, and governs the relationship between Intel and Mobileye. Unless otherwise required by the specific provisions of the Master Transaction Agreement, the Master Transaction Agreement will terminate on a date that is five years after the first date upon which Intel ceases to beneficially own at least 20% of our outstanding shares of common stock. The provisions related to our cooperation with Intel in connection with future litigation will survive seven years after the termination of the agreement, and certain other provisions including those related to indemnification by us and Intel will survive indefinitely.</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800"/>
          </w:cols>
          <w:pgMar w:left="540" w:top="1347" w:right="540" w:bottom="0" w:gutter="0" w:footer="0" w:header="0"/>
          <w:type w:val="continuous"/>
        </w:sectPr>
      </w:pPr>
    </w:p>
    <w:bookmarkStart w:id="33" w:name="page34"/>
    <w:bookmarkEnd w:id="33"/>
    <w:p>
      <w:pPr>
        <w:jc w:val="both"/>
        <w:ind w:firstLine="363"/>
        <w:spacing w:after="0" w:line="239" w:lineRule="auto"/>
        <w:rPr>
          <w:sz w:val="20"/>
          <w:szCs w:val="20"/>
          <w:color w:val="auto"/>
        </w:rPr>
      </w:pPr>
      <w:r>
        <w:rPr>
          <w:rFonts w:ascii="Times New Roman" w:cs="Times New Roman" w:eastAsia="Times New Roman" w:hAnsi="Times New Roman"/>
          <w:sz w:val="20"/>
          <w:szCs w:val="20"/>
          <w:color w:val="auto"/>
        </w:rPr>
        <w:t>Key provisions of the Master Transaction Agreement include: we will provide Intel with certain registration rights to register our common stock, because the shares of our common stock held by Intel after the Mobileye IPO are “restricted securities” as defined in Rule 144 under the Securities Act; we will cooperate with Intel, at its request, to accomplish a distribution by Intel of our common stock to Intel stockholders which is intended to qualify as a distribution under Section 355 of the Code, or any corresponding provision of any successor statute, and we have agreed to promptly take any and all actions reasonably necessary or desirable to effect any such distribution, in which Intel will determine, in its sole and absolute discretion, whether to proceed with all or part of the distribution, the date of the distribution and the form, structure and all other terms of any transaction to effect the distribution; so long as Intel beneficially owns at least 20% of our common stock, we will sell Intel our commercially available products, including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for internal use, but not for resale on a standalone or bundled basis; we and Intel agree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 we have granted Intel a continuing right to purchase from us shares of Class A common stock or Class B common stock as is necessary for Intel to maintain an aggregate ownership interest of our common stock representing at least 80.1% of our common stock outstanding; we and Intel have cross-indemnities that generally place the financial responsibility on us and our subsidiaries for all liabilities associated with the current and historical Mobileye business and operations, and generally will place on Intel the financial responsibility for liabilities associated with all of Intel’s other current and historical businesses and operations, in each case regardless of the time those liabilities arise, and certain other indemnities; the Master Transaction Agreement contains a general release for liabilities arising from events occurring on or before the time of the Mobileye IPO; for so long as Intel provides us with accounting and financial services under the Administrative Services Agreement that we entered into with Intel, and to the extent necessary for the purpose of preparing financial statements or completing a financial statement audit, we will provide Intel as much prior notice as reasonably practical of any change in the independent certified public accountants to be used by us or our subsidiaries for providing an opinion on our consolidated financial statements; until the later of Intel ceasing to be a “controlling person” of us as defined in the Securities Act and such date that Intel ceases to provide us with legal, financial, or accounting services under the Administrative Services Agreement, we will comply with all Intel rules, policies, and directives identified by Intel as critical to legal and regulatory compliance, to the extent such rules, policies, and directives have been previously communicated to us, and will not adopt legal or regulatory policies or directives inconsistent with the policies identified by Intel as critical to legal and regulatory compliance; for a period of two years following the closing of the Mobileye IPO, we and Intel will not, directly or indirectly, solicit active employees of the other without prior consent by the other, provided we both have agreed to give such consent if either party believes, in good faith, that consent is necessary to avoid the resignation of an employee from one party that the other party would wish to employ; all outstanding options to purchase shares of Intel and all other Intel equity awards held by Mobileye Group employees at the time of the Mobileye IPO will continue to be outstanding until the earliest of (i) the date the award is exchanged pursuant to any issuer exchange offer undertaken by us and Intel, (ii) the date the award is exercised or expires under the terms of the applicable award agreement, and (iii) the date such award is canceled as a result of a Mobileye Group employee being terminated or, if later, the end of any post-termination exercise period specified in the award agreement or by the applicable equity plans’ administrative committees; immediately after completion of the Mobileye IPO (and after giving effect to the repayment of indebtedness by us to Intel and other transactions that occurred substantially concurrently with the Mobileye IPO), Intel agreed to ensure that we had $1.0 billion in cash, cash equivalents, or marketable securities; and Intel will use commercially reasonable efforts to provide three months’ advance notice to our board of directors in the event that Intel intends to pursue a transaction (even if no such transaction is imminent or probable at such time) which is reasonably expected to cause Intel’s ownership in us to fall below 50% of our total issued and outstanding shares of common stock.</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800"/>
          </w:cols>
          <w:pgMar w:left="540" w:top="1347" w:right="540" w:bottom="0" w:gutter="0" w:footer="0" w:header="0"/>
          <w:type w:val="continuous"/>
        </w:sectPr>
      </w:pPr>
    </w:p>
    <w:bookmarkStart w:id="34" w:name="page35"/>
    <w:bookmarkEnd w:id="34"/>
    <w:p>
      <w:pPr>
        <w:jc w:val="both"/>
        <w:ind w:firstLine="361"/>
        <w:spacing w:after="0" w:line="256" w:lineRule="auto"/>
        <w:rPr>
          <w:sz w:val="20"/>
          <w:szCs w:val="20"/>
          <w:color w:val="auto"/>
        </w:rPr>
      </w:pPr>
      <w:r>
        <w:rPr>
          <w:rFonts w:ascii="Times New Roman" w:cs="Times New Roman" w:eastAsia="Times New Roman" w:hAnsi="Times New Roman"/>
          <w:sz w:val="19"/>
          <w:szCs w:val="19"/>
          <w:color w:val="auto"/>
        </w:rPr>
        <w:t>In connection with the Mobileye IPO, we entered into a LiDAR Product Collaboration Agreement with Intel and a Technology and Services Agreement with Intel pursuant to which Intel granted us a limited license to sensitive core technology relating to lidar and radar, respectively. Pursuant to the LiDAR Product Collaboration Agreement, the license was limited to a particular lidar sensor system for ADAS and AV systems in automobiles and to certain types of customers (Tier 1s, OEMs and MaaS), and we were not licensed to manufacture products based on Intel technology with anyone other than Intel. On September 9, 2024, we announced the cessation of further internal development of FMCW lidar and the wind down of our Lidar R&amp;D Unit. In connection with our decision, Mobileye and Intel terminated the LiDAR Product Collaboration Agreement as of October 2, 2024. Pursuant to the Technology and Services Agreement, the license is limited to the development of a specific type of radar for specific applications, and any radar products that do not fall under the scope of the agreement will require a separate license from Intel, at Intel’s discretion. As a result, we will not own most new radar intellectual property, even if developed solely by us. If we are not able to continue to use or license sensitive core technology related to radar from Intel, we may not be able to secure alternatives in a timely manner or at all, and our ability to remain competitive would be harmed and that could adversely affect our business, results of operations and financial condition. See “Item 1A. Risk Factors — Risks Related to our Relationship with Intel and our Dual Class Structure — We may have conflicts of interest with Intel and, because of (i) certain provisions in our amended and restated certificate of incorporation relating to related person transactions and corporate opportunities, (ii) agreements we have with Intel in connection with the Mobileye IPO, and (iii) Intel’s controlling beneficial ownership interest in our company, we may not be able to resolve such conflicts on terms favorable to us.”</w:t>
      </w:r>
    </w:p>
    <w:p>
      <w:pPr>
        <w:spacing w:after="0" w:line="19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Several of our directors also serve as officers, directors and/or other positions at Intel. Mr. Yeboah-Amankwah, the Chair of our Board of Directors, is a Senior Vice President and the Chief Strategy Officer of Intel. Mr. Schell, our director, is an Executive Vice President and the Chief Commercial Officer of Intel. Ms. Pambianchi, our director, is an Executive Vice President and the Chief People Officer of Intel. Mr. Bombach, our director, is a Corporate Vice President, Assistant Secretary and Head of Corporate Legal at Intel. Mr. Yeary, our director, is the Interim Executive Chair and a director of Intel.</w:t>
      </w:r>
    </w:p>
    <w:p>
      <w:pPr>
        <w:spacing w:after="0" w:line="19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19"/>
          <w:szCs w:val="19"/>
          <w:color w:val="auto"/>
        </w:rPr>
        <w:t>See the information under the heading “Item 13. Certain Relationships and Related Transactions, and Director Independence” which is incorporated herein by reference from our definitive proxy statement for the 2025 Annual Meeting of the Stockholders (the “2025 Proxy Statement”), which we expect to file with the SEC within 120 days after the end of our fiscal year ended December 28, 2024.</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Available Information</w:t>
      </w:r>
    </w:p>
    <w:p>
      <w:pPr>
        <w:spacing w:after="0" w:line="23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reports filed with or furnished to the Securities and Exchange Commission (“SEC”) pursuant to Sections 13(a) and 15(d) of the Securities Exchange Act of 1934, as amended (“the Exchange Act”), are available, free of charge, on our Investor Relations website at https://ir.mobileye.com/ as soon as reasonably practicable after we electronically file such material with, or furnish it to, the SEC. The SEC maintains an Internet site (www.sec.gov) that contains all of the documents we file with the SEC.</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Information about our Executive Officers</w:t>
      </w:r>
    </w:p>
    <w:p>
      <w:pPr>
        <w:spacing w:after="0" w:line="2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Set forth below are the names, ages and positions as of the date hereof of our executive officers.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Borders>
              <w:bottom w:val="single" w:sz="8" w:color="030303"/>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0" w:type="dxa"/>
            <w:vAlign w:val="bottom"/>
          </w:tcPr>
          <w:p>
            <w:pPr>
              <w:spacing w:after="0"/>
              <w:rPr>
                <w:sz w:val="18"/>
                <w:szCs w:val="18"/>
                <w:color w:val="auto"/>
              </w:rPr>
            </w:pPr>
          </w:p>
        </w:tc>
        <w:tc>
          <w:tcPr>
            <w:tcW w:w="360" w:type="dxa"/>
            <w:vAlign w:val="bottom"/>
            <w:tcBorders>
              <w:bottom w:val="single" w:sz="8" w:color="030303"/>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160" w:type="dxa"/>
            <w:vAlign w:val="bottom"/>
          </w:tcPr>
          <w:p>
            <w:pPr>
              <w:spacing w:after="0"/>
              <w:rPr>
                <w:sz w:val="18"/>
                <w:szCs w:val="18"/>
                <w:color w:val="auto"/>
              </w:rPr>
            </w:pPr>
          </w:p>
        </w:tc>
        <w:tc>
          <w:tcPr>
            <w:tcW w:w="6540" w:type="dxa"/>
            <w:vAlign w:val="bottom"/>
            <w:tcBorders>
              <w:bottom w:val="single" w:sz="8" w:color="030303"/>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13"/>
        </w:trPr>
        <w:tc>
          <w:tcPr>
            <w:tcW w:w="354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Amnon Shashua . . . . . . . . . . . . . . . . . . . . .</w:t>
            </w:r>
          </w:p>
        </w:tc>
        <w:tc>
          <w:tcPr>
            <w:tcW w:w="160" w:type="dxa"/>
            <w:vAlign w:val="bottom"/>
          </w:tcPr>
          <w:p>
            <w:pPr>
              <w:spacing w:after="0"/>
              <w:rPr>
                <w:sz w:val="18"/>
                <w:szCs w:val="18"/>
                <w:color w:val="auto"/>
              </w:rPr>
            </w:pPr>
          </w:p>
        </w:tc>
        <w:tc>
          <w:tcPr>
            <w:tcW w:w="360" w:type="dxa"/>
            <w:vAlign w:val="bottom"/>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64</w:t>
            </w:r>
          </w:p>
        </w:tc>
        <w:tc>
          <w:tcPr>
            <w:tcW w:w="160" w:type="dxa"/>
            <w:vAlign w:val="bottom"/>
          </w:tcPr>
          <w:p>
            <w:pPr>
              <w:spacing w:after="0"/>
              <w:rPr>
                <w:sz w:val="18"/>
                <w:szCs w:val="18"/>
                <w:color w:val="auto"/>
              </w:rPr>
            </w:pPr>
          </w:p>
        </w:tc>
        <w:tc>
          <w:tcPr>
            <w:tcW w:w="6540" w:type="dxa"/>
            <w:vAlign w:val="bottom"/>
          </w:tcPr>
          <w:p>
            <w:pPr>
              <w:ind w:left="60"/>
              <w:spacing w:after="0" w:line="213" w:lineRule="exact"/>
              <w:rPr>
                <w:sz w:val="20"/>
                <w:szCs w:val="20"/>
                <w:color w:val="auto"/>
              </w:rPr>
            </w:pPr>
            <w:r>
              <w:rPr>
                <w:rFonts w:ascii="Times New Roman" w:cs="Times New Roman" w:eastAsia="Times New Roman" w:hAnsi="Times New Roman"/>
                <w:sz w:val="20"/>
                <w:szCs w:val="20"/>
                <w:color w:val="auto"/>
              </w:rPr>
              <w:t>Chief Executive Officer, President, and Director</w:t>
            </w:r>
          </w:p>
        </w:tc>
      </w:tr>
      <w:tr>
        <w:trPr>
          <w:trHeight w:val="246"/>
        </w:trPr>
        <w:tc>
          <w:tcPr>
            <w:tcW w:w="3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Moran Shemesh Rojansky . . . . . . . . . . . .</w:t>
            </w:r>
          </w:p>
        </w:tc>
        <w:tc>
          <w:tcPr>
            <w:tcW w:w="5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44</w:t>
            </w:r>
          </w:p>
        </w:tc>
        <w:tc>
          <w:tcPr>
            <w:tcW w:w="160" w:type="dxa"/>
            <w:vAlign w:val="bottom"/>
          </w:tcPr>
          <w:p>
            <w:pPr>
              <w:spacing w:after="0"/>
              <w:rPr>
                <w:sz w:val="21"/>
                <w:szCs w:val="21"/>
                <w:color w:val="auto"/>
              </w:rPr>
            </w:pPr>
          </w:p>
        </w:tc>
        <w:tc>
          <w:tcPr>
            <w:tcW w:w="6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45"/>
        </w:trPr>
        <w:tc>
          <w:tcPr>
            <w:tcW w:w="3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Boaz Ouriel . . . . . . . . . . . . . . . . . . . . . . . .</w:t>
            </w:r>
          </w:p>
        </w:tc>
        <w:tc>
          <w:tcPr>
            <w:tcW w:w="5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51</w:t>
            </w:r>
          </w:p>
        </w:tc>
        <w:tc>
          <w:tcPr>
            <w:tcW w:w="160" w:type="dxa"/>
            <w:vAlign w:val="bottom"/>
          </w:tcPr>
          <w:p>
            <w:pPr>
              <w:spacing w:after="0"/>
              <w:rPr>
                <w:sz w:val="21"/>
                <w:szCs w:val="21"/>
                <w:color w:val="auto"/>
              </w:rPr>
            </w:pPr>
          </w:p>
        </w:tc>
        <w:tc>
          <w:tcPr>
            <w:tcW w:w="6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Vice President, EPG Software</w:t>
            </w:r>
          </w:p>
        </w:tc>
      </w:tr>
      <w:tr>
        <w:trPr>
          <w:trHeight w:val="246"/>
        </w:trPr>
        <w:tc>
          <w:tcPr>
            <w:tcW w:w="3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Shai Shalev-Shwartz . . . . . . . . . . . . . . . . .</w:t>
            </w:r>
          </w:p>
        </w:tc>
        <w:tc>
          <w:tcPr>
            <w:tcW w:w="5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49</w:t>
            </w:r>
          </w:p>
        </w:tc>
        <w:tc>
          <w:tcPr>
            <w:tcW w:w="160" w:type="dxa"/>
            <w:vAlign w:val="bottom"/>
          </w:tcPr>
          <w:p>
            <w:pPr>
              <w:spacing w:after="0"/>
              <w:rPr>
                <w:sz w:val="21"/>
                <w:szCs w:val="21"/>
                <w:color w:val="auto"/>
              </w:rPr>
            </w:pPr>
          </w:p>
        </w:tc>
        <w:tc>
          <w:tcPr>
            <w:tcW w:w="6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Technology Officer</w:t>
            </w:r>
          </w:p>
        </w:tc>
      </w:tr>
      <w:tr>
        <w:trPr>
          <w:trHeight w:val="268"/>
        </w:trPr>
        <w:tc>
          <w:tcPr>
            <w:tcW w:w="3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Nimrod Nehushtan . . . . . . . . . . . . . . . . . . .</w:t>
            </w:r>
          </w:p>
        </w:tc>
        <w:tc>
          <w:tcPr>
            <w:tcW w:w="52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color w:val="auto"/>
                <w:w w:val="99"/>
              </w:rPr>
              <w:t>35</w:t>
            </w:r>
          </w:p>
        </w:tc>
        <w:tc>
          <w:tcPr>
            <w:tcW w:w="160" w:type="dxa"/>
            <w:vAlign w:val="bottom"/>
          </w:tcPr>
          <w:p>
            <w:pPr>
              <w:spacing w:after="0"/>
              <w:rPr>
                <w:sz w:val="23"/>
                <w:szCs w:val="23"/>
                <w:color w:val="auto"/>
              </w:rPr>
            </w:pPr>
          </w:p>
        </w:tc>
        <w:tc>
          <w:tcPr>
            <w:tcW w:w="6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Vice President Business Development &amp; Strategy, Co-Manager REM</w:t>
            </w:r>
          </w:p>
        </w:tc>
      </w:tr>
    </w:tbl>
    <w:p>
      <w:pPr>
        <w:spacing w:after="0" w:line="200" w:lineRule="exact"/>
        <w:rPr>
          <w:sz w:val="20"/>
          <w:szCs w:val="20"/>
          <w:color w:val="auto"/>
        </w:rPr>
      </w:pP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800"/>
          </w:cols>
          <w:pgMar w:left="540" w:top="1347" w:right="540" w:bottom="0" w:gutter="0" w:footer="0" w:header="0"/>
          <w:type w:val="continuous"/>
        </w:sectPr>
      </w:pPr>
    </w:p>
    <w:bookmarkStart w:id="35" w:name="page36"/>
    <w:bookmarkEnd w:id="35"/>
    <w:p>
      <w:pPr>
        <w:jc w:val="both"/>
        <w:ind w:firstLine="360"/>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Amnon Shashua </w:t>
      </w:r>
      <w:r>
        <w:rPr>
          <w:rFonts w:ascii="Times New Roman" w:cs="Times New Roman" w:eastAsia="Times New Roman" w:hAnsi="Times New Roman"/>
          <w:sz w:val="20"/>
          <w:szCs w:val="20"/>
          <w:color w:val="auto"/>
        </w:rPr>
        <w:t>is our co-founder and has been serving as our Chief Executive Officer and President since 2017 and as our director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since our founding in 1999. He served as a Senior Vice President at Intel from 2017 to 2022, following our acquisition by Intel. Professor Shashua founded Mobileye in 1999. In addition to Mobileye, Professor Shashua has founded a number of startups in the fields of computer vision and machine learning, including CogniTens, which develops comprehensive dimensional measurement systems, which he founded in 1995 and has since been acquired, OrCam, which harnesses computer vision and AI to assist the visually and hearing impaired, which he co-founded in 2010 and serves as its Co-Chairman, and AI21 Labs, which works to use AI to understand and create natural language, which he co-founded in 2017 and serves as its Chairman. In 2019, Professor Shashua founded One Zero Digital Bank, a digital bank in Israel. In December 2021, Professor Shashua co-founded Mentee Robotics, which aims to build humanoid robots and has since been serving as its Chairman. Professor Shashua holds the Sachs Chair in Computer Science at the Hebrew University of Jerusalem, where he teaches and supervises graduate students. He has published 162 papers in the field of machine learning and computational vision and holds over 94 patents. Professor Shashua has been awarded prestigious prizes for his contributions to science and technology and is also the 2020 Dan David laureate in the field of AI awarded for his ground-breaking work in the field. In 2019, he was recognized as the Electronic Imaging Scientist of the Year by the Society for Imaging Science and Technology. Professor Shashua and his team were also finalists in the European Inventor Awards of 2019, awarded by the European Patent Office. In July 2022, Professor Shashua received the Mobility Innovator Award from the Automotive Hall of Fame. In March 2023, Professor Shashua received the Israel Prize for Lifetime Achievement from the Israel Ministry of Education.</w:t>
      </w:r>
    </w:p>
    <w:p>
      <w:pPr>
        <w:spacing w:after="0" w:line="21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Moran Shemesh Rojansky </w:t>
      </w:r>
      <w:r>
        <w:rPr>
          <w:rFonts w:ascii="Times New Roman" w:cs="Times New Roman" w:eastAsia="Times New Roman" w:hAnsi="Times New Roman"/>
          <w:sz w:val="20"/>
          <w:szCs w:val="20"/>
          <w:color w:val="auto"/>
        </w:rPr>
        <w:t>has been serving as our Chief Financial Officer since 2023. Prior to her current position, Ms. Shemesh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Rojansky joined Mobileye in 2016 as our Corporate Controller and subsequently became our Director of Finance, Vice President of Finance and Acting Chief Financial Officer. Prior to joining Mobileye, Ms. Shemesh Rojansky served in financial reporting roles at Tnuva Ltd, including head of consolidation and reporting, for three years from 2013 to 2016. Prior to that, Ms. Shemesh Rojansky served in several roles in the accounting consulting services and advisory group at PricewaterhouseCoopers Israel, including senior manager. Ms. Shemesh Rojansky earned both her M.B.A. in financial management and her B.A. in accounting and law from Tel Aviv University in Israel and is a licensed certified public accountant.</w:t>
      </w:r>
    </w:p>
    <w:p>
      <w:pPr>
        <w:spacing w:after="0" w:line="193"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Boaz Ouriel </w:t>
      </w:r>
      <w:r>
        <w:rPr>
          <w:rFonts w:ascii="Times New Roman" w:cs="Times New Roman" w:eastAsia="Times New Roman" w:hAnsi="Times New Roman"/>
          <w:sz w:val="20"/>
          <w:szCs w:val="20"/>
          <w:color w:val="auto"/>
        </w:rPr>
        <w:t>has been serving as our Executive Vice President, EPG Software since 2023. From December 2017 to April 2022,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our acquisition by Intel, Mr. Ouriel was an Intel employee assigned to work for Mobileye. Mr. Ouriel joined Mobileye as an employee in April 2022 as Senior Director Software Development Manager. Mr. Ouriel has over 20 years’ experience at Intel and Mobileye leading the development of middleware and low-level software, with a focus on performance optimization and a specialty in building robust compilers and unique compute-oriented programmable accelerators. Mr. Ouriel received a BSc in applied mathematics and computer science from the Technion, where he graduated with honors, and an executive MBA from the Recanati Graduate School of Business Administration. He is an OpenCL veteran, contributing to the definition of the OpenCL standard, is the former editor of the SPIR-V 1.0 specification, and the recipient of numerous patents and awards in his field.</w:t>
      </w:r>
    </w:p>
    <w:p>
      <w:pPr>
        <w:spacing w:after="0" w:line="194" w:lineRule="exact"/>
        <w:rPr>
          <w:sz w:val="20"/>
          <w:szCs w:val="20"/>
          <w:color w:val="auto"/>
        </w:rPr>
      </w:pPr>
    </w:p>
    <w:p>
      <w:pPr>
        <w:jc w:val="both"/>
        <w:ind w:firstLine="361"/>
        <w:spacing w:after="0" w:line="259" w:lineRule="auto"/>
        <w:rPr>
          <w:sz w:val="20"/>
          <w:szCs w:val="20"/>
          <w:color w:val="auto"/>
        </w:rPr>
      </w:pPr>
      <w:r>
        <w:rPr>
          <w:rFonts w:ascii="Times New Roman" w:cs="Times New Roman" w:eastAsia="Times New Roman" w:hAnsi="Times New Roman"/>
          <w:sz w:val="19"/>
          <w:szCs w:val="19"/>
          <w:b w:val="1"/>
          <w:bCs w:val="1"/>
          <w:color w:val="auto"/>
        </w:rPr>
        <w:t xml:space="preserve">Shai Shalev-Shwartz </w:t>
      </w:r>
      <w:r>
        <w:rPr>
          <w:rFonts w:ascii="Times New Roman" w:cs="Times New Roman" w:eastAsia="Times New Roman" w:hAnsi="Times New Roman"/>
          <w:sz w:val="19"/>
          <w:szCs w:val="19"/>
          <w:color w:val="auto"/>
        </w:rPr>
        <w:t>has been serving as our Chief Technology Officer since 2018. From 2017 to 2022, following our acquisition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Intel, Professor Shalev-Shwartz served as a Senior Fellow of Intel. Professor Shalev-Shwartz is well known for his research in machine learning and was listed as one of the 100 most influential researchers worldwide in 2016 by AMiner. Professor Shalev-Shwartz is also a professor at the Rachel and Selim Benin School of Computer Science and Engineering at the Hebrew University of Jerusalem. In 2014, he co-authored a book used by major universities on theoretical machine learning: “Understanding Machine Learning From Theory to Algorithms.” Before joining Hebrew University and Mobileye, Mr. Shalev-Shwartz was a research assistant professor at Toyota Technological Institute in Chicago, and also worked in research at both Google (Nasdaq: GOOG) and IBM (NYSE: IBM). Professor Shalev-Shwartz has written more than 100 research papers, focusing on machine learning, online prediction, optimization techniques and practical algorithms. In 2020, he was awarded the prestigious Michael Bruno Award for his research and his contribution to computer science and engineering. Mr. Shalev-Shwartz earned his Ph.D. from the Hebrew University of Jerusalem.</w:t>
      </w:r>
    </w:p>
    <w:p>
      <w:pPr>
        <w:spacing w:after="0" w:line="183"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b w:val="1"/>
          <w:bCs w:val="1"/>
          <w:color w:val="auto"/>
        </w:rPr>
        <w:t xml:space="preserve">Nimrod Nehushtan </w:t>
      </w:r>
      <w:r>
        <w:rPr>
          <w:rFonts w:ascii="Times New Roman" w:cs="Times New Roman" w:eastAsia="Times New Roman" w:hAnsi="Times New Roman"/>
          <w:sz w:val="20"/>
          <w:szCs w:val="20"/>
          <w:color w:val="auto"/>
        </w:rPr>
        <w:t>has been serving as our Executive Vice President of Business Development &amp; Strategy and Co -Manager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REM since 2023. Prior to his current position, Mr. Nehushtan served as Senior Vice President of Business Development &amp; Strategy and Co-Manager of REM. Prior to that, Mr. Nehushtan served as Co-General Manager of the REM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division of Mobileye, overseeing product development and leading business operations and growth. Mr. Nehushtan joined Mobileye in 2017 as a Project Manager. Prior to joining Mobileye, Mr. Nehushtan was an engineer at Israel Aerospace Industries. Mr. Nehushtan earned his B.Sc. in mechanical engineering from Tel Aviv University.</w:t>
      </w:r>
    </w:p>
    <w:p>
      <w:pPr>
        <w:sectPr>
          <w:pgSz w:w="11880" w:h="15480" w:orient="portrait"/>
          <w:cols w:equalWidth="0" w:num="1">
            <w:col w:w="10800"/>
          </w:cols>
          <w:pgMar w:left="540" w:top="134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800"/>
          </w:cols>
          <w:pgMar w:left="540" w:top="1344" w:right="54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business is subject to a number of risks and uncertainties that you should understand before making an investment decision.</w:t>
      </w:r>
    </w:p>
    <w:p>
      <w:pPr>
        <w:spacing w:after="0"/>
        <w:rPr>
          <w:sz w:val="20"/>
          <w:szCs w:val="20"/>
          <w:color w:val="auto"/>
        </w:rPr>
      </w:pPr>
      <w:r>
        <w:rPr>
          <w:rFonts w:ascii="Times New Roman" w:cs="Times New Roman" w:eastAsia="Times New Roman" w:hAnsi="Times New Roman"/>
          <w:sz w:val="20"/>
          <w:szCs w:val="20"/>
          <w:color w:val="auto"/>
        </w:rPr>
        <w:t>These include:</w:t>
      </w:r>
    </w:p>
    <w:p>
      <w:pPr>
        <w:spacing w:after="0" w:line="254" w:lineRule="exact"/>
        <w:rPr>
          <w:sz w:val="20"/>
          <w:szCs w:val="20"/>
          <w:color w:val="auto"/>
        </w:rPr>
      </w:pPr>
    </w:p>
    <w:p>
      <w:pPr>
        <w:jc w:val="both"/>
        <w:ind w:left="720" w:hanging="360"/>
        <w:spacing w:after="0" w:line="260"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develop and introduce new solutions and improve existing solutions in a cost-effective and timely manner, then our competitive position would be negatively impacted and our business, results of operations, and financial condition would be adversely affected.</w:t>
      </w:r>
    </w:p>
    <w:p>
      <w:pPr>
        <w:spacing w:after="0" w:line="196" w:lineRule="exact"/>
        <w:rPr>
          <w:rFonts w:ascii="Arial" w:cs="Arial" w:eastAsia="Arial" w:hAnsi="Arial"/>
          <w:sz w:val="20"/>
          <w:szCs w:val="20"/>
          <w:color w:val="auto"/>
        </w:rPr>
      </w:pPr>
    </w:p>
    <w:p>
      <w:pPr>
        <w:jc w:val="both"/>
        <w:ind w:left="720" w:hanging="360"/>
        <w:spacing w:after="0" w:line="259"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198" w:lineRule="exact"/>
        <w:rPr>
          <w:rFonts w:ascii="Arial" w:cs="Arial" w:eastAsia="Arial" w:hAnsi="Arial"/>
          <w:sz w:val="20"/>
          <w:szCs w:val="20"/>
          <w:color w:val="auto"/>
        </w:rPr>
      </w:pPr>
    </w:p>
    <w:p>
      <w:pPr>
        <w:ind w:left="720" w:hanging="359"/>
        <w:spacing w:after="0"/>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We operate in a highly competitive market.</w:t>
      </w:r>
    </w:p>
    <w:p>
      <w:pPr>
        <w:spacing w:after="0" w:line="252" w:lineRule="exact"/>
        <w:rPr>
          <w:rFonts w:ascii="Arial" w:cs="Arial" w:eastAsia="Arial" w:hAnsi="Arial"/>
          <w:sz w:val="20"/>
          <w:szCs w:val="20"/>
          <w:color w:val="auto"/>
        </w:rPr>
      </w:pPr>
    </w:p>
    <w:p>
      <w:pPr>
        <w:jc w:val="both"/>
        <w:ind w:left="720" w:hanging="359"/>
        <w:spacing w:after="0" w:line="217" w:lineRule="auto"/>
        <w:tabs>
          <w:tab w:leader="none" w:pos="721"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We have previously experienced constraints in the supply of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as the result of the global semiconductor shortage during 2021 and 2022, and future shortages in the supply of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or other critical parts would adversely affect our business, results of operations, and financial condition.</w:t>
      </w:r>
    </w:p>
    <w:p>
      <w:pPr>
        <w:spacing w:after="0" w:line="216"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We face additional supply chain risks and risks of interruption of requisite services, including, as a result of our reliance on a single supplier or limited suppliers and vendors, for certain components, equipment, and services.</w:t>
      </w:r>
    </w:p>
    <w:p>
      <w:pPr>
        <w:spacing w:after="0" w:line="178"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Increases in costs of the materials and other components that we use in our solutions would adversely affect our business, results of operations, and financial condition.</w:t>
      </w:r>
    </w:p>
    <w:p>
      <w:pPr>
        <w:spacing w:after="0" w:line="179" w:lineRule="exact"/>
        <w:rPr>
          <w:rFonts w:ascii="Arial" w:cs="Arial" w:eastAsia="Arial" w:hAnsi="Arial"/>
          <w:sz w:val="20"/>
          <w:szCs w:val="20"/>
          <w:color w:val="auto"/>
        </w:rPr>
      </w:pPr>
    </w:p>
    <w:p>
      <w:pPr>
        <w:jc w:val="both"/>
        <w:ind w:left="720" w:hanging="360"/>
        <w:spacing w:after="0" w:line="259"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Our business may suffer from claims, or incur losses,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198" w:lineRule="exact"/>
        <w:rPr>
          <w:rFonts w:ascii="Arial" w:cs="Arial" w:eastAsia="Arial" w:hAnsi="Arial"/>
          <w:sz w:val="20"/>
          <w:szCs w:val="20"/>
          <w:color w:val="auto"/>
        </w:rPr>
      </w:pPr>
    </w:p>
    <w:p>
      <w:pPr>
        <w:ind w:left="720" w:hanging="360"/>
        <w:spacing w:after="0"/>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risks related to trade policies, sanctions, and import and export controls.</w:t>
      </w:r>
    </w:p>
    <w:p>
      <w:pPr>
        <w:spacing w:after="0" w:line="252" w:lineRule="exact"/>
        <w:rPr>
          <w:rFonts w:ascii="Arial" w:cs="Arial" w:eastAsia="Arial" w:hAnsi="Arial"/>
          <w:sz w:val="20"/>
          <w:szCs w:val="20"/>
          <w:color w:val="auto"/>
        </w:rPr>
      </w:pPr>
    </w:p>
    <w:p>
      <w:pPr>
        <w:jc w:val="both"/>
        <w:ind w:left="720" w:hanging="360"/>
        <w:spacing w:after="0" w:line="253"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204" w:lineRule="exact"/>
        <w:rPr>
          <w:rFonts w:ascii="Arial" w:cs="Arial" w:eastAsia="Arial" w:hAnsi="Arial"/>
          <w:sz w:val="20"/>
          <w:szCs w:val="20"/>
          <w:color w:val="auto"/>
        </w:rPr>
      </w:pPr>
    </w:p>
    <w:p>
      <w:pPr>
        <w:jc w:val="both"/>
        <w:ind w:left="720" w:hanging="360"/>
        <w:spacing w:after="0" w:line="259"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198" w:lineRule="exact"/>
        <w:rPr>
          <w:rFonts w:ascii="Arial" w:cs="Arial" w:eastAsia="Arial" w:hAnsi="Arial"/>
          <w:sz w:val="20"/>
          <w:szCs w:val="20"/>
          <w:color w:val="auto"/>
        </w:rPr>
      </w:pPr>
    </w:p>
    <w:p>
      <w:pPr>
        <w:jc w:val="both"/>
        <w:ind w:left="720" w:hanging="360"/>
        <w:spacing w:after="0" w:line="253"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204" w:lineRule="exact"/>
        <w:rPr>
          <w:rFonts w:ascii="Arial" w:cs="Arial" w:eastAsia="Arial" w:hAnsi="Arial"/>
          <w:sz w:val="20"/>
          <w:szCs w:val="20"/>
          <w:color w:val="auto"/>
        </w:rPr>
      </w:pPr>
    </w:p>
    <w:p>
      <w:pPr>
        <w:ind w:left="720" w:hanging="360"/>
        <w:spacing w:after="0"/>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We are highly dependent on the services of Professor Amnon Shashua, our President and Chief Executive Officer.</w:t>
      </w:r>
    </w:p>
    <w:p>
      <w:pPr>
        <w:spacing w:after="0" w:line="252" w:lineRule="exact"/>
        <w:rPr>
          <w:rFonts w:ascii="Arial" w:cs="Arial" w:eastAsia="Arial" w:hAnsi="Arial"/>
          <w:sz w:val="20"/>
          <w:szCs w:val="20"/>
          <w:color w:val="auto"/>
        </w:rPr>
      </w:pPr>
    </w:p>
    <w:p>
      <w:pPr>
        <w:ind w:left="720" w:hanging="361"/>
        <w:spacing w:after="0" w:line="279"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attract, retain, and motivate key employees, then our business, results of operations, and financial condition would be adversely affected.</w:t>
      </w:r>
    </w:p>
    <w:p>
      <w:pPr>
        <w:spacing w:after="0" w:line="178" w:lineRule="exact"/>
        <w:rPr>
          <w:rFonts w:ascii="Arial" w:cs="Arial" w:eastAsia="Arial" w:hAnsi="Arial"/>
          <w:sz w:val="20"/>
          <w:szCs w:val="20"/>
          <w:color w:val="auto"/>
        </w:rPr>
      </w:pPr>
    </w:p>
    <w:p>
      <w:pPr>
        <w:ind w:left="720" w:hanging="361"/>
        <w:spacing w:after="0" w:line="279"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We face integration risks and costs associated with companies, assets, employees, products, and technologies that we have or that we may acquire.</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800"/>
          </w:cols>
          <w:pgMar w:left="540" w:top="1345" w:right="540" w:bottom="0" w:gutter="0" w:footer="0" w:header="0"/>
          <w:type w:val="continuous"/>
        </w:sectPr>
      </w:pPr>
    </w:p>
    <w:bookmarkStart w:id="37" w:name="page38"/>
    <w:bookmarkEnd w:id="37"/>
    <w:p>
      <w:pPr>
        <w:ind w:left="360" w:hanging="360"/>
        <w:spacing w:after="0" w:line="279" w:lineRule="auto"/>
        <w:tabs>
          <w:tab w:leader="none" w:pos="36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Interruptions to our information technology systems and networks and cybersecurity incidents could adversely affect our business, results of operations, and financial condition.</w:t>
      </w:r>
    </w:p>
    <w:p>
      <w:pPr>
        <w:spacing w:after="0" w:line="179" w:lineRule="exact"/>
        <w:rPr>
          <w:rFonts w:ascii="Arial" w:cs="Arial" w:eastAsia="Arial" w:hAnsi="Arial"/>
          <w:sz w:val="20"/>
          <w:szCs w:val="20"/>
          <w:color w:val="auto"/>
        </w:rPr>
      </w:pPr>
    </w:p>
    <w:p>
      <w:pPr>
        <w:ind w:left="360" w:hanging="360"/>
        <w:spacing w:after="0" w:line="279" w:lineRule="auto"/>
        <w:tabs>
          <w:tab w:leader="none" w:pos="36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Security breaches and other disruptions of our in-vehicle systems and related data could impact the safety of our end users and reduce confidence in us and our solutions.</w:t>
      </w:r>
    </w:p>
    <w:p>
      <w:pPr>
        <w:spacing w:after="0" w:line="178" w:lineRule="exact"/>
        <w:rPr>
          <w:rFonts w:ascii="Arial" w:cs="Arial" w:eastAsia="Arial" w:hAnsi="Arial"/>
          <w:sz w:val="20"/>
          <w:szCs w:val="20"/>
          <w:color w:val="auto"/>
        </w:rPr>
      </w:pPr>
    </w:p>
    <w:p>
      <w:pPr>
        <w:ind w:left="360" w:hanging="360"/>
        <w:spacing w:after="0" w:line="279" w:lineRule="auto"/>
        <w:tabs>
          <w:tab w:leader="none" w:pos="36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An uncertain economic environment and inflationary conditions may adversely affect global vehicle production and demand for our solutions.</w:t>
      </w:r>
    </w:p>
    <w:p>
      <w:pPr>
        <w:spacing w:after="0" w:line="178" w:lineRule="exact"/>
        <w:rPr>
          <w:rFonts w:ascii="Arial" w:cs="Arial" w:eastAsia="Arial" w:hAnsi="Arial"/>
          <w:sz w:val="20"/>
          <w:szCs w:val="20"/>
          <w:color w:val="auto"/>
        </w:rPr>
      </w:pPr>
    </w:p>
    <w:p>
      <w:pPr>
        <w:ind w:left="360" w:hanging="360"/>
        <w:spacing w:after="0" w:line="279" w:lineRule="auto"/>
        <w:tabs>
          <w:tab w:leader="none" w:pos="36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If OEMs are unable to maintain and increase consumer acceptance of ADAS and autonomous driving technology, our business, results of operations, and financial condition would be adversely affected.</w:t>
      </w:r>
    </w:p>
    <w:p>
      <w:pPr>
        <w:spacing w:after="0" w:line="178" w:lineRule="exact"/>
        <w:rPr>
          <w:rFonts w:ascii="Arial" w:cs="Arial" w:eastAsia="Arial" w:hAnsi="Arial"/>
          <w:sz w:val="20"/>
          <w:szCs w:val="20"/>
          <w:color w:val="auto"/>
        </w:rPr>
      </w:pPr>
    </w:p>
    <w:p>
      <w:pPr>
        <w:ind w:left="360" w:hanging="360"/>
        <w:spacing w:after="0" w:line="279" w:lineRule="auto"/>
        <w:tabs>
          <w:tab w:leader="none" w:pos="36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Our business, results of operations, and financial condition may be adversely affected by changes in automotive safety regulations or concerns that drive regulations that could increase our costs or delay or halt adoption of our solutions.</w:t>
      </w:r>
    </w:p>
    <w:p>
      <w:pPr>
        <w:spacing w:after="0" w:line="179" w:lineRule="exact"/>
        <w:rPr>
          <w:rFonts w:ascii="Arial" w:cs="Arial" w:eastAsia="Arial" w:hAnsi="Arial"/>
          <w:sz w:val="20"/>
          <w:szCs w:val="20"/>
          <w:color w:val="auto"/>
        </w:rPr>
      </w:pPr>
    </w:p>
    <w:p>
      <w:pPr>
        <w:jc w:val="both"/>
        <w:ind w:left="360" w:hanging="360"/>
        <w:spacing w:after="0" w:line="253" w:lineRule="auto"/>
        <w:tabs>
          <w:tab w:leader="none" w:pos="36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The dual class structure of our common stock has the effect of concentrating voting control with Intel, and Intel will beneficially own shares of our Class B common stock, representing a majority of the shares of our common stock and approximately 98.6% of the voting power of our outstanding common stock as of December 28, 2024. This will limit or preclude your ability to influence corporate matters.</w:t>
      </w:r>
    </w:p>
    <w:p>
      <w:pPr>
        <w:spacing w:after="0" w:line="203" w:lineRule="exact"/>
        <w:rPr>
          <w:rFonts w:ascii="Arial" w:cs="Arial" w:eastAsia="Arial" w:hAnsi="Arial"/>
          <w:sz w:val="20"/>
          <w:szCs w:val="20"/>
          <w:color w:val="auto"/>
        </w:rPr>
      </w:pPr>
    </w:p>
    <w:p>
      <w:pPr>
        <w:jc w:val="both"/>
        <w:ind w:left="360" w:hanging="360"/>
        <w:spacing w:after="0" w:line="253" w:lineRule="auto"/>
        <w:tabs>
          <w:tab w:leader="none" w:pos="36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We may have conflicts of interest with Intel, and because of (i) certain provisions in our amended and restated certificate of incorporation relating to related person transactions and corporate opportunities, (ii) agreements we entered into with Intel in connection with the Mobileye IPO, and (iii) Intel’s controlling beneficial ownership interest in our company, we may not be able to resolve such conflicts on terms favorable to us.</w:t>
      </w:r>
    </w:p>
    <w:p>
      <w:pPr>
        <w:spacing w:after="0" w:line="204" w:lineRule="exact"/>
        <w:rPr>
          <w:rFonts w:ascii="Arial" w:cs="Arial" w:eastAsia="Arial" w:hAnsi="Arial"/>
          <w:sz w:val="20"/>
          <w:szCs w:val="20"/>
          <w:color w:val="auto"/>
        </w:rPr>
      </w:pPr>
    </w:p>
    <w:p>
      <w:pPr>
        <w:ind w:left="360" w:hanging="360"/>
        <w:spacing w:after="0"/>
        <w:tabs>
          <w:tab w:leader="none" w:pos="36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Conditions in Israel affect our operations and may limit our ability to produce and sell our solutions.</w:t>
      </w:r>
    </w:p>
    <w:p>
      <w:pPr>
        <w:spacing w:after="0" w:line="252" w:lineRule="exact"/>
        <w:rPr>
          <w:rFonts w:ascii="Arial" w:cs="Arial" w:eastAsia="Arial" w:hAnsi="Arial"/>
          <w:sz w:val="20"/>
          <w:szCs w:val="20"/>
          <w:color w:val="auto"/>
        </w:rPr>
      </w:pPr>
    </w:p>
    <w:p>
      <w:pPr>
        <w:ind w:left="360" w:hanging="360"/>
        <w:spacing w:after="0" w:line="279" w:lineRule="auto"/>
        <w:tabs>
          <w:tab w:leader="none" w:pos="36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Our operations may be disrupted by the obligations of personnel to perform military service as a result of current or future military actions involving Israel.</w:t>
      </w:r>
    </w:p>
    <w:p>
      <w:pPr>
        <w:sectPr>
          <w:pgSz w:w="11880" w:h="15480" w:orient="portrait"/>
          <w:cols w:equalWidth="0" w:num="1">
            <w:col w:w="10440"/>
          </w:cols>
          <w:pgMar w:left="900" w:top="136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440"/>
          </w:cols>
          <w:pgMar w:left="900" w:top="1362" w:right="540" w:bottom="0" w:gutter="0" w:footer="0" w:header="0"/>
          <w:type w:val="continuous"/>
        </w:sectPr>
      </w:pPr>
    </w:p>
    <w:bookmarkStart w:id="38" w:name="page39"/>
    <w:bookmarkEnd w:id="38"/>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In addition to the other information included in this Annual Report on Form 10-K and in our other filings with the SEC, the following risk factors should be considered in evaluating our business and future prospects. These risk factors represent what we believe to be the known material risk factors with respect to us and our business. Our business, operating results, cash flows and financial condition are subject to these risks and uncertainties, any of which could cause actual results to vary materially from recent results or from anticipated future results. Additional risks or uncertainties not currently known to us, or that we currently deem immaterial, may also have a material adverse effect on our business, financial condition, prospects, results of operations, or cash flows. We cannot assure you that any of the events discussed in the risk factors below will not occur.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develop and introduce new solutions and improve existing solutions in a cost-effective and timely manner, then our competitive position would be negatively impacted and our business, results of operations, and financial condition would be adversely affected.</w:t>
      </w:r>
    </w:p>
    <w:p>
      <w:pPr>
        <w:spacing w:after="0" w:line="183"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Our business, results of operations, and financial condition depend on our ability to complete development of our existing ADAS and autonomous driving programs and to develop and introduce new and enhanced solutions that incorporate and integrate the latest technological advancements in sensing and perception technologies, software and hardware, and camera, radar, lidar, mapping, and AI technologies to satisfy evolving customer, regulatory, and safety rating requirements. For example, we will need to complete the development and achieve cost efficient production at scale of new generations of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and our software-defined imaging radar, and, in the case of AMaaS,source lidar cost effectively, all of which are important components of our planned approach to address the AMaaS and consumer AV markets. This report may contain descriptions of our current expectations regarding the years by which we expect to obtain engineering samples, commence production, or release our anticipated future solutions. These time periods are subject to significant uncertainty. We may encounter significant unexpected technical and production challenges, or delays in completing the development of these and other solutions and ramping production in a cost-efficient manner particularly as our products become increasingly complex. The development of these and other new and enhanced solutions requires us to invest resources in research and development and also requires that we:</w:t>
      </w:r>
    </w:p>
    <w:p>
      <w:pPr>
        <w:spacing w:after="0" w:line="221" w:lineRule="exact"/>
        <w:rPr>
          <w:sz w:val="20"/>
          <w:szCs w:val="20"/>
          <w:color w:val="auto"/>
        </w:rPr>
      </w:pPr>
    </w:p>
    <w:p>
      <w:pPr>
        <w:ind w:left="720" w:hanging="360"/>
        <w:spacing w:after="0" w:line="279"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design innovative, accurate, and safety- and comfort-enhancing functions that differentiate our solutions from those of our competitors;</w:t>
      </w:r>
    </w:p>
    <w:p>
      <w:pPr>
        <w:spacing w:after="0" w:line="178"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continuously improve the reliability of, and reduce and ultimately remove the requirement for human intervention with, our autonomous driving technology;</w:t>
      </w:r>
    </w:p>
    <w:p>
      <w:pPr>
        <w:spacing w:after="0" w:line="179" w:lineRule="exact"/>
        <w:rPr>
          <w:rFonts w:ascii="Arial" w:cs="Arial" w:eastAsia="Arial" w:hAnsi="Arial"/>
          <w:sz w:val="20"/>
          <w:szCs w:val="20"/>
          <w:color w:val="auto"/>
        </w:rPr>
      </w:pPr>
    </w:p>
    <w:p>
      <w:pPr>
        <w:ind w:left="720" w:hanging="360"/>
        <w:spacing w:after="0"/>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cooperate effectively on new designs and development with our customers, suppliers and partners;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respond effectively to technological changes and product announcements by our competitors; and</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23"/>
        </w:numPr>
        <w:rPr>
          <w:rFonts w:ascii="Arial" w:cs="Arial" w:eastAsia="Arial" w:hAnsi="Arial"/>
          <w:sz w:val="19"/>
          <w:szCs w:val="19"/>
          <w:color w:val="auto"/>
        </w:rPr>
      </w:pPr>
      <w:r>
        <w:rPr>
          <w:rFonts w:ascii="Times New Roman" w:cs="Times New Roman" w:eastAsia="Times New Roman" w:hAnsi="Times New Roman"/>
          <w:sz w:val="19"/>
          <w:szCs w:val="19"/>
          <w:color w:val="auto"/>
        </w:rPr>
        <w:t>adjust to changing customer requirements, market conditions, and regulatory and rating standards quickly and cost-effectively.</w:t>
      </w:r>
    </w:p>
    <w:p>
      <w:pPr>
        <w:spacing w:after="0" w:line="251"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auto"/>
        </w:rPr>
        <w:t>If there are delays in, or if we fail to complete when expected or at all, our existing and new development programs, we may not be able to satisfy our customers’ requirements, achieve additional design wins with existing or new customers, or achieve broader market acceptance of our solutions, and our business, results of operations, and financial condition would be adversely affected. In addition, the price of our solutions depends on the bundle included in the specific product. Our solutions have different margin profiles. As we develop, bundle, and sell full systems that include third-party hardware beyond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we expect that our gross margin will decrease on a percentage basis because of the greater third-party hardware content.</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800"/>
          </w:cols>
          <w:pgMar w:left="540" w:top="1347" w:right="540" w:bottom="0" w:gutter="0" w:footer="0" w:header="0"/>
          <w:type w:val="continuous"/>
        </w:sectPr>
      </w:pPr>
    </w:p>
    <w:bookmarkStart w:id="39" w:name="page40"/>
    <w:bookmarkEnd w:id="39"/>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184" w:lineRule="exact"/>
        <w:rPr>
          <w:sz w:val="20"/>
          <w:szCs w:val="20"/>
          <w:color w:val="auto"/>
        </w:rPr>
      </w:pPr>
    </w:p>
    <w:p>
      <w:pPr>
        <w:jc w:val="both"/>
        <w:ind w:firstLine="360"/>
        <w:spacing w:after="0" w:line="234" w:lineRule="auto"/>
        <w:rPr>
          <w:sz w:val="20"/>
          <w:szCs w:val="20"/>
          <w:color w:val="auto"/>
        </w:rPr>
      </w:pPr>
      <w:r>
        <w:rPr>
          <w:rFonts w:ascii="Times New Roman" w:cs="Times New Roman" w:eastAsia="Times New Roman" w:hAnsi="Times New Roman"/>
          <w:sz w:val="20"/>
          <w:szCs w:val="20"/>
          <w:color w:val="auto"/>
        </w:rPr>
        <w:t>To compete successfully, we must maintain successful research and development efforts, develop new solutions, and improve our existing solutions, all ahead of competitors. We are focusing our research and development efforts across several key emerging technologies, including computer vision, Compound AI and other AI technologies, software-defined imaging radar, the True Redundancy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sensor fusion architecture, the REM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mapping technology and our RSS model, and our Mobileye Surround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Mobileye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Mobileye Chauffeur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Mobileye Drive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systems. These are ambitious initiatives, and we cannot guarantee that all of these efforts will deliver the benefits we anticipate or be homologated as expected. We must make research and development investments based on our views of the most promising approaches to address future customer needs in rapidly evolving markets, and we cannot be certain that we will target out research and development investments appropriately, or correctly anticipate the manner in which these markets will evolve. To the extent our research and development efforts do not produce timely improvements in utility, accuracy, safety, cost and operational efficiency, our competitive position will be harmed. We do not expect all of our research and development investments to be successful. Some of our efforts to develop and market new solutions may fail, and the solutions we invest in and develop may be rejected by regulators or may not be well received by customers, who may adopt competing technologies. We make significant investments in research and development, and our investments at times may not contribute to our future operating results for several years, if at all, and such contributions at times may not meet our expectations or even cover the costs of such investments, which would adversely affect our business, results of operations, and financial condition.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operate in a highly competitive market.</w:t>
      </w:r>
    </w:p>
    <w:p>
      <w:pPr>
        <w:spacing w:after="0" w:line="239"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The ADAS and autonomous driving industries are highly competitive, and we expect they will become even more competitive in the future. Our future success will depend on, among other things, our ability to continue developing superior advanced technology to remain competitive with our existing and any new competitors. Competition is based on, among other things, cost efficiency, reliability, the ability to develop and deploy increasingly complex technologies that provide for vehicle, passenger, and pedestrian safety in compliance with existing and future regulations, the ability to gather or access large validation datasets in order to train the required software and to continuously harvest new data in real-time, the ability to cost-effectively deploy hardware, the ability to integrate technologies and hardware with overall vehicle design and production, adoption by OEMs, and the ability to develop and maintain strategic relationships with other participants in the automotive industry.</w:t>
      </w:r>
    </w:p>
    <w:p>
      <w:pPr>
        <w:spacing w:after="0" w:line="202" w:lineRule="exact"/>
        <w:rPr>
          <w:sz w:val="20"/>
          <w:szCs w:val="20"/>
          <w:color w:val="auto"/>
        </w:rPr>
      </w:pPr>
    </w:p>
    <w:p>
      <w:pPr>
        <w:jc w:val="both"/>
        <w:ind w:firstLine="361"/>
        <w:spacing w:after="0" w:line="238" w:lineRule="auto"/>
        <w:rPr>
          <w:sz w:val="20"/>
          <w:szCs w:val="20"/>
          <w:color w:val="auto"/>
        </w:rPr>
      </w:pPr>
      <w:r>
        <w:rPr>
          <w:rFonts w:ascii="Times New Roman" w:cs="Times New Roman" w:eastAsia="Times New Roman" w:hAnsi="Times New Roman"/>
          <w:sz w:val="20"/>
          <w:szCs w:val="20"/>
          <w:color w:val="auto"/>
        </w:rPr>
        <w:t>A significant and growing number of established and new technology companies and automobile manufacturers have entered, or are reported to have plans to enter, the market for ADAS and autonomous driving solutions. For example, certain of our competitors have announced that they are operating autonomous robotaxis. Some of our competitors have significantly greater or better-established resources than we do to devote to the design, development, manufacturing, distribution, promotion, sale, and support of their products. Automakers who seek to develop their own in-house solutions may also become indirect competitors. Some OEMs that have incorporated our solutions in the past have decided, and some OEMs that currently incorporate our solutions may decide to design in-house solutions to replace our solutions that they currently implement. For example, Tesla had previously incorporated our ADAS solutions in their vehicles but transitioned to their own in-house ADAS solutions in 2017. Further, in the third quarter of 2024, Zeekr announced their decision to utilize their in-house system instead of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for at least a major portion of production for their 001 model going forward. Mercedes-Benz is also employing its own in-house solutions, with others such as NIO, Volvo Cars, and Xpeng Motors also pursuing in-house solutions for portions of the ADAS software stack. In addition, our Tier 1 customers may be developing or may in the future develop competing solutions.</w:t>
      </w:r>
    </w:p>
    <w:p>
      <w:pPr>
        <w:spacing w:after="0" w:line="20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Tier 1 automotive supplier competitors include Bosch, Continental, and Denso. Our competitors in the silicon provider category include Ambarella, Advanced Micro Devices, Arriver / Qualcomm, Black Sesame Technologies, Horizon Robotics, Huawei, NVIDIA, NXP, Renesas Electronics, and Texas Instruments. Our competitors in the software-only category include StradVision, Autobrains and Wayve.</w:t>
      </w:r>
    </w:p>
    <w:p>
      <w:pPr>
        <w:spacing w:after="0" w:line="190"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Additional competitors that could emerge include large technology companies that are resource rich and able to deploy such resources to compete, as well as companies that are able to develop products that may not require the massive datasets upon which our technologies currently rely while still achieving the same effectiveness of algorithms.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800"/>
          </w:cols>
          <w:pgMar w:left="540" w:top="1349" w:right="540" w:bottom="0" w:gutter="0" w:footer="0" w:header="0"/>
          <w:type w:val="continuous"/>
        </w:sectPr>
      </w:pPr>
    </w:p>
    <w:bookmarkStart w:id="40" w:name="page41"/>
    <w:bookmarkEnd w:id="40"/>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suppliers, and robotaxi providers. AMaaS competitors include Cruise, Motional, Waymo, and Zoox in the United States and Europe and Auto X, Baidu, Deeproute.ai, Didi Chuxing, Momenta, and WeRide in China. Consumer AV competitors include Sony, and Tesla, who are developing self-driving vehicles for consumers.</w:t>
      </w:r>
    </w:p>
    <w:p>
      <w:pPr>
        <w:spacing w:after="0" w:line="19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Moovit competes against urban mobility applications and MaaS solutions, which provide transportation services and navigation data to consumers. Moovit’s free and subscription-based application competition includes Alphabet, Apple, Citymapper and Transit. Moovit’s application also competes with local urban and inter-city ticketing service providers that provide purchase and ticketing of public transit and mobilityservices on their own platform. See “Item 1.Business — Our Competition.”</w:t>
      </w:r>
    </w:p>
    <w:p>
      <w:pPr>
        <w:spacing w:after="0" w:line="19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0"/>
          <w:szCs w:val="20"/>
          <w:b w:val="1"/>
          <w:bCs w:val="1"/>
          <w:i w:val="1"/>
          <w:iCs w:val="1"/>
          <w:color w:val="auto"/>
        </w:rPr>
        <w:t>We have previously experienced constraints in the supply of our EyeQ</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SoCs as the result of the global semiconductor shortage during 2021 and 2022, and future shortages in the supply of our EyeQ</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SoCs or other critical parts would adversely affect our business, results of operations, and financial condition.</w:t>
      </w:r>
    </w:p>
    <w:p>
      <w:pPr>
        <w:spacing w:after="0" w:line="204"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In 2021 and 2022, the semiconductor industry experienced widespread shortages of substrates and other components and available foundry manufacturing capacity. These factors, combined with the long lead times associated with wafer production, contributed to a shortage of semiconductors. During 2021 and 2022, STMicroelectronics, our sole supplier of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was not able to meet our demand for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causing a significant reduction in our inventory level, and we entered 2022 with significantly lower inventories of our EyeQ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as a result of the limited supply during 2021. Starting in late 2022 and early 2023, such supply chain disruptions, raw material shortages and manufacturing limitations abated and during 2023, we successfully increased levels of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inventory on hand, mitigating the potential for future supply constraints to cause a shortfall. However, in the event of a reoccurrence of supply chain constraints, and subject to the duration and severity thereof, we may be required to operate with minimal or no inventory of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or ECUs (including for Mobileye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Mobileye Chauffeur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and Mobileye Drive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on hand. As a result, we are substantially reliant on timely shipments of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from STMicroelectronics and ECUs from Quanta Computer (or other suppliers) to fulfill customer orders and if such a shortfall of chips or ECUs were to occur, we may be unable to offset future supply constraints through the use of inventory on hand. Since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is the core of our ADAS and autonomous driving solutions, continued, acute shortages in the supply of sufficient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to meet our production needs would impair our ability to meet our customers’ requirements in a timely manner, and would affect our business, results of operations, and financial condition potentially in an adverse manner.</w:t>
      </w:r>
    </w:p>
    <w:p>
      <w:pPr>
        <w:spacing w:after="0" w:line="204"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 xml:space="preserve">Moreover, the reoccurrence of global semiconductor shortages could constrain production and cause production delays by automakers, which could then result in reduced or delayed demand for our solutions. In addition, any event, including for example the COVID-19 pandemic from 2020 through 2022, causing, or leading to, port congestion, intermittent supplier shutdowns, and/or delays in the delivery of critical components, could result in additional expenses to expedite delivery of critical parts. Sustaining the proliferation of our solutions will require the readiness and solvency of our suppliers and vendors, a stable and motivated workforce, and ongoing government cooperation, including for travel and visa allowances, which many governments previously restricted in connection with efforts to address the COVID-19 pandemic. To mitigate supply chain constraints, we monitor inventory levels on an on-going basis and may further build up inventories of EyeQ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Accumulating such additional inventories could require substantial amounts of capital and may expose us to risks regarding the obsolescence of such chips.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800"/>
          </w:cols>
          <w:pgMar w:left="540" w:top="1347" w:right="54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i w:val="1"/>
          <w:iCs w:val="1"/>
          <w:color w:val="auto"/>
        </w:rPr>
        <w:t>We depend on STMicroelectronics to manufacture our EyeQ</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SoCs.</w:t>
      </w:r>
    </w:p>
    <w:p>
      <w:pPr>
        <w:spacing w:after="0" w:line="180"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We currently purchase all of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from STMicroelectronics. Because of the complex proprietary nature of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any transition from STMicroelectronics to a new supplier or, if there were a disaster at any of STMicroelectronics’ facilities involved in manufacturing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bringing new facilities online, would take a significant period of time to complete and would likely result in our having insufficient inventory and adversely affect our business, results of operations, and financial condition. In addition, our contractual relationship with STMicroelectronics does not provide us with long-term pricing or quantity guarantees, and both we and STMicroelectronics are free to terminate the arrangement at any time. Further, we are vulnerable to the risk that STMicroelectronics may be unable to meet demand for our EyeQ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or cease operations altogether. Moreover, certain critical manufacturing steps for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including wafer fabrication and advanced packaging, are performed by a limited number of suppliers, including Taiwan Semiconductor Manufacturing Company Limited (“TSMC”). Any interruptions or delays in these manufacturing steps due to capacity constraints, equipment failures or geopolitical issues could significantly affect STMicroelectronics’s ability to manufacture and deliver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on time, impacting our operations and customer relationships. STMicroelectronics depends on TSMC as its subcontractor to manufacture our EyeQ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particularly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5 and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6 SoCs, and as a result, we are also vulnerable to the risk that TSMC may be unable to meet demand or cease operations altogether. In addition, we may be affected by supply constraints and increased costs involving STMicroelectronics and TSMC resulting from any reoccurrence of the global semiconductor shortage. See “— We have previously experienced constraints in the supply of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as the result of the global semiconductor shortage during 2021 and 2022, and future shortages in the supply of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or other critical parts would adversely affect our business, results of operations, and financial condition.”</w:t>
      </w:r>
    </w:p>
    <w:p>
      <w:pPr>
        <w:spacing w:after="0" w:line="202"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auto"/>
        </w:rPr>
        <w:t>TSMC is located in Taiwan, and our ability to receive sufficient supplies of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could be adversely affected by events in Taiwan, China and the broader region, such as natural disasters in Taiwan, including earthquakes, drought and typhoons, escalations of tensions between the People’s Republic of China and Taiwan, including resulting from the People’s Republic of China’s step up of military exercises around Taiwan, political unrest, trade restrictions, war, or other geopolitical issues. These same factors may also adversely affect the global supply of microchips and cause additional constraints on global automotive production.</w:t>
      </w:r>
    </w:p>
    <w:p>
      <w:pPr>
        <w:spacing w:after="0" w:line="2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face additional supply chain risks and risks of interruption of requisite services, including, as a result of our reliance on a single supplier or limited suppliers and vendors, for certain components, equipment, and services.</w:t>
      </w:r>
    </w:p>
    <w:p>
      <w:pPr>
        <w:spacing w:after="0" w:line="166"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19"/>
          <w:szCs w:val="19"/>
          <w:color w:val="auto"/>
        </w:rPr>
        <w:t>A large number of direct and indirect suppliers and vendors provide materials, equipment, and services that are used in the production of our solutions and other aspects of our business. Where possible, we seek to have several sources of supply, and to ensure our suppliers and vendors have multiple sources of supply as well. However, for certain materials, equipment, and services, we, and/or our suppliers and vendors, rely on a single or a limited number of direct and indirect suppliers and vendors, or upon direct and indirect suppliers and vendors in a single location, for example STMicroelectronics and TSMC. In addition, direct and indirect supplier and vendor consolidation, financial health or business failures can impact the nature, quality, availability, and pricing of the products and services available to us. For example, we currently depend on Amazon Web Services for cloud services in connection with our REM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mapping system, Roadbook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and AMaaS solutions including the Moovit platform, and a failure of such cloud services would result in interruptions to our services. In addition, the semiconductor industry has previously experienced widespread shortages of substrates. See “— We have previously experienced constraints in the supply of our EyeQ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SoCs as the result of the global semiconductor shortage during 2021 and 2022, and future shortages in the supply of our EyeQ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SoCs or other critical parts would adversely affect our business, results of operations, and financial condition” and “— We depend on STMicroelectronics to manufacture our EyeQ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SoCs.”</w:t>
      </w:r>
    </w:p>
    <w:p>
      <w:pPr>
        <w:spacing w:after="0" w:line="87"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Finding and qualifying alternate or additional suppliers and vendors is often a lengthy process and can lead to production delays, interruptions to our services, or additional costs, and such alternatives are sometimes not available at all. The inability of suppliers or vendors to deliver necessary production materials, equipment, or services can disrupt the production processes of our solutions and make it more difficult for us to implement our business strategy. Suppliers and vendors periodically extend lead times, face capacity constraints, limit supplies, increase prices, experience quality issues, face equipment failures, experience financial instability or encounter cybersecurity or other issues that can interrupt or increase the cost of our supply and services. Production of our solutions can be disrupted by the unavailability of resources, such as water, silicon, electricity, gases, and other materials. The unavailability or reduced availability of materials or resources would require us to reduce production or incur additional costs, which would harm our business and results of operations.</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800"/>
          </w:cols>
          <w:pgMar w:left="540" w:top="1350" w:right="540" w:bottom="0" w:gutter="0" w:footer="0" w:header="0"/>
          <w:type w:val="continuous"/>
        </w:sectPr>
      </w:pPr>
    </w:p>
    <w:bookmarkStart w:id="42" w:name="page43"/>
    <w:bookmarkEnd w:id="42"/>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We also rely on third-party providers to manufacture, assemble, and test certain components and products. From time to time, these third parties are unable to perform these services on a timely or cost-effective basis, in sufficient volumes, or at all. In some cases, there are limited or no readily available satisfactory alternate providers. In any of these circumstances, we can encounter supply delays or disruptions or incur additional costs that could prevent us from meeting customer demand and/or adversely affect our business and financial results. We typically have less control over delivery schedules, design and manufacturing co-optimization, manufacturing yields, quality, product quantities, and costs for components and products that are manufactured or supplied by third parties. Delays or quality issues with one component could limit our ability to manufacture the entire completed product.</w:t>
      </w:r>
    </w:p>
    <w:p>
      <w:pPr>
        <w:spacing w:after="0" w:line="201"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Moreover, increased regulation or stakeholder expectations regarding responsible sourcing practices could cause our compliance costs to increase, or result in publicity that negatively affects our reputation. Moreover, given that we use several materials and services and rely on several suppliers and vendors, but do not directly control the procurement or employment practices of such suppliers and vendors, we could be subject to financial or reputational risks as a result of our suppliers’ and vendors’ conduct. To the extent we are unable to manage these risks, our ability to timely supply competitive solutions will be harmed, our costs will increase, and our business, results of operations, and financial condition would be adversely affected.</w:t>
      </w:r>
    </w:p>
    <w:p>
      <w:pPr>
        <w:spacing w:after="0" w:line="1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Increases in costs of the materials and other components that we use in our solutions would adversely affect our business, results of operations, and financial condition.</w:t>
      </w:r>
    </w:p>
    <w:p>
      <w:pPr>
        <w:spacing w:after="0" w:line="165" w:lineRule="exact"/>
        <w:rPr>
          <w:sz w:val="20"/>
          <w:szCs w:val="20"/>
          <w:color w:val="auto"/>
        </w:rPr>
      </w:pPr>
    </w:p>
    <w:p>
      <w:pPr>
        <w:jc w:val="both"/>
        <w:ind w:firstLine="360"/>
        <w:spacing w:after="0" w:line="233" w:lineRule="auto"/>
        <w:rPr>
          <w:sz w:val="20"/>
          <w:szCs w:val="20"/>
          <w:color w:val="auto"/>
        </w:rPr>
      </w:pPr>
      <w:r>
        <w:rPr>
          <w:rFonts w:ascii="Times New Roman" w:cs="Times New Roman" w:eastAsia="Times New Roman" w:hAnsi="Times New Roman"/>
          <w:sz w:val="20"/>
          <w:szCs w:val="20"/>
          <w:color w:val="auto"/>
        </w:rPr>
        <w:t>Significant changes in the markets in which we purchase materials, components, and supplies for the production of our solutions may adversely affect our profitability. Our contractual relationship with STMicroelectronics, our sole supplier of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and with other suppliers does not provide us with long-term pricing or quantity guarantees. As a result of the global semiconductor shortage in 2021 and 2022 as well as inflationary pressures, we have experienced and may experience in the future increases in the cost of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We have adjusted, and continue to seek to adjust, the prices charged to our customers to offset these cost increases, but anticipate that, despite such price increases, our percentage gross margin may decrease, at least in the short term, as a result of these cost increases. Competitive and market pressures limit our ability to recover increases in costs through increases in prices we charge to our customers, and, even where we are able to achieve price increases that would offset such increased costs, in some cases there may be a delay before we are able to do so. The inability to pass on price increases to our customers when raw material or component prices increase rapidly or are significantly higher than historic levels would adversely affect our business, results of operations, and financial condition.</w:t>
      </w:r>
    </w:p>
    <w:p>
      <w:pPr>
        <w:spacing w:after="0" w:line="20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addition, the prices of our solutions depend on the bundle of applications that are included in the specific product, and our prices vary significantly across our solutions. Our solutions have different margin profiles, which vary between solutions depending on the amount, number, and type of components that we deliver. If we fail to maintain our solutions mix or maintain our gross margin and operating margin, our business, results of operations, and financial condition would be adversely affected.</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business may suffer from claims or incur losses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183"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20"/>
          <w:szCs w:val="20"/>
          <w:color w:val="auto"/>
        </w:rPr>
        <w:t>Our software and hardware, including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and AI technologies, are complex and, from time to time, have had, and could have or could be alleged to have, defects in design or manufacturing, inadequate, inaccurate, biased or otherwise flawed data or algorithms used to train certain AI technologies, security vulnerabilities or other errors, failures, or other issues of not functioning in accordance with their specifications or as expected. Some errors or defects in our solutions have been, and could be, initially undetected and only discovered after they have been tested, commercialized, and deployed by customers. Alleged or actual defects in any of our solutions could result in adverse publicity for us, warranty claims, litigation against us, legal expenses and damages, our customers never being able to commercialize technology incorporating our solutions, negative publicity for our customers, and other consequences. Errors, defects, or security vulnerabilities could result in serious injury to or death of the end users of vehicles incorporating our solutions, or those in the surrounding area, including as a result of traffic accidents and collisions. If that is the case, we would incur significant additional development costs and product recall, repair, or replacement costs.</w:t>
      </w:r>
    </w:p>
    <w:p>
      <w:pPr>
        <w:spacing w:after="0" w:line="202"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If any of our solutions are or are alleged to be defective, we may be required to participate in a recall involving such solutions. Each vehicle manufacturer has its own practices regarding product recalls and other product liability actions relating to its suppliers. However, as suppliers become more integrally involved in the vehicle design process, OEMs may look to their direct and indirect suppliers for contribution when faced with recalls and product liability claims. OEMs also require their suppliers to guarantee or warrant their products and bear the costs of repair and replacement of such products under new vehicle warranties.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800"/>
          </w:cols>
          <w:pgMar w:left="540" w:top="1347" w:right="540" w:bottom="0" w:gutter="0" w:footer="0" w:header="0"/>
          <w:type w:val="continuous"/>
        </w:sectPr>
      </w:pPr>
    </w:p>
    <w:bookmarkStart w:id="43" w:name="page44"/>
    <w:bookmarkEnd w:id="43"/>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Depending on the terms under which we supply products to a Tier 1 customer or an OEM, vehicle manufacturers have held and may attempt to hold us responsible for some or all of the repair or replacement costs of defective products under new vehicle warranties when the OEM asserts that the solution supplied did not perform as warranted. Our potential liability may increase to the extent that OEMs increasingly purchase our products directly, as opposed to incorporating our solutions through indirect purchases from our Tier 1 customers. Although we regularly evaluate the level of our reserves for warranty claims and adjust them when appropriate, final amounts determined to be due in respect of warranty claims could differ materially from our recorded estimates. Product liability, warranty, and recall costs would have an adverse effect on our business, results of operations, and financial condition. In addition, product liability claims present the risk of protracted litigation, legal fees, and diversion of management’s attention from the operation of our business, even if our defense of these claims is ultimately successful.</w:t>
      </w:r>
    </w:p>
    <w:p>
      <w:pPr>
        <w:spacing w:after="0" w:line="197" w:lineRule="exact"/>
        <w:rPr>
          <w:sz w:val="20"/>
          <w:szCs w:val="20"/>
          <w:color w:val="auto"/>
        </w:rPr>
      </w:pPr>
    </w:p>
    <w:p>
      <w:pPr>
        <w:jc w:val="both"/>
        <w:ind w:firstLine="359"/>
        <w:spacing w:after="0" w:line="222" w:lineRule="auto"/>
        <w:rPr>
          <w:sz w:val="20"/>
          <w:szCs w:val="20"/>
          <w:color w:val="auto"/>
        </w:rPr>
      </w:pPr>
      <w:r>
        <w:rPr>
          <w:rFonts w:ascii="Times New Roman" w:cs="Times New Roman" w:eastAsia="Times New Roman" w:hAnsi="Times New Roman"/>
          <w:sz w:val="20"/>
          <w:szCs w:val="20"/>
          <w:color w:val="auto"/>
        </w:rPr>
        <w:t>While STMicroelectronics is responsible for quality control and procedures for testing and manufacturing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to our specifications, we retain liability for failure in production caused by defective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design or error. Further, although we use disclaimers, limitations of liability, and similar provisions in our agreements, there is no assurance that any or all of these provisions will prove to be effective barriers to product liability claims with respect to our products.</w:t>
      </w:r>
    </w:p>
    <w:p>
      <w:pPr>
        <w:spacing w:after="0" w:line="203"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20"/>
          <w:szCs w:val="20"/>
          <w:color w:val="auto"/>
        </w:rPr>
        <w:t>In addition, although we currently maintain casualty insurance, there is no assurance that such insurance will be adequate to cover any or all of our potential losses, including due to large deductibles and broad exclusions. Our insurers may also discontinue our insurance coverage or be unable or unwilling to pay a claim, and we may be unable to find replacement insurance on acceptable terms, or at all. In respect of the commercialization of our solutions, including Mobileye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Mobileye Chauffeur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Mobileye Drive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adequate insurance coverage may be partially or entirely unavailable to cover the associated risks, for which specialized insurance may be required. Losses not covered by insurance may be large, which could harm our results of operations and financial condition.</w:t>
      </w:r>
    </w:p>
    <w:p>
      <w:pPr>
        <w:spacing w:after="0" w:line="203"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Furthermore, the automotive industry in general is subject to significant litigation claims due to the potentially severe consequences of traffic collisions or other accidents. As a provider of solutions related to, among other things, preventing traffic collisions and other accidents, we could be subject to litigation for traffic collisions or other accidents, even if our solutions or their features or the failure thereof did not cause any particular traffic collision or accident. Our technology has been involved, and we expect in the future will be involved, in accidents resulting in death or personal injury, and such accidents where our solutions or their features are involved may be the subject of significant public attention. There also remains significant uncertainty in the legal implications to providers of emerging ADAS and autonomous driving technologies of traffic collisions or other accidents involving such technologies, particularly given variations in legal and regulatory regimes that are emerging in different jurisdictions, and we may become liable for losses that exceed the current industry norms as the regulatory and legal landscape develops. In addition, because ADAS and autonomous driving technologies rely on products and services provided by third parties, there is the potential that the failure of such third-party products or services that affect the performance of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notwithstanding the absence of any defect in design or manufacture or other failure in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themselves, could result in additional claims being made against us.</w:t>
      </w:r>
    </w:p>
    <w:p>
      <w:pPr>
        <w:spacing w:after="0" w:line="8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Publicity regarding claims involving our solutions can also have an adverse effect on our reputation and the reputation for ADAS and autonomous driving solutions, which could decrease consumer demand for vehicles incorporating these technologies. Further, enhanced publicity surrounding such claims may also increase the regulatory scrutiny of our platforms, which could have a material adverse effect on our ability to complete our business plans.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800"/>
          </w:cols>
          <w:pgMar w:left="540" w:top="1347" w:right="540" w:bottom="0" w:gutter="0" w:footer="0" w:header="0"/>
          <w:type w:val="continuous"/>
        </w:sectPr>
      </w:pPr>
    </w:p>
    <w:bookmarkStart w:id="44" w:name="page45"/>
    <w:bookmarkEnd w:id="44"/>
    <w:p>
      <w:pPr>
        <w:jc w:val="both"/>
        <w:spacing w:after="0" w:line="279" w:lineRule="auto"/>
        <w:rPr>
          <w:sz w:val="20"/>
          <w:szCs w:val="20"/>
          <w:color w:val="auto"/>
        </w:rPr>
      </w:pPr>
      <w:r>
        <w:rPr>
          <w:rFonts w:ascii="Times New Roman" w:cs="Times New Roman" w:eastAsia="Times New Roman" w:hAnsi="Times New Roman"/>
          <w:sz w:val="19"/>
          <w:szCs w:val="19"/>
          <w:b w:val="1"/>
          <w:bCs w:val="1"/>
          <w:i w:val="1"/>
          <w:iCs w:val="1"/>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167"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We invest significant effort and money from the time of our initial contact with an OEM to the time when the OEM chooses our technology for ADAS or autonomous driving applications to be incorporated into one or more specific vehicle models to be produced by the OEM. This selection process is known as a “design win.” We could expend significant resources pursuing, but fail to achieve, a design win. After a design win, it is typically difficult for a product or technology that did not receive the design win to displace the winner until the OEM issues a new request for quotation because an OEM will generally not change complex technology already integrated in its systems until a vehicle model is revamped. In addition, the firm with the winning design may have an advantage with the OEM going forward because of the established relationship between the winning firm and the OEM, which would make it more difficult for that firm’s competitors to win the designs for other production models. If we fail to win a significant number of OEM design competitions in the future, then our business, results of operations, and financial condition would be adversely affected. We typically sell our products to Tier 1 suppliers, but increasingly engage directly with OEMs, particularly with respect to our advanced product portfolio, which adds complexity to the sourcing and contracting process for us, and could strain our resources.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184" w:lineRule="exact"/>
        <w:rPr>
          <w:sz w:val="20"/>
          <w:szCs w:val="20"/>
          <w:color w:val="auto"/>
        </w:rPr>
      </w:pPr>
    </w:p>
    <w:p>
      <w:pPr>
        <w:jc w:val="both"/>
        <w:ind w:firstLine="361"/>
        <w:spacing w:after="0" w:line="238" w:lineRule="auto"/>
        <w:rPr>
          <w:sz w:val="20"/>
          <w:szCs w:val="20"/>
          <w:color w:val="auto"/>
        </w:rPr>
      </w:pPr>
      <w:r>
        <w:rPr>
          <w:rFonts w:ascii="Times New Roman" w:cs="Times New Roman" w:eastAsia="Times New Roman" w:hAnsi="Times New Roman"/>
          <w:sz w:val="20"/>
          <w:szCs w:val="20"/>
          <w:color w:val="auto"/>
        </w:rPr>
        <w:t>We generally do not have contracts with customers that require them to purchase our solutions in any certain quantity or at any certain price, and our sales could be less than we forecast if a vehicle model for which we achieved a design win is unsuccessful, including for reasons unrelated to our solutions, if an OEM decides to discontinue or reduce production of a vehicle model or of the use of our solutions in a vehicle model, or if we face downward pricing pressure. As a result, achieving design wins is not a guarantee of revenue, and our sales may not correlate with the achievement of additional design wins. For example, in the third quarter of 2024, Zeekr announced their decision to utilize their in-house system instead of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for at least a major portion of production for their 001 model going forward. Moreover, pricing estimates are made at the time of a request for quotation by an OEM, so that worsening market or other conditions between the time of a request for quotation and an order for our solutions may require us to sell our solutions for a lower price than we initially expected. Due to the global material shortage in 2021 and 2022, we worked with our customers to ensure they commit to certain volumes on an annual basis in order to secure quantities. In late 2023, we returned to our pre-global material shortage practice of having customers commit to certain volumes on a quarterly or shorter basis. However, we have not committed to supply such volumes and the volumes we supply will depend upon market conditions. We may also face pricing pressures from our customers as a result of their restructuring, consolidation, and cost-cutting initiatives or as a result of increased competition. As a particular solution matures and unit volumes increase, we also generally expect its average selling price (“ASP”) to decline. In addition, there are generally step-downs in pricing over periods of production as volumes ramp up. If we are unable to generate sufficient production cost savings or introduce solutions with additional features and functionality at higher price points to offset price reductions, then our business, results of operations, and financial condition would be adversely affected.</w:t>
      </w:r>
    </w:p>
    <w:p>
      <w:pPr>
        <w:spacing w:after="0" w:line="215" w:lineRule="exact"/>
        <w:rPr>
          <w:sz w:val="20"/>
          <w:szCs w:val="20"/>
          <w:color w:val="auto"/>
        </w:rPr>
      </w:pPr>
    </w:p>
    <w:p>
      <w:pPr>
        <w:jc w:val="both"/>
        <w:ind w:firstLine="361"/>
        <w:spacing w:after="0" w:line="259" w:lineRule="auto"/>
        <w:rPr>
          <w:sz w:val="20"/>
          <w:szCs w:val="20"/>
          <w:color w:val="auto"/>
        </w:rPr>
      </w:pPr>
      <w:r>
        <w:rPr>
          <w:rFonts w:ascii="Times New Roman" w:cs="Times New Roman" w:eastAsia="Times New Roman" w:hAnsi="Times New Roman"/>
          <w:sz w:val="19"/>
          <w:szCs w:val="19"/>
          <w:color w:val="auto"/>
        </w:rPr>
        <w:t>Furthermore, our solutions are technologically complex, incorporate many technological innovations, and are typically subject to significant safety testing, and OEMs generally must make significant commitments of resources to test and validate our solutions before including them in any particular vehicle model. The integration cycles of our solutions with new OEMs are approximately one to three years after a design win, depending on the OEM and the complexity of the solution. These integration cycles result in our investment of resources prior to realizing any revenue from a vehicle model. An OEM may choose to cancel production of the vehicle model for which we achieved the design win or cancel or postpone the vehicle model. Our ADAS and autonomous driving solutions control various vehicle functions including engine, transmission, safety, steering, navigation, acceleration, and braking and therefore must be integrated effectively with the other systems of the vehicle developed by the OEM, our Tier 1 customers, and other suppliers, and we may be unable to achieve the requisite level of interoperability in a vehicle model for our solutions to be implemented even after a design win.</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800"/>
          </w:cols>
          <w:pgMar w:left="540" w:top="1349" w:right="540" w:bottom="0" w:gutter="0" w:footer="0" w:header="0"/>
          <w:type w:val="continuous"/>
        </w:sectPr>
      </w:pPr>
    </w:p>
    <w:bookmarkStart w:id="45" w:name="page46"/>
    <w:bookmarkEnd w:id="45"/>
    <w:p>
      <w:pPr>
        <w:jc w:val="both"/>
        <w:ind w:firstLine="361"/>
        <w:spacing w:after="0" w:line="242" w:lineRule="auto"/>
        <w:rPr>
          <w:sz w:val="20"/>
          <w:szCs w:val="20"/>
          <w:color w:val="auto"/>
        </w:rPr>
      </w:pPr>
      <w:r>
        <w:rPr>
          <w:rFonts w:ascii="Times New Roman" w:cs="Times New Roman" w:eastAsia="Times New Roman" w:hAnsi="Times New Roman"/>
          <w:sz w:val="20"/>
          <w:szCs w:val="20"/>
          <w:color w:val="auto"/>
        </w:rPr>
        <w:t>In connection with our design wins, we typically receive preliminary estimates from OEMs of their anticipated production volumes for the models relating to those design wins. Those estimates may be revised significantly by the OEMs, potentially multiple times, and may not be representative of future production volumes associated with those design wins, which could be significantly higher or lower than estimated. For example, several automakers decreased their initial 2023 vehicle production projections, and we had to adjust our forecasts accordingly. Furthermore, long development cycles or vehicle model cancellations or postponements would adversely affect our business, results of operations, and financial condition. In addition, in prior periods, including during the global semi-conductor shortage in 2021 and 2022, certain Tier 1 customers increased their orders for components and parts, including our solutions, to counteract the impact of supply chain shortages for auto parts, and we expect following the abatement of such shortages, these Tier 1 customers in turn will utilize such accrued inventory on hand before placing new orders to meet the demand of OEMs in current or future periods. As a result, some demand for our solutions and the corresponding revenue from these customers were shifted to earlier time periods than otherwise would have occurred absent a general supply chain shortage and inflationary environment during prior periods. For example, as a result of our standard planning process for 2024, we became aware in late 2023 that our Tier 1 customers accrued significant excess inventory during 2021 and 2022 in a desire to avoid parts shortages, and in 2023 as a result of lower- than-expected production at certain OEMs. We estimate that our customers used the vast majority of this excess, accrued inventory in 2024 in accordance with our expectations, but there is no guarantee that orders will remain normalized or that our customers won’t build up excess inventory in the future.</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191" w:lineRule="exact"/>
        <w:rPr>
          <w:sz w:val="20"/>
          <w:szCs w:val="20"/>
          <w:color w:val="auto"/>
        </w:rPr>
      </w:pPr>
    </w:p>
    <w:p>
      <w:pPr>
        <w:jc w:val="both"/>
        <w:ind w:firstLine="359"/>
        <w:spacing w:after="0" w:line="238" w:lineRule="auto"/>
        <w:rPr>
          <w:sz w:val="20"/>
          <w:szCs w:val="20"/>
          <w:color w:val="auto"/>
        </w:rPr>
      </w:pPr>
      <w:r>
        <w:rPr>
          <w:rFonts w:ascii="Times New Roman" w:cs="Times New Roman" w:eastAsia="Times New Roman" w:hAnsi="Times New Roman"/>
          <w:sz w:val="20"/>
          <w:szCs w:val="20"/>
          <w:color w:val="auto"/>
        </w:rPr>
        <w:t>We supply OEMs with the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platform directly or through our arrangements with automotive system integrators, known as Tier 1 automotive suppliers, which are direct suppliers to OEMs. In 2024, our three largest Tier 1 customers, which were ZF, Valeo, and Aptiv, accounted for 27%, 20%, and 14%, respectively, of our revenue, compared to 30%, 24%, and 14%, respectively, in 2023. Moreover, in 2024, 15%, 15%, 11%, and 9% of our revenue was derived from the incorporation of our solutions into the vehicle models of four OEMs and a total of 78% of our revenue was derived from the incorporation of our solutions into the vehicle models of eight OEMs (including those four) through our Tier 1 customers. We have not executed written agreements with these Tier 1 customers but rather provide our solutions to such customers pursuant to standard purchase orders under our general terms and conditions, pursuant to which they are generally not obligated to purchase our solutions in any certain quantity or at any certain price. See “— There is no guarantee that our customers will purchase our solutions in any certain quantity or at any certain price even after we achieve design wins, and there may be significant delays between the time we achieve a design win until we realize revenue from the vehicle model.” Notwithstanding the foregoing, as a result of global shortages, some of our customers, including our top three Tier 1 customers, committed to purchasing minimum quantities of certain solutions in 2023. However, with the abatement of global shortages, our customers have generally reverted to our customary practice of committing to purchase quantities of our solutions on a quarterly or shorter basis.</w:t>
      </w:r>
    </w:p>
    <w:p>
      <w:pPr>
        <w:spacing w:after="0" w:line="210"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We believe our business, results of operations, and financial condition for the foreseeable future will likely continue to depend on sales to a relatively small number of Tier 1 customers and the incorporation of our solutions by a relatively small number of OEMs in their vehicle models. In the future, our current Tier 1 customers may decide not to purchase our solutions, may purchase fewer of our solutions than they did in the past, or may alter their purchasing patterns, and OEMs may discontinue incorporation of our solutions in their vehicle models, including as a result of a transition to in-house solutions or solutions provided by our competitors, or their individual or aggregate production levels may decline due to a number of factors, including supply chain challenges and macroeconomic conditions. Further, the amount of revenue attributable to any single Tier 1 customer, or our Tier 1 customer concentration generally, may fluctuate in any given period. Our customers and the OEMs that incorporate our solutions may not perform as well as the automotive market as a whole, which in turn could impact our business, results of operations, and financial condition relative to the industry. The loss of one or more key Tier 1 customers, a reduction in sales to any key Tier 1 customer, the discontinued or decreased incorporation of our solutions by a key OEM, or our inability to attract new significant Tier 1 customers and OEMs would negatively impact our revenue and adversely affect our business, results of operations, and financial condition.</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800"/>
          </w:cols>
          <w:pgMar w:left="540" w:top="1347" w:right="54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i w:val="1"/>
          <w:iCs w:val="1"/>
          <w:color w:val="auto"/>
        </w:rPr>
        <w:t>The success of our AMaaS solutions will depend on their effective deployment and operation by third parties.</w:t>
      </w:r>
    </w:p>
    <w:p>
      <w:pPr>
        <w:spacing w:after="0" w:line="238" w:lineRule="exact"/>
        <w:rPr>
          <w:sz w:val="20"/>
          <w:szCs w:val="20"/>
          <w:color w:val="auto"/>
        </w:rPr>
      </w:pPr>
    </w:p>
    <w:p>
      <w:pPr>
        <w:jc w:val="both"/>
        <w:ind w:firstLine="360"/>
        <w:spacing w:after="0" w:line="232" w:lineRule="auto"/>
        <w:rPr>
          <w:sz w:val="20"/>
          <w:szCs w:val="20"/>
          <w:color w:val="auto"/>
        </w:rPr>
      </w:pPr>
      <w:r>
        <w:rPr>
          <w:rFonts w:ascii="Times New Roman" w:cs="Times New Roman" w:eastAsia="Times New Roman" w:hAnsi="Times New Roman"/>
          <w:sz w:val="20"/>
          <w:szCs w:val="20"/>
          <w:color w:val="auto"/>
        </w:rPr>
        <w:t>The success of our AMaaS directed solutions will depend on our customers and partners, such as transportation network companies, effectively deploying and operating our solution in the future, and their failure to do so may result from factors outside our control. We are collaborating with various business-to-business and business-to-consumer channels for the purpose of deploying Mobileye Drive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As part of our business-to-business go-to-market strategy, we expect to sell and integrate Mobileye Drive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to a range of shuttle network operators and vehicle OEMs that intend to operate consumer-facing AMaaS, transportation on demand, and delivery services. Additionally, as part of our business-to-customer go-to-market strategy, we expect to deploy Mobileye Drive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-enabled AMaaS offerings by integrating them with our self-driving vehicles in partnership with transportation network companies. Such third parties may also terminate our partnerships with them. Any failures by third parties to effectively deploy and operate our AMaaS solutions, or the termination of our relationships with any such third parties, would adversely affect our business, results of operations, and financial condition.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Developing RoadBook</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depends on continued cooperation by OEMs.</w:t>
      </w:r>
    </w:p>
    <w:p>
      <w:pPr>
        <w:spacing w:after="0" w:line="180" w:lineRule="exact"/>
        <w:rPr>
          <w:sz w:val="20"/>
          <w:szCs w:val="20"/>
          <w:color w:val="auto"/>
        </w:rPr>
      </w:pPr>
    </w:p>
    <w:p>
      <w:pPr>
        <w:jc w:val="both"/>
        <w:ind w:firstLine="360"/>
        <w:spacing w:after="0" w:line="208" w:lineRule="auto"/>
        <w:rPr>
          <w:sz w:val="20"/>
          <w:szCs w:val="20"/>
          <w:color w:val="auto"/>
        </w:rPr>
      </w:pPr>
      <w:r>
        <w:rPr>
          <w:rFonts w:ascii="Times New Roman" w:cs="Times New Roman" w:eastAsia="Times New Roman" w:hAnsi="Times New Roman"/>
          <w:sz w:val="20"/>
          <w:szCs w:val="20"/>
          <w:color w:val="auto"/>
        </w:rPr>
        <w:t>The success of our Cloud-Enhanced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Mobileye Surround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Mobileye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Mobileye Chauffeur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Mobileye Drive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systems requires significant amounts of fresh mapping data from series production vehicles around the world in order to develop RoadBook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We currently have agreements in place that provide OEMs with economic benefits or technological advantages to provide us with data arriving from OEM series production vehicles, but there is no guarantee that we can keep such agreements in place or that OEMs will continue to cooperate with us. If we are not able to obtain mapping data for RoadBook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our Cloud-Enhanced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Mobileye Surround ADAS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Mobileye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Mobileye Chauffeur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Mobileye Drive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systems will not perform as expected, which would adversely affect our business, results of operations, and financial condition.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highly dependent on the services of Professor Amnon Shashua, our President and Chief Executive Officer.</w:t>
      </w:r>
    </w:p>
    <w:p>
      <w:pPr>
        <w:spacing w:after="0" w:line="23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We are highly dependent on Professor Shashua, our President and Chief Executive Officer. While Professor Shashua is highly active in our management and allocates a significant amount of time to our company, he does not devote his full time and attention to our company. For example, Professor Shashua is also the Chairman and co-founder of AI21 Labs, which works to use AI to understand and create natural language, the Co- Chairman and co-founder of OrCam, which harnesses computer vision and AI to assist the visually and hearing impaired, the Founder of One Zero Digital Bank, an entirely digital independent bank being developed in Israel, the Chairman and co-founder of Mentee Robotics, which aims to build humanoid robots, and the Sachs Chair in Computer Science at the Hebrew University of Jerusalem, where he teaches and supervises graduate students. Professor Shashua may also become involved in additional ventures from time to time. The loss of Professor Shashua, or a significant diminution in his contribution to us, would adversely affect our business, results of operations, and financial condition.</w:t>
      </w:r>
    </w:p>
    <w:p>
      <w:pPr>
        <w:spacing w:after="0" w:line="19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attract, retain, and motivate key employees, then our business, results of operations, and financial condition would be adversely affected.</w:t>
      </w:r>
    </w:p>
    <w:p>
      <w:pPr>
        <w:spacing w:after="0" w:line="165"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Hiring and retaining qualified executives, developers, engineers, technical staff, and sales representatives are critical to our business. The competition for highly skilled employees in our industry is increasingly intense. Competitors for technical talent increasingly seek to hire our employees. Changes in the interpretation and application of employment-related laws to our workforce practices may also result in increased operating costs and less flexibility in how we meet our changing workforce needs. To help attract, retain, and motivate qualified employees, we intend to use employee incentives such as share-based awards. Our employee hiring and retention also depend on our ability to build and maintain a diverse and inclusive workplace culture and be viewed as an employer of choice. If our share-based or other compensation programs and workplace culture cease to be viewed as competitive, our ability to attract, retain, and motivate employees would be weakened, which would harm our results of operations. Equity compensation has been, and will continue to be, an important part of our future compensation strategy and a significant component of our future expenses, which we expect to increase over time. Moreover, sustained declines in our stock price can reduce the retention value of our share-based awards. If we do not effectively hire, onboard, retain, and motivate key employees, then our business, results of operations, and financial condition would be adversely affected.</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800"/>
          </w:cols>
          <w:pgMar w:left="540" w:top="1350" w:right="540" w:bottom="0" w:gutter="0" w:footer="0" w:header="0"/>
          <w:type w:val="continuous"/>
        </w:sectPr>
      </w:pPr>
    </w:p>
    <w:bookmarkStart w:id="47" w:name="page48"/>
    <w:bookmarkEnd w:id="47"/>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Changes in our management team can also disrupt our business. Our management and senior leadership team has significant industry experience, and their knowledge and relationships would be difficult to replace. Leadership changes may occur from time to time, and we cannot predict whether significant resignations will occur or whether we will be able to recruit qualified personnel. In addition, the relationships and reputation that members of our management and key leadership have established and maintain with our Tier 1 customers and OEMs contribute to our ability to maintain strong relationships with key partners and to identify new business opportunities.</w:t>
      </w:r>
    </w:p>
    <w:p>
      <w:pPr>
        <w:spacing w:after="0" w:line="1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face integration risks and costs associated with companies, assets, employees, products, and technologies that we have or that we may acquire.</w:t>
      </w:r>
    </w:p>
    <w:p>
      <w:pPr>
        <w:spacing w:after="0" w:line="166"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We have in the past and, if we are presented with appropriate opportunities, we may in the future acquire or make investments in complementary companies, assets, employees, products, and technologies. We face risks, uncertainties, and disruptions associated with the integration process of any such acquisitions or investments, including difficulties in the integration of the operations of an acquired company, integration of acquired technology with our solutions, diversion of our management’s attention from other business concerns, the potential loss of key employees or customers of the acquired business, and our inability to achieve the strategic goals of such acquisitions and investments. Any failure to successfully integrate other companies, assets, employees, products, or technologies that we have or may acquire will adversely affect our business, results of operations, and financial condition. Furthermore, we may have to incur debt or issue equity securities to pay for any future acquisitions or investments, the issuance of which could be dilutive to our existing stockholder.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need to raise additional capital in the future, which may not be available on terms acceptable to us, or at all.</w:t>
      </w:r>
    </w:p>
    <w:p>
      <w:pPr>
        <w:spacing w:after="0" w:line="23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A majority of our operating expenses are for research and development activities. Our capital requirements will depend on many factors, including, but not limited to:</w:t>
      </w:r>
    </w:p>
    <w:p>
      <w:pPr>
        <w:spacing w:after="0" w:line="179" w:lineRule="exact"/>
        <w:rPr>
          <w:sz w:val="20"/>
          <w:szCs w:val="20"/>
          <w:color w:val="auto"/>
        </w:rPr>
      </w:pPr>
    </w:p>
    <w:p>
      <w:pPr>
        <w:ind w:left="720" w:hanging="360"/>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technological advancements;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market acceptance of our solutions and solution enhancements, and the overall level of sales of our solutions;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research and development expenses;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our relationships with our customers and suppliers;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control costs;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sales and marketing expenses;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enhancements to our infrastructure and systems and any capital improvements to our facilities;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acquisitions of businesses and product lines; and</w:t>
      </w:r>
    </w:p>
    <w:p>
      <w:pPr>
        <w:spacing w:after="0" w:line="252"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general economic conditions, including any remaining effects from the COVID-19 pandemic, inflation, rising interest rates, and international conflicts and their impact on the automotive industry in particular.</w:t>
      </w:r>
    </w:p>
    <w:p>
      <w:pPr>
        <w:spacing w:after="0" w:line="164"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If our capital requirements are materially different from those currently planned, we may need additional capital sooner than anticipated. If additional funds are raised through the issuance of equity or convertible debt securities, our stockholders may be diluted. Additional financing may not be available on favorable terms, on a timely basis, or at all. If adequate funds are not available or are not available on acceptable terms, we may be unable to continue our operations as planned, develop or enhance our solutions, expand our sales and marketing programs, take advantage of future opportunities, or respond to competitive pressures.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800"/>
          </w:cols>
          <w:pgMar w:left="540" w:top="1347" w:right="540" w:bottom="0" w:gutter="0" w:footer="0" w:header="0"/>
          <w:type w:val="continuous"/>
        </w:sectPr>
      </w:pPr>
    </w:p>
    <w:bookmarkStart w:id="48" w:name="page49"/>
    <w:bookmarkEnd w:id="48"/>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affected by fluctuations in currency exchange rates, including those in connection with recent inflationary trends in the United States.</w:t>
      </w:r>
    </w:p>
    <w:p>
      <w:pPr>
        <w:spacing w:after="0" w:line="166"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We are exposed to adverse as well as beneficial movements in currency exchange rates. Our functional currency is the U.S. dollar, and we incur financial expenses in connection with fluctuations in value due to foreign exchange differences between our monetary assets and liabilities denominated in New Israeli Shekels and, to a much lesser extent, the Euro, the Chinese Yuan and the Japanese Yen. Although most of our sales occur in U.S. dollars, and our financial results are reported in U.S. dollars, the payroll and other operating expenses that are denominated in New Israeli Shekels are well above half of these expenses. An increase in the value of the dollar will increase the real cost to our customers of our solutions in those markets outside the U.S. where we sell in dollars, and a weakened dollar will increase the cost of expenses such as payroll, utilities, tax, marketing expenses, and capital expenditures. In 2024, the Company initiated a foreign currency cash flow hedging program, designed to hedge the Company’s foreign exchange rate risk resulting from its ILS payroll expenses, but there is no guarantee that volatility in exchange rates will not adversely affect our business, results of operations and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historical financial information may not be representative of our results as an independent public company.</w:t>
      </w:r>
    </w:p>
    <w:p>
      <w:pPr>
        <w:spacing w:after="0" w:line="239"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The historical financial information included in this Annual Report on Form 10-K may not necessarily reflect our results of operations, financial position, and cash flows in the future or what they would have been had we been a separate, stand-alone company during the years presented. Our historical financial data presented in this report includes costs of our business, which may not, however, reflect the expenses we would have incurred as a stand-alone company for the years presented. Actual costs that may have been incurred if we had operated as a stand-alone company would depend on a number of factors, including the chosen organizational structure, the outsourcing of certain functions, and other strategic decisions. See “Item 7. Management’s Discussion and Analysis of Financial Condition and Results of Operations” and our historical financial statements and the accompanying notes included elsewhere in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a holding company.</w:t>
      </w:r>
    </w:p>
    <w:p>
      <w:pPr>
        <w:spacing w:after="0" w:line="239"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We are a holding company. Accordingly, our ability to conduct our operations, service any debt that we may incur, and pay dividends, if any, is dependent upon the earnings from the business conducted by our subsidiaries. The distribution of those earnings or advances or other distributions of funds by our subsidiaries to us, as well as our receipt of such funds, are contingent upon the earnings of our subsidiaries and are subject to various business considerations and applicable law, including the laws of Israel. If our subsidiaries are unable to make sufficient distributions or advances to us, or if there are limitations on our ability to receive such distributions or advances, we may not have the cash resources necessary to conduct our corporate operations, which could adversely affect our business, results of operations, and financial condition.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Privacy, Data, and Cybersecurity</w:t>
      </w:r>
    </w:p>
    <w:p>
      <w:pPr>
        <w:spacing w:after="0" w:line="2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Interruptions to our information technology systems and networks and cybersecurity incidents could adversely affect our business, results of operations, and financial condition.</w:t>
      </w:r>
    </w:p>
    <w:p>
      <w:pPr>
        <w:spacing w:after="0" w:line="165"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We collect and maintain information in digital form that is necessary to conduct our business, and we rely on information technology systems and networks (“IT systems”) to process, transmit, and store electronic information, and to manage or support our business and consumer facing activities. Our operations routinely involve receiving, storing, processing, and transmitting confidential or sensitive information pertaining to our business, customers, suppliers, employees, and other sensitive matters, including trade secrets, other proprietary business information, and personal information. Although we have established physical, logical, electronic, and organizational measures designed to safeguard and secure our systems to prevent a data breach or compromise, and to prevent damage to or downtime of our systems, and although we rely on commercially available systems, software, tools, and monitoring to provide security for our IT systems and the processing, transmission, and storage of digital information, we cannot guarantee that such measures will be adequate to detect, prevent, or mitigate cyber incidents. The implementation, maintenance, segregation, and improvement of these measures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800"/>
          </w:cols>
          <w:pgMar w:left="540" w:top="1349" w:right="540" w:bottom="0" w:gutter="0" w:footer="0" w:header="0"/>
          <w:type w:val="continuous"/>
        </w:sectPr>
      </w:pPr>
    </w:p>
    <w:bookmarkStart w:id="49" w:name="page50"/>
    <w:bookmarkEnd w:id="49"/>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We cannot be sure that the IT systems upon which we rely, including those of our third-party vendors or suppliers, will be effectively implemented, maintained, or expanded as planned. While cyberattacks against our third-party vendors or suppliers have not materially adversely affected us to date, future cyberattacks on such third parties may cause significant disruptions and materially adversely affect our business, results of operations, and financial condition. Additionally, any contractual protections with such third parties, including our right to indemnification, if any at all, may be limited or insufficient to prevent a negative impact on our business from such cyberattacks. Despite the implementation of preventative and detective security controls, our and such third parties’ IT systems are vulnerable to damage, shutdown, or interruption from a variety of sources, including telecommunications or network failures or interruptions, system malfunction, natural disasters, cyber-crime, terrorism, and war. Additionally, our IT systems and products may be vulnerable to malicious acts by hackers, including through use of computer viruses, malware (including ransomware), phishing attacks, or denial of service attacks.</w:t>
      </w:r>
    </w:p>
    <w:p>
      <w:pPr>
        <w:spacing w:after="0" w:line="203" w:lineRule="exact"/>
        <w:rPr>
          <w:sz w:val="20"/>
          <w:szCs w:val="20"/>
          <w:color w:val="auto"/>
        </w:rPr>
      </w:pPr>
    </w:p>
    <w:p>
      <w:pPr>
        <w:jc w:val="both"/>
        <w:ind w:firstLine="361"/>
        <w:spacing w:after="0" w:line="257" w:lineRule="auto"/>
        <w:rPr>
          <w:sz w:val="20"/>
          <w:szCs w:val="20"/>
          <w:color w:val="auto"/>
        </w:rPr>
      </w:pPr>
      <w:r>
        <w:rPr>
          <w:rFonts w:ascii="Times New Roman" w:cs="Times New Roman" w:eastAsia="Times New Roman" w:hAnsi="Times New Roman"/>
          <w:sz w:val="19"/>
          <w:szCs w:val="19"/>
          <w:color w:val="auto"/>
        </w:rPr>
        <w:t>We regularly face attempts by others to gain unauthorized access, or to introduce malicious software, to our IT systems. Individuals or organizations, including malicious hackers, state-sponsored organizations, insider threats, including employees and third- party service providers, or intruders into our physical facilities, at times may attempt to gain unauthorized access to or corrupt our IT systems, products, or services. Due to the widespread use of our solutions, we are a target for computer hackers and organizations that intend to sabotage, take control of, or otherwise corrupt our processes, solutions, and services. We are also a target for malicious attackers who attempt to gain access to our network or data centers or those of our suppliers, customers, partners, or end users, steal proprietary information related to our business, products, employees, suppliers, and customers, interrupt our infrastructure, systems, and services or those of our suppliers, customers, or others, or demand ransom to return control of such systems and services. Such attempts are increasing in number and in technical sophistication, may see enhanced effectiveness through the use of AI, and if successful, may expose us and the affected parties to risk of loss or misuse of confidential or other proprietary or commercially sensitive information, compromise personal information regarding users or employees, disrupt our business operations, and jeopardize the security of our facilities. Our IT infrastructure also includes products and services provided by third parties, and these providers may experience breaches of their systems and products that impact the security of our systems and our proprietary or confidential information.</w:t>
      </w:r>
    </w:p>
    <w:p>
      <w:pPr>
        <w:spacing w:after="0" w:line="188" w:lineRule="exact"/>
        <w:rPr>
          <w:sz w:val="20"/>
          <w:szCs w:val="20"/>
          <w:color w:val="auto"/>
        </w:rPr>
      </w:pPr>
    </w:p>
    <w:p>
      <w:pPr>
        <w:jc w:val="both"/>
        <w:ind w:firstLine="362"/>
        <w:spacing w:after="0" w:line="255" w:lineRule="auto"/>
        <w:rPr>
          <w:sz w:val="20"/>
          <w:szCs w:val="20"/>
          <w:color w:val="auto"/>
        </w:rPr>
      </w:pPr>
      <w:r>
        <w:rPr>
          <w:rFonts w:ascii="Times New Roman" w:cs="Times New Roman" w:eastAsia="Times New Roman" w:hAnsi="Times New Roman"/>
          <w:sz w:val="19"/>
          <w:szCs w:val="19"/>
          <w:color w:val="auto"/>
        </w:rPr>
        <w:t>We have experienced data breaches, cyberattacks, attempts to breach our systems, and other similar incidents, none of which have resulted in a material adverse impact to our business or operations, but there can be no guarantee we will not experience an incident that would have such an impact. Such incidents, whether or not successful, could result in our incurring significant costs related to, for example, rebuilding internal systems, writing down inventory value, implementing additional threat protection measures, providing modifications to our solutions, defending against litigation, responding to regulatory inquiries or actions, paying damages, providing customers with incentives to maintain the business relationship, or taking other remedial steps with respect to third parties, as well as reputational harm. In addition, cybersecurity threats are constantly evolving, including through the use of AI, thereby increasing the difficulty of successfully defending against them or implementing adequate preventative measures. As a result of and following the COVID-19 pandemic, remote work and remote access to our network and systems have increased significantly, which also increases our cybersecurity attack surface. There has also been an increase in cyberattack volume, frequency, and sophistication driven by the global enablement of remote workforces. We seek to detect and investigate unauthorized attempts and attacks against our network and solutions and to prevent their recurrence where practicable through changes to our internal processes and tools and changes or updates to our solutions. However, despite the implementation of preventative and detective security controls, we, and the third parties upon which we rely, remain potentially vulnerable to additional known or unknown cybersecurity threats. In some instances, we, our suppliers, our customers, and end users, can be unaware of an incident or its magnitude and effects. Even when a security breach is detected, the full extent of the breach may not be determined, and even if determined, a full investigation may require time and resources. Any actual or perceived security incident could result in, among other things, unfavorable publicity, governmental or regulatory inquiry and oversight, difficulty in marketing our services, allegations by our customers that we have not performed our contractual obligations, litigation by affected parties, including our customers, and possible financial obligations for damages related to the theft or misuse of such information or inventory, any of which would adversely affect our business, results of operations, and financial condition.</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800"/>
          </w:cols>
          <w:pgMar w:left="540" w:top="1347" w:right="540" w:bottom="0" w:gutter="0" w:footer="0" w:header="0"/>
          <w:type w:val="continuous"/>
        </w:sectPr>
      </w:pPr>
    </w:p>
    <w:bookmarkStart w:id="50" w:name="page51"/>
    <w:bookmarkEnd w:id="50"/>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Security breaches and other disruptions of our in-vehicle systems and related data could impact the safety of our end users and reduce confidence in us and our solutions.</w:t>
      </w:r>
    </w:p>
    <w:p>
      <w:pPr>
        <w:spacing w:after="0" w:line="166"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Our ADAS and autonomous driving systems contain complex information technology. These systems may affect the control of various vehicle functions including engine, transmission, safety, steering, navigation, acceleration, and braking. We have designed, implemented, and tested security and safety measures intended to prevent unauthorized access to these systems. However, hackers may attempt in the future to gain unauthorized access to modify, alter, and use such systems to gain control of, or to change, the functionality, user interface and performance characteristics of vehicles incorporating our solutions, or to gain access to data stored in or generated by the vehicle. In addition, as we transition to offering solutions that involve cloud-based solutions, including increased car connectivity and over-the-air updates, our solutions may increasingly be subject to cyber threats.</w:t>
      </w:r>
    </w:p>
    <w:p>
      <w:pPr>
        <w:spacing w:after="0" w:line="199"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19"/>
          <w:szCs w:val="19"/>
          <w:color w:val="auto"/>
        </w:rPr>
        <w:t xml:space="preserve">We also transmit and store RoadBook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data on the cloud and operate MaaS connectivity infrastructure with Amazon Web Services, and we depend on Amazon Web Services for securing their underlying infrastructure for the data stored on it. Hackers may attempt to infiltrate, steal, corrupt, or manipulate such data on the cloud, which could also result in our in-vehicle systems malfunctioning.</w:t>
      </w:r>
    </w:p>
    <w:p>
      <w:pPr>
        <w:spacing w:after="0" w:line="196"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Malicious cybersecurity attacks against our in-vehicle systems that relate to automotive safety and related data, such as the data described in the preceding sentence, could potentially lead to bodily injury or death of end users, passengers, and others. Any unauthorized access to or control of vehicles incorporating our solutions or their systems could adversely impact the safety of those vehicles or outside such vehicles, or result in legal or regulatory claims or proceedings, liability, or regulatory penalties. Moreover, current as well as new law, such as the data law in Massachusetts that permits third-party access to vehicle data and related systems, could expose our vehicle systems and vehicles incorporating our systems to third-party access without appropriate security measures in place, leading to new safety and security risks, and reducing trust and confidence in our solutions. In addition, regardless of their accuracy, reports of unauthorized access to our solutions, their systems, or data, as well as other factors that may result in the perception that our solutions, their systems, or data are capable of being hacked, could harm our reputation, and adversely affect our business, results of operations, and financial condition.</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Failures or perceived failures to comply with privacy, data protection, and information security requirements, or theft, loss, or misuse of personal information about our employees, customers, end users, or other third parties, or other information, could increase our expenses, damage our reputation, or result in legal or regulatory proceedings.</w:t>
      </w:r>
    </w:p>
    <w:p>
      <w:pPr>
        <w:spacing w:after="0" w:line="184"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The theft, loss, or misuse of personal information collected, used, stored, or transferred by us to run our business could result in significantly increased business and security costs or costs related to defending legal claims. For example, data collected by the camera of our solutions during the development cycle of a project may include personal information such as license plate numbers of other vehicles, facial features of pedestrians, appearance of individuals, GPS data, and geolocation data. We anticipate that our collection of such personal information may increase as a result of the future introduction of our MaaS solutions, including any integration of Moovit, which may provide us with access to personal information of its users, and it may increase as we enter into new or adjacent businesses. Notwithstanding our efforts to protect the security and integrity of our customers’ personal information, we may be required to expend significant resources to comply with data breach requirements if, for example, third parties improperly obtain and use the personal information of our customers, or we otherwise experience a data loss with respect to customers’ personal information. We may also be required to expend significant resources to investigate a potential data breach. A major data breach or a major breach of our network security and systems may result in fines, penalties, and damages, harm our reputation, and adversely affect our business, results of operations, and financial condition.</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800"/>
          </w:cols>
          <w:pgMar w:left="540" w:top="1349" w:right="540" w:bottom="0" w:gutter="0" w:footer="0" w:header="0"/>
          <w:type w:val="continuous"/>
        </w:sectPr>
      </w:pPr>
    </w:p>
    <w:bookmarkStart w:id="51" w:name="page52"/>
    <w:bookmarkEnd w:id="51"/>
    <w:p>
      <w:pPr>
        <w:jc w:val="both"/>
        <w:ind w:firstLine="361"/>
        <w:spacing w:after="0" w:line="242" w:lineRule="auto"/>
        <w:rPr>
          <w:sz w:val="20"/>
          <w:szCs w:val="20"/>
          <w:color w:val="auto"/>
        </w:rPr>
      </w:pPr>
      <w:r>
        <w:rPr>
          <w:rFonts w:ascii="Times New Roman" w:cs="Times New Roman" w:eastAsia="Times New Roman" w:hAnsi="Times New Roman"/>
          <w:sz w:val="20"/>
          <w:szCs w:val="20"/>
          <w:color w:val="auto"/>
        </w:rPr>
        <w:t>Data privacy is subject to frequently changing rules and regulations, which sometimes conflict among the various jurisdictions and countries in which we provide services. We are subject to a variety of local, state, national and international laws, directives, and regulations that apply to the collection, use, retention, protection, security, disclosure, transfer, and other processing of personal data in the different jurisdictions in which we operate (“Data Protection Laws”). Any failure by us or our vendors or other business partners to comply with our public privacy notice or with U.S. federal, state, local, Israeli, Chinese, or other foreign or international Data Protection Laws could result in regulatory or litigation-related actions against us, legal liability, fines, damages, ongoing audit requirements, and other significant costs. Global privacy legislation, enforcement, and policy activity in this area are rapidly expanding and creating a complex regulatory compliance environment. Because many Data Protection Laws are new or subject to recent revisions or updates, there is often little clarity as to their interpretation or best practices for compliance, as well as a lack of precedent for the scope of enforcement. Costs to comply with Data Protection Laws and implement appropriate privacy and data protection measures are significant, and may require us to change our business practices and compliance manners. Any noncompliance could adversely affect our ability to collect, analyze, and store data, expose us to significant monetary penalties, damage to our reputation, result in suspension of online services or sites in certain countries, and even result in criminal sanctions. Even our inadvertent failure to comply with Data Protection Laws could result in audits, regulatory inquiries, or proceedings against us by governmental entities or other third parties. Any inability to adequately address data privacy or data protection, or other information security-related concerns, including in each case in respect of our use of AI technologies, even if unfounded, to successfully negotiate privacy, data protection, or information security-related contractual terms with customers, or to comply and demonstrate compliance with Data Protection Laws, could result in additional cost and liability to us, harm our reputation and brand, and could adversely affect our business, results of operations, and financial condition.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 Rights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adequately protect, defend or enforce our intellectual property rights, and our efforts to do so may be costly.</w:t>
      </w:r>
    </w:p>
    <w:p>
      <w:pPr>
        <w:spacing w:after="0" w:line="238"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The success of our solutions and business depends in part on our ability to obtain patents and other intellectual property rights and to maintain adequate legal protection for our solutions in the United States and other international jurisdictions. If we are not able to adequately protect or enforce the proprietary aspects of our technology, competitors could be able to access our proprietary technology and our business, results of operations, and financial condition could be adversely affected. We currently attempt to protect our technology through a combination of patent, copyright, trademark and trade secret laws, employee and third-party nondisclosure agreements and similar means, all of which provide only limited protection. We have filed for patent and trademark registration in the United States, Israel and in certain other international jurisdictions. However, effective intellectual property protection may be unavailable in some countries where we operate or seek to enforce our intellectual property rights or more limited in foreign jurisdictions relative to those protections available in the United States, or may not be applied for in one or more relevant jurisdictions. Even if foreign patents are granted, effective enforcement in foreign countries may not be available.</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800"/>
          </w:cols>
          <w:pgMar w:left="540" w:top="1347" w:right="540" w:bottom="0" w:gutter="0" w:footer="0" w:header="0"/>
          <w:type w:val="continuous"/>
        </w:sectPr>
      </w:pPr>
    </w:p>
    <w:bookmarkStart w:id="52" w:name="page53"/>
    <w:bookmarkEnd w:id="52"/>
    <w:p>
      <w:pPr>
        <w:jc w:val="both"/>
        <w:ind w:left="4" w:firstLine="361"/>
        <w:spacing w:after="0" w:line="244" w:lineRule="auto"/>
        <w:rPr>
          <w:sz w:val="20"/>
          <w:szCs w:val="20"/>
          <w:color w:val="auto"/>
        </w:rPr>
      </w:pPr>
      <w:r>
        <w:rPr>
          <w:rFonts w:ascii="Times New Roman" w:cs="Times New Roman" w:eastAsia="Times New Roman" w:hAnsi="Times New Roman"/>
          <w:sz w:val="20"/>
          <w:szCs w:val="20"/>
          <w:color w:val="auto"/>
        </w:rPr>
        <w:t>Our issued patents and trademarks and any pending or future patent and trademark applications that may result in issuances or registrations may not provide sufficiently broad protection or may not prove to be enforceable in actions against alleged infringers. 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Failure to timely seek patent protection on products or technologies generally precludes us from seeking future patent protection on these products or technologies. Even if we do timely seek patent protection, the coverage claimed in a patent application can be significantly reduced before a patent is issued, and its scope can be reinterpreted after issuance. As a result, we may not be able to protect our proprietary rights adequately in the United States, Israel or elsewhere. Failure to adequately protect our intellectual property rights could result in our competitors offering similar products or services, potentially resulting in the loss of some of our competitive advantage and a decrease in our revenue, which would adversely affect our business, results of operations, and financial condition.</w:t>
      </w:r>
    </w:p>
    <w:p>
      <w:pPr>
        <w:spacing w:after="0" w:line="198" w:lineRule="exact"/>
        <w:rPr>
          <w:sz w:val="20"/>
          <w:szCs w:val="20"/>
          <w:color w:val="auto"/>
        </w:rPr>
      </w:pPr>
    </w:p>
    <w:p>
      <w:pPr>
        <w:jc w:val="both"/>
        <w:ind w:left="4" w:firstLine="362"/>
        <w:spacing w:after="0" w:line="256" w:lineRule="auto"/>
        <w:rPr>
          <w:sz w:val="20"/>
          <w:szCs w:val="20"/>
          <w:color w:val="auto"/>
        </w:rPr>
      </w:pPr>
      <w:r>
        <w:rPr>
          <w:rFonts w:ascii="Times New Roman" w:cs="Times New Roman" w:eastAsia="Times New Roman" w:hAnsi="Times New Roman"/>
          <w:sz w:val="19"/>
          <w:szCs w:val="19"/>
          <w:color w:val="auto"/>
        </w:rPr>
        <w:t>Despite our efforts, unauthorized parties may attempt to copy, reverse engineer, disclose, obtain, or use our technologies or systems. Our competitors may also be able to independently develop similar products or services that are competitive to ours or design around our issued patents. If third parties obtain patent protection with respect to such technologies, they may assert that our technology infringes, misappropriates or otherwise violates their patents and seek to charge us a licensing fee or otherwise preclude or make costlier the use of our technology. Litigation may be necessary in the future to enforce or defend our intellectual property rights, to prevent unauthorized parties from copying or reverse engineering our solutions, to determine the validity and scope of the proprietary rights of others or to block the importation of infringing products into the United States or other countries. We have been, and in the future may be, a party to claims and litigation as a result of alleged infringement, misappropriation or other violation by third parties of our intellectual property. Even when we sue other parties for such infringement, that suit may have adverse consequences for our business. Any such suit is likely to be time-consuming and expensive to resolve and may divert our management’s time and attention from our business, which could adversely affect our business, results of operations, and financial condition, and legal fees related to such litigation will increase our operating expenses and may reduce our net income. Any claims we assert against perceived infringers could provoke these parties to assert counterclaims against us, alleging that we infringe, misappropriate or otherwise violate their intellectual property or alleging that our intellectual property is invalid or unenforceable. Furthermore, any litigation initiated by us could result in a court or governmental agency invalidating or rendering unenforceable our patents or other intellectual property rights upon which the suit is based, which could adversely affect our business, results of operations, and financial condition.</w:t>
      </w:r>
    </w:p>
    <w:p>
      <w:pPr>
        <w:spacing w:after="0" w:line="193" w:lineRule="exact"/>
        <w:rPr>
          <w:sz w:val="20"/>
          <w:szCs w:val="20"/>
          <w:color w:val="auto"/>
        </w:rPr>
      </w:pPr>
    </w:p>
    <w:p>
      <w:pPr>
        <w:jc w:val="both"/>
        <w:ind w:left="4" w:firstLine="361"/>
        <w:spacing w:after="0"/>
        <w:rPr>
          <w:sz w:val="20"/>
          <w:szCs w:val="20"/>
          <w:color w:val="auto"/>
        </w:rPr>
      </w:pPr>
      <w:r>
        <w:rPr>
          <w:rFonts w:ascii="Times New Roman" w:cs="Times New Roman" w:eastAsia="Times New Roman" w:hAnsi="Times New Roman"/>
          <w:sz w:val="20"/>
          <w:szCs w:val="20"/>
          <w:color w:val="auto"/>
        </w:rPr>
        <w:t>In addition, we depend on licenses for certain technologies from third parties and, as a result, are dependent on these third parties to protect, defend and enforce the intellectual property rights related to those technologies. This includes an agreement with Intel in which Intel grants to us a royalty-free, nonexclusive, nontransferable, and worldwide license, sublicense, or other right, as applicable, under certain patents and patent applications of other Intel subsidiaries and certain third parties, and further includes agreements we entered into with Intel in connection with the Mobileye IPO pursuant to which we are granted limited licenses from Intel for sensitive core technology relating to radar. See “— We depend on licenses for certain technologies from third parties, some of which require us to pay royalties, and our inability to use such technologies in the future would harm our ability to remain competitive” and “Risks Related to Our Relationship with Intel and Our Dual Class Structure — We may have conflicts of interest with Intel and, because of</w:t>
      </w:r>
    </w:p>
    <w:p>
      <w:pPr>
        <w:jc w:val="both"/>
        <w:ind w:left="4" w:hanging="4"/>
        <w:spacing w:after="0" w:line="260" w:lineRule="auto"/>
        <w:tabs>
          <w:tab w:leader="none" w:pos="24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provisions in our amended and restated certificate of incorporation relating to related person transactions and corporate opportunities, (ii) agreements we have with Intel in connection with the Mobileye IPO, and (iii) Intel’s controlling beneficial ownership interest in our company, we may not be able to resolve such conflicts on terms favorable to us.”</w:t>
      </w:r>
    </w:p>
    <w:p>
      <w:pPr>
        <w:spacing w:after="0" w:line="184" w:lineRule="exact"/>
        <w:rPr>
          <w:sz w:val="20"/>
          <w:szCs w:val="20"/>
          <w:color w:val="auto"/>
        </w:rPr>
      </w:pPr>
    </w:p>
    <w:p>
      <w:pPr>
        <w:jc w:val="both"/>
        <w:ind w:left="4"/>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previously faced claims and may in the future become subject to additional claims and litigation brought by third parties alleging infringement. misappropriation or other violation by us of their intellectual property rights.</w:t>
      </w:r>
    </w:p>
    <w:p>
      <w:pPr>
        <w:spacing w:after="0" w:line="165" w:lineRule="exact"/>
        <w:rPr>
          <w:sz w:val="20"/>
          <w:szCs w:val="20"/>
          <w:color w:val="auto"/>
        </w:rPr>
      </w:pPr>
    </w:p>
    <w:p>
      <w:pPr>
        <w:jc w:val="both"/>
        <w:ind w:left="4" w:firstLine="360"/>
        <w:spacing w:after="0" w:line="250" w:lineRule="auto"/>
        <w:rPr>
          <w:sz w:val="20"/>
          <w:szCs w:val="20"/>
          <w:color w:val="auto"/>
        </w:rPr>
      </w:pPr>
      <w:r>
        <w:rPr>
          <w:rFonts w:ascii="Times New Roman" w:cs="Times New Roman" w:eastAsia="Times New Roman" w:hAnsi="Times New Roman"/>
          <w:sz w:val="20"/>
          <w:szCs w:val="20"/>
          <w:color w:val="auto"/>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addition to these patents, participants in this industry typically also protect their technology, especially embedded software, through copyrights and trade secrets. In recent years, there has been significant litigation globally involving patents and other intellectual property rights.</w:t>
      </w:r>
    </w:p>
    <w:p>
      <w:pPr>
        <w:sectPr>
          <w:pgSz w:w="11880" w:h="15480" w:orient="portrait"/>
          <w:cols w:equalWidth="0" w:num="1">
            <w:col w:w="10804"/>
          </w:cols>
          <w:pgMar w:left="536"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804"/>
          </w:cols>
          <w:pgMar w:left="536" w:top="1347" w:right="540" w:bottom="0" w:gutter="0" w:footer="0" w:header="0"/>
          <w:type w:val="continuous"/>
        </w:sectPr>
      </w:pPr>
    </w:p>
    <w:bookmarkStart w:id="53" w:name="page54"/>
    <w:bookmarkEnd w:id="53"/>
    <w:p>
      <w:pPr>
        <w:jc w:val="both"/>
        <w:ind w:firstLine="362"/>
        <w:spacing w:after="0" w:line="255" w:lineRule="auto"/>
        <w:rPr>
          <w:sz w:val="20"/>
          <w:szCs w:val="20"/>
          <w:color w:val="auto"/>
        </w:rPr>
      </w:pPr>
      <w:r>
        <w:rPr>
          <w:rFonts w:ascii="Times New Roman" w:cs="Times New Roman" w:eastAsia="Times New Roman" w:hAnsi="Times New Roman"/>
          <w:sz w:val="19"/>
          <w:szCs w:val="19"/>
          <w:color w:val="auto"/>
        </w:rPr>
        <w:t>We have previously faced claims and may in the future be subject to additional claims and litigation alleging our infringement, misappropriation or other violation of third -party patent rights, trade secret rights or other intellectual property rights, including in respect of our use of certain AI technologies, particularly as a public company with an increased profile and visibility, and as we expand our presence in the market and to new use cases and face increasing competition. In addition, in the event that we recruit employees from other technology companies, including certain potential competitors, and these employees are used in the development of solutions that are similar to the solutions they were involved in developing for their former employers, we may become subject to claims that such employees have improperly used or disclosed trade secrets or other proprietary information. We may also in the future be subject to claims by our suppliers, employees, consultants, or contractors asserting an ownership right in our patents or patent applications, as a result of the work they performed on our behalf. These claims and any resulting lawsuits, if resolved adversely to us, could subject us to significant liability for damages, impose temporary or permanent injunctions against our solutions or business operations or invalidate or render unenforceable our intellectual property. In addition, because patent applications can take many years until the patents issue, there may be applications now pending of which we are unaware, which may later result in issued patents that our solutions may infringe. If any of our solutions infringe, misappropriate or otherwise violate a third party’s patent rights, or if we wish to avoid potential intellectual property litigation on any alleged infringement, misappropriation or other violation relating to our solutions, we could be prevented from selling, or we could elect not to sell, such solutions unless we obtain additional intellectual property rights and licenses, which may involve substantial royalty or other payments and may not be available on acceptable terms or at all. Alternatively, we could be forced to redesign one or more of our solutions to avoid any infringement or allegations thereof. Procuring or developing substitute solutions that do not infringe could require significant effort and expense, and we may not be successful in any attempt to redesign our solutions to avoid any alleged infringement.</w:t>
      </w:r>
    </w:p>
    <w:p>
      <w:pPr>
        <w:spacing w:after="0" w:line="200" w:lineRule="exact"/>
        <w:rPr>
          <w:sz w:val="20"/>
          <w:szCs w:val="20"/>
          <w:color w:val="auto"/>
        </w:rPr>
      </w:pPr>
    </w:p>
    <w:p>
      <w:pPr>
        <w:spacing w:after="0" w:line="233"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9"/>
          <w:szCs w:val="19"/>
          <w:color w:val="auto"/>
        </w:rPr>
        <w:t>A successful claim of infringement, misappropriation or other violation against us, or our failure or inability to develop and implement non-infringing technology, or license the infringed intellectual property rights, on acceptable terms and on a timely basis, could materially adversely affect our business, financial condition, and results of operations. A party making such a claim, if successful, could secure a judgment that requires us to pay substantial damages or obtain an injunction. An adverse determination also could invalidate our intellectual property rights and adversely affect our ability to offer our solutions to our customers. Additionally, we may face liability to our customers, business partners or third parties for indemnification or other remedies in the event that they are sued for infringement, misappropriation or other violation in connection with their use of our solutions. We currently have a number of agreements in effect pursuant to which we have agreed to defend, indemnify, and hold harmless our customers, suppliers and other business partners from damages and costs which may arise from the infringement, misappropriation or other violation by our solutions of third-party patents or other intellectual property rights. The scope of these indemnity obligations varies, but may, in some instances, include indemnification for damages and expenses, including attorneys’ fees. Furthermore, our defense of intellectual property rights claims brought against us or our customers, business partners or other related third parties, regardless of our success, would likely be time- consuming and expensive to resolve and would divert management’s time and attention from our business, which could seriously harm our business. A claim that our solutions infringe, misappropriate or otherwise violate a third party’s intellectual property rights, even if untrue, could adversely affect our relationships with our customers or suppliers, may deter future customers from purchasing our solutions and could seriously harm our reputation with our customers or suppliers, as well as our reputation in the industry at large.</w:t>
      </w:r>
    </w:p>
    <w:p>
      <w:pPr>
        <w:spacing w:after="0" w:line="19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depend on licenses for certain technologies from third parties, some of which require us to pay royalties, and our inability to use such technologies in the future would harm our ability to remain competitive.</w:t>
      </w:r>
    </w:p>
    <w:p>
      <w:pPr>
        <w:spacing w:after="0" w:line="165"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auto"/>
        </w:rPr>
        <w:t>We integrate certain technologies developed and owned by third parties into our solutions, including the central processing unit cores of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through license and technology transfer agreements. Under these agreements, we are obligated to pay royalties for each unit of our solutions that we sell that incorporates such third-party technology. If we are unable to maintain our contractual relationships with the third-party licensors on which we depend, then we may not be able to find replacement technology to integrate into our solutions on a timely basis or for a similar royalty fee, in which case our business, results of operations, and financial condition would also be adversely affected.</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800"/>
          </w:cols>
          <w:pgMar w:left="540" w:top="1347" w:right="540" w:bottom="0" w:gutter="0" w:footer="0" w:header="0"/>
          <w:type w:val="continuous"/>
        </w:sectPr>
      </w:pPr>
    </w:p>
    <w:bookmarkStart w:id="54" w:name="page55"/>
    <w:bookmarkEnd w:id="54"/>
    <w:p>
      <w:pPr>
        <w:jc w:val="both"/>
        <w:ind w:firstLine="360"/>
        <w:spacing w:after="0"/>
        <w:rPr>
          <w:sz w:val="20"/>
          <w:szCs w:val="20"/>
          <w:color w:val="auto"/>
        </w:rPr>
      </w:pPr>
      <w:r>
        <w:rPr>
          <w:rFonts w:ascii="Times New Roman" w:cs="Times New Roman" w:eastAsia="Times New Roman" w:hAnsi="Times New Roman"/>
          <w:sz w:val="20"/>
          <w:szCs w:val="20"/>
          <w:color w:val="auto"/>
        </w:rPr>
        <w:t>We also are party to an agreement with Intel in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and we entered into agreements with Intel in connection with the Mobileye IPO in which we will have a limited license from Intel for sensitive core technology relating to radar. See “— Risks Related to Our Relationship with Intel and Our Dual Class Structure — We may have conflicts of interest with Intel and, because of (i) certain provisions in our amended and restated certificate of incorporation relating to related person transactions and corporate opportunities, (ii) agreements we have with Intel in connection with the Mobileye IPO, and</w:t>
      </w:r>
    </w:p>
    <w:p>
      <w:pPr>
        <w:spacing w:after="0" w:line="1" w:lineRule="exact"/>
        <w:rPr>
          <w:sz w:val="20"/>
          <w:szCs w:val="20"/>
          <w:color w:val="auto"/>
        </w:rPr>
      </w:pPr>
    </w:p>
    <w:p>
      <w:pPr>
        <w:ind w:left="340" w:hanging="340"/>
        <w:spacing w:after="0"/>
        <w:tabs>
          <w:tab w:leader="none" w:pos="34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Intel’s controlling beneficial ownership interest in our company, we may not be able to resolve such conflicts on terms favorable to</w:t>
      </w:r>
    </w:p>
    <w:p>
      <w:pPr>
        <w:spacing w:after="0" w:line="1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us.”</w:t>
      </w:r>
    </w:p>
    <w:p>
      <w:pPr>
        <w:spacing w:after="0" w:line="23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If we are unable to continue to use or license these technologies on reasonable terms, or if these technologies fail to operate properly, we may not be able to secure alternatives in a timely manner or at all, and our ability to remain competitive would be harmed. In addition, if we are unable to successfully license technology from third parties to develop future solutions, we may not be able to develop such solutions in a timely manner or at all. The operation or security of our solutions could be impaired if errors or other defects occur in the third-party technologies we use, and it may be more difficult for us to correct any such errors and defects in a timely manner, if at all, because the development and maintenance of these technologies is not within our control. Any impairment of the technologies or of our relationship with these third parties would adversely affect our business, results of operations, and financial condition.</w:t>
      </w:r>
    </w:p>
    <w:p>
      <w:pPr>
        <w:spacing w:after="0" w:line="18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become subject to claims for remuneration or royalties for assigned service invention rights by our employees that result in litigation, which would adversely affect our business, results of operations, and financial condition.</w:t>
      </w:r>
    </w:p>
    <w:p>
      <w:pPr>
        <w:spacing w:after="0" w:line="166"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A significant portion of our intellectual property has been developed by our employees in the course of their employment for us. Under the Israeli Patent Law, 5727-1967 (the “Patent Law”), inventions conceived by an employee in the course and as a result of his or her employment with a company are regarded as “service inventions” that belong to the employer, absent a specific agreement between the employee and employer providing otherwise. The Patent Law also provides that, in the absence of an agreement to the contrary between an employer and an employee, the Israeli Compensation and Royalties Committee (the “Committee”), a body constituted under the Patent Law, will determine whether the employee is entitled to remuneration for his or her inventions. Further, the Committee has not yet determined one specific formula for calculating this remuneration but rather uses the criteria specified in the Patent Law. Although we enter into assignment-of-invention agreements with our employees and service providers pursuant to which such individuals waive their right to remuneration for service inventions, we may face claims demanding remuneration in consideration for assigned inventions. As a consequence of such claims, we could be required to pay additional remuneration or royalties to our current and/or former employees and service providers, or be forced to litigate such claims, which would adversely affect our business, results of operations, and financial condition.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 addition to patented technology, we rely on our unpatented proprietary technology, trade secrets, processes, and know-how.</w:t>
      </w:r>
    </w:p>
    <w:p>
      <w:pPr>
        <w:spacing w:after="0" w:line="238" w:lineRule="exact"/>
        <w:rPr>
          <w:sz w:val="20"/>
          <w:szCs w:val="20"/>
          <w:color w:val="auto"/>
        </w:rPr>
      </w:pPr>
    </w:p>
    <w:p>
      <w:pPr>
        <w:jc w:val="both"/>
        <w:ind w:firstLine="361"/>
        <w:spacing w:after="0" w:line="242" w:lineRule="auto"/>
        <w:rPr>
          <w:sz w:val="20"/>
          <w:szCs w:val="20"/>
          <w:color w:val="auto"/>
        </w:rPr>
      </w:pPr>
      <w:r>
        <w:rPr>
          <w:rFonts w:ascii="Times New Roman" w:cs="Times New Roman" w:eastAsia="Times New Roman" w:hAnsi="Times New Roman"/>
          <w:sz w:val="20"/>
          <w:szCs w:val="20"/>
          <w:color w:val="auto"/>
        </w:rPr>
        <w:t>We rely on proprietary information (such as trade secrets, know-how, and confidential information) to protect intellectual property that may not be patentable and may not be subject to copyright, trademark, trade dress or service mark protection, or that we believe is best protected by means that do not require public disclosure. Such proprietary information may be owned by us or disclosed to us by our licensors, suppliers or other third parties. We generally seek to protect this proprietary information by entering into confidentiality agreements, or consulting, services or employment agreements that contain non-disclosure and non-use provisions with our employees, consultants, contractors, scientific advisors and other third parties. However, we may fail to enter into the necessary agreements, and even if entered into, these agreements may be breached or may otherwise fail to prevent disclosure, third -party infringement, misappropriation or other violation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scientific advisors and other third parties use intellectual property owned by others in their work for us, disputes may arise as to the rights in or to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800"/>
          </w:cols>
          <w:pgMar w:left="540" w:top="1347" w:right="540" w:bottom="0" w:gutter="0" w:footer="0" w:header="0"/>
          <w:type w:val="continuous"/>
        </w:sectPr>
      </w:pPr>
    </w:p>
    <w:bookmarkStart w:id="55" w:name="page56"/>
    <w:bookmarkEnd w:id="55"/>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We also rely on physical and electronic security measures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protect and enforce our intellectual property rights. The theft or unauthorized use or publication of our trade secrets and other confidential business information as a result of such an incident would affect our competitive position and adversely affect our business, results of operations, and financial condition.</w:t>
      </w:r>
    </w:p>
    <w:p>
      <w:pPr>
        <w:spacing w:after="0" w:line="1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use certain software and data governed by open-source licenses, which under certain circumstances could adversely affect our business, results of operations, and financial condition.</w:t>
      </w:r>
    </w:p>
    <w:p>
      <w:pPr>
        <w:spacing w:after="0" w:line="166" w:lineRule="exact"/>
        <w:rPr>
          <w:sz w:val="20"/>
          <w:szCs w:val="20"/>
          <w:color w:val="auto"/>
        </w:rPr>
      </w:pPr>
    </w:p>
    <w:p>
      <w:pPr>
        <w:jc w:val="both"/>
        <w:ind w:firstLine="361"/>
        <w:spacing w:after="0" w:line="257" w:lineRule="auto"/>
        <w:rPr>
          <w:sz w:val="20"/>
          <w:szCs w:val="20"/>
          <w:color w:val="auto"/>
        </w:rPr>
      </w:pPr>
      <w:r>
        <w:rPr>
          <w:rFonts w:ascii="Times New Roman" w:cs="Times New Roman" w:eastAsia="Times New Roman" w:hAnsi="Times New Roman"/>
          <w:sz w:val="19"/>
          <w:szCs w:val="19"/>
          <w:color w:val="auto"/>
        </w:rPr>
        <w:t>Certain of our software and data, as well as that of our customers and vendors, may be derived from or otherwise incorporate so-called “open source” software and data that is generally made available to the public by its authors and/or other third parties. Some open-source software is made available under licenses that impose certain obligations on us regarding modifications or derivative works we create based upon the open-source software. These obligations may require us to make source code for the derivative works available to the public and/or license such derivative works under a particular type of license, rather than the forms of license we customarily use to protect our intellectual property. Additionally, if we combine our proprietary software with open-source software in certain manners we could be required to release the source code of our proprietary software or to make our proprietary software available under open-source licenses to third parties at little or no cost or on unfavorable license terms. In the event that the copyright holder of, or other third party that distributes, open-source software alleges that we have not complied with the terms of an open-source license, we could incur significant legal costs defending ourselves against such allegations. If such claims are successful, we could be subject to significant damages, required to release the source code that we developed using that open-source software to the public, enjoined from distributing our software and/or required to take other actions that could adversely affect our business, results of operations, and financial condition.</w:t>
      </w:r>
    </w:p>
    <w:p>
      <w:pPr>
        <w:spacing w:after="0" w:line="192"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While we take steps to monitor the use of open-source software in our solutions,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 party for our solutions, processes, or technology, we could, under certain circumstances, be required to disclose the source code to our solutions, processes, or technology. This could harm our intellectual property position and adversely affect our business, results of operations, and financial condition.</w:t>
      </w:r>
    </w:p>
    <w:p>
      <w:pPr>
        <w:spacing w:after="0" w:line="194"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9"/>
          <w:szCs w:val="19"/>
          <w:color w:val="auto"/>
        </w:rPr>
        <w:t>Further, the use of open-source software can lead to vulnerabilities that may make our software susceptible to attack, and although some open-source vendors provide warranty and support agreements, it is common for such software to be available “as is” with no warranty, indemnity, or support. Although we monitor our use of such open-source code to avoid subjecting our solutions to unintended conditions, such use, under certain circumstances, could materially adversely affect our business, financial condition and operating results and cash flow, including if we are required to take remedial action that may divert resources away from our development efforts.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800"/>
          </w:cols>
          <w:pgMar w:left="540" w:top="1347" w:right="54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Risks Related to Our Industry</w:t>
      </w:r>
    </w:p>
    <w:p>
      <w:pPr>
        <w:spacing w:after="0" w:line="2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An uncertain economic environment and inflationary conditions may adversely affect global vehicle production and demand for our solutions.</w:t>
      </w:r>
    </w:p>
    <w:p>
      <w:pPr>
        <w:spacing w:after="0" w:line="165" w:lineRule="exact"/>
        <w:rPr>
          <w:sz w:val="20"/>
          <w:szCs w:val="20"/>
          <w:color w:val="auto"/>
        </w:rPr>
      </w:pPr>
    </w:p>
    <w:p>
      <w:pPr>
        <w:jc w:val="both"/>
        <w:ind w:firstLine="362"/>
        <w:spacing w:after="0" w:line="241" w:lineRule="auto"/>
        <w:rPr>
          <w:sz w:val="20"/>
          <w:szCs w:val="20"/>
          <w:color w:val="auto"/>
        </w:rPr>
      </w:pPr>
      <w:r>
        <w:rPr>
          <w:rFonts w:ascii="Times New Roman" w:cs="Times New Roman" w:eastAsia="Times New Roman" w:hAnsi="Times New Roman"/>
          <w:sz w:val="20"/>
          <w:szCs w:val="20"/>
          <w:color w:val="auto"/>
        </w:rPr>
        <w:t>Our business depends on, and is directly affected by, the global automobile industry. Economic conditions in North America, Europe and Asia can have a large impact on the production volume of new vehicles, and, accordingly, have an impact on our revenue. Automotive production and sales are highly cyclical and depend on general economic conditions and other factors, including consumer spending and preferences, changes in interest rate levels and credit availability, consumer confidence and purchasing power, energy and fuel costs, fuel availability, environmental impact, governmental incentives, regulatory requirements, and political volatility, especially in energy-producing countries and growth markets. In addition, automotive production and sales can be affected by our customers’ ability to continue operating in response to challenging economic conditions and in response to labor relations issues and shortages, supply chain disruptions, regulatory requirements, trade agreements and other factors. Furthermore, uncertain economic conditions and inflation may contribute to a reduction in consumer demand, which may reduce vehicle production over at least the next several quarters. In addition to these general economic factors, uncertainties in specific markets may further contribute to lower vehicle production. For example, the disruption by Russia of gas supplies to Western Europe could significantly impact industrial production, including vehicle production, in significant markets such as Germany. We cannot predict when the impact of these factors on global vehicle production will substantially diminish. More generally, the volume of automotive production in North America, Europe, China, and the rest of the world has fluctuated, sometimes significantly, from year to year, for many reasons, and such fluctuations give rise to fluctuations in the demand for our solutions. For example, towards the end of the first half of 2024, global automotive production forecasts weakened, which disproportionately impacted our core customers, primarily due to their continued market share losses in China. We cannot be certain of the severity and length of the continued volatility in the global automotive market, including macro-factors impacting our sales to OEMs in China, and the extent of the adverse effect that such volatility could have on our results of operations, financial condition and business in the long term. As a result, in addition to the impact of the current uncertainties that we anticipate to impact automotive production in the near term, adverse changes in economic or market conditions or other factors, including, but not limited to, general economic conditions, the bankruptcy of any of our customers or the closure of OEM manufacturing facilities may result in a reduction in automotive sales and production, and could have an adverse effect on our business, results of operations, and financial condition.</w:t>
      </w:r>
    </w:p>
    <w:p>
      <w:pPr>
        <w:spacing w:after="0" w:line="22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OEMs are unable to maintain and increase consumer acceptance of ADAS and autonomous driving technology, our business, results of operations, and financial condition would be adversely affected.</w:t>
      </w:r>
    </w:p>
    <w:p>
      <w:pPr>
        <w:spacing w:after="0" w:line="166" w:lineRule="exact"/>
        <w:rPr>
          <w:sz w:val="20"/>
          <w:szCs w:val="20"/>
          <w:color w:val="auto"/>
        </w:rPr>
      </w:pPr>
    </w:p>
    <w:p>
      <w:pPr>
        <w:jc w:val="both"/>
        <w:ind w:firstLine="361"/>
        <w:spacing w:after="0" w:line="258" w:lineRule="auto"/>
        <w:rPr>
          <w:sz w:val="20"/>
          <w:szCs w:val="20"/>
          <w:color w:val="auto"/>
        </w:rPr>
      </w:pPr>
      <w:r>
        <w:rPr>
          <w:rFonts w:ascii="Times New Roman" w:cs="Times New Roman" w:eastAsia="Times New Roman" w:hAnsi="Times New Roman"/>
          <w:sz w:val="19"/>
          <w:szCs w:val="19"/>
          <w:color w:val="auto"/>
        </w:rPr>
        <w:t>Our future operating results will depend on the ability of OEMs to maintain and increase consumer acceptance of ADAS and autonomous driving. There is no assurance that OEMs can achieve these objectives. Market acceptance of ADAS and autonomous driving depends upon many factors, including regulatory requirements, evolving safety standards, costs, and driver preferences. Market acceptance of ADAS and autonomous driving may also be adversely affected by safety incidents involving ADAS and autonomous driving solutions, even if the incidents do not involve our solutions. We cannot be sure that ADAS and autonomous driving will achieve market acceptance on a timeline that is consistent with our expectations or development and production plans. Market acceptance of our solutions also depends on the ability of market participants, including Mobileye, to resolve technical challenges for increasingly complex ADAS and autonomous driving technology in a timely and cost-effective manner. Consumers will also need to be made aware of the advantages of our solutions, such as the advantages of our offerings compared to competing technologies, specifically those that rely solely on either cameras or lidar and radar. If consumer acceptance of ADAS and autonomous driving technology does not increase, our business, results of operations, and financial condition would be adversely affected.</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800"/>
          </w:cols>
          <w:pgMar w:left="540" w:top="1345" w:right="54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auto"/>
        </w:rPr>
        <w:t>Regulatory and Compliance Risks</w:t>
      </w:r>
    </w:p>
    <w:p>
      <w:pPr>
        <w:spacing w:after="0" w:line="2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a variety of laws and regulations that affect our operations and that could adversely affect our business, results of operations, and financial condition.</w:t>
      </w:r>
    </w:p>
    <w:p>
      <w:pPr>
        <w:spacing w:after="0" w:line="165" w:lineRule="exact"/>
        <w:rPr>
          <w:sz w:val="20"/>
          <w:szCs w:val="20"/>
          <w:color w:val="auto"/>
        </w:rPr>
      </w:pPr>
    </w:p>
    <w:p>
      <w:pPr>
        <w:jc w:val="both"/>
        <w:ind w:firstLine="362"/>
        <w:spacing w:after="0" w:line="243" w:lineRule="auto"/>
        <w:rPr>
          <w:sz w:val="20"/>
          <w:szCs w:val="20"/>
          <w:color w:val="auto"/>
        </w:rPr>
      </w:pPr>
      <w:r>
        <w:rPr>
          <w:rFonts w:ascii="Times New Roman" w:cs="Times New Roman" w:eastAsia="Times New Roman" w:hAnsi="Times New Roman"/>
          <w:sz w:val="20"/>
          <w:szCs w:val="20"/>
          <w:color w:val="auto"/>
        </w:rPr>
        <w:t>We are subject to laws and regulations worldwide that affect our operations and that differ among jurisdictions, including automotive safety regulations, regulations governing autonomous driving technology, AI technologies, intellectual property ownership and infringement laws, tax laws, import and export regulations, anti-corruption laws, foreign exchange controls and cash repatriation restrictions, data privacy laws, competition laws, advertising regulations, employment laws, product regulations, environmental laws, health and safety requirements, consumer laws and national security laws. Compliance with such requirements can be onerous and expensive, and may otherwise adversely affect our business, results of operations, and financial condition. Further, autonomous driving and AI technologies are the subject of evolving review by various federal, state and foreign governmental and regulatory agencies, including the SEC and U.S. Federal Trade Commission. For example, in Europe, the European Union’s Artificial Intelligence Act, which establishes, among other things, a risk-based governance framework for regulating AI systems operating in the European Union, entered into force on August 1, 2024. Various U.S. states and foreign jurisdictions also are applying, or are considering applying, their cybersecurity and data protection laws to AI technologies. As a result of the complexity and rapid development of autonomous vehicles (including the use of AI technologies in connection with their development), it is not possible to predict all of the legal, operational or technological risks related to our development of these technologies or our use of certain tools in connection therewith. Changes in laws and regulations governing autonomous vehicles and the use of certain technologies, such as AI, may adversely affect the ability of our business to develop and use such technologies in the future.</w:t>
      </w:r>
    </w:p>
    <w:p>
      <w:pPr>
        <w:spacing w:after="0" w:line="198"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Although we have policies, controls, and procedures designed to help ensure compliance with applicable laws, there can be no assurance that our employees, contractors, suppliers, or agents will not violate such laws or our policies. There may also be laws and regulations that limit the functionality of our solutions or require us to adapt our solutions to retain functionality. For example, the regulatory environment in China creates challenges for the proliferation of our solutions in that market. Due to regulations there, we also depend on our partners in China in order to collect, analyze and transmit data, and such partners may choose to cease, or be unable to, continue cooperating with us. Other countries have, or may implement, similar restrictions. Violations of these laws and regulations can result in fines, criminal sanctions against us, our officers, or our employees, prohibitions on the conduct of our business and damage to our reputation. The automotive and technology industries are subject to intense media, political, and regulatory scrutiny, which can increase our exposure to government investigations, legal actions, and penalties.</w:t>
      </w:r>
    </w:p>
    <w:p>
      <w:pPr>
        <w:spacing w:after="0" w:line="19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business, results of operations, and financial condition may be adversely affected by changes in automotive safety regulations or concerns that drive regulations that increase our costs or delay or halt adoption of our solutions.</w:t>
      </w:r>
    </w:p>
    <w:p>
      <w:pPr>
        <w:spacing w:after="0" w:line="165"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There are a variety of international, foreign, federal, and state regulations that apply to vehicle safety that could affect the marketability of our solutions. Regulations relating to autonomous driving include many existing vehicle standards that were not originally intended to apply to vehicles that may not have a human driver, and autonomous driving may never be globally approved. The expected launch of our AMaaS solutions in many jurisdictions remains subject to regulatory review and approvals, and the regulatory standards relating to AMaaS are still developing and remain subject to substantial uncertainty. There has been relatively little mandatory government regulation of the self-driving industry to date. Currently, there are no Federal Motor Vehicle Safety Standards that relate to the performance of self-driving technology and no widely accepted uniform standards to certify self-driving technology and its commercial use on public roads. It is also possible that future self-driving regulations are not standardized, and our technology could become subject to differing regulations across jurisdictions. For example, in Europe, certain vehicle safety regulations apply to automated braking and steering systems, and certain treaties also restrict the legality of certain higher levels of automation, while certain U.S. states have legal restrictions on automation that many other states are also considering. Such regulations continue to rapidly change, which increases the likelihood of varying complex or conflicting regulations or may limit global adoption, impede our strategy, or negatively impact our long-term expectations for our investments in these areas.</w:t>
      </w:r>
    </w:p>
    <w:p>
      <w:pPr>
        <w:spacing w:after="0" w:line="204"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Government safety regulations are subject to change based on a number of factors that are not within our control, including new scientific or technological data, adverse publicity regarding the industry, recalls, concerns regarding safety risks of autonomous driving and ADAS, accidents involving our solutions or those of our competitors, domestic and foreign political developments or considerations and litigation relating to our solutions and our competitors’ products. Changes in government regulations, especially those relating to ADAS and autonomous driving, could adversely affect our business, results of operations, and financial condition.</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800"/>
          </w:cols>
          <w:pgMar w:left="540" w:top="1345" w:right="540" w:bottom="0" w:gutter="0" w:footer="0" w:header="0"/>
          <w:type w:val="continuous"/>
        </w:sectPr>
      </w:pPr>
    </w:p>
    <w:bookmarkStart w:id="58" w:name="page59"/>
    <w:bookmarkEnd w:id="58"/>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Regulations governing the automotive industry impose stringent compliance and reporting requirements in response to product recalls and safety issues in the automotive industry, including a duty to report, subject to strict timing requirements, safety defects with, or reports of injuries relating to, our solutions and requirements that a manufacturer recall and repair vehicles that contain safety defects or fail to comply with applicable safety standards. If we do not rapidly address any safety concerns or defects involving our solutions, our business, results of operations, and financial condition would be adversely affected.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related to trade policies, sanctions, and import and export controls.</w:t>
      </w:r>
    </w:p>
    <w:p>
      <w:pPr>
        <w:spacing w:after="0" w:line="23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Trade policies and international disputes at times result in increased tariffs, trade barriers and other restrictions, which can increase our manufacturing costs, make our solutions less competitive, reduce demand for our solutions, limit our ability to sell to certain customers, limit our ability to procure components or raw materials or impede or slow the movement of our goods across borders. Increasing protectionism and economic nationalism may lead to further changes in trade policies and regulations, domestic sourcing initiatives, or other formal and informal measures.</w:t>
      </w:r>
    </w:p>
    <w:p>
      <w:pPr>
        <w:spacing w:after="0" w:line="192"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Likewise, national security and foreign policy concerns may prompt governments to impose trade or other restrictions, which could make it more difficult to sell our solutions in, or restrict our access to, certain markets. In this regard, our business activities are subject to various trade and economic sanctions laws and regulations, including, without limitation, the U.S. Department of the Treasury’s Office of Foreign Assets Control’s sanctions programs and the Export Administration Regulations issued by the U.S. Department of Commerce. These rules may prohibit or restrict our ability to, directly or indirectly, conduct activities or dealings in or with certain countries or involving certain persons, or otherwise affect our business. New measures imposed by the United States, the European Union, or others could restrict certain of our operations and adversely affect our business, results of operations, and financial condition, including for example the controls announced by BIS in January 2025 on advanced computing chips and certain closed AI model weights. Although we take steps to comply with applicable laws and regulations, our failure to successfully comply with applicable sanctions or export control rules may expose us to negative legal and business consequences, including civil or criminal penalties and government investigations.</w:t>
      </w:r>
    </w:p>
    <w:p>
      <w:pPr>
        <w:spacing w:after="0" w:line="19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In particular, in response to Russia’s invasion of Ukraine, the United States, the European Union, and several other countries have imposed far-reaching sanctions and export control restrictions on Russian entities and individuals. See “— The current conflict between Ukraine and Russia has exacerbated market instability and disrupted the global economy.”</w:t>
      </w:r>
    </w:p>
    <w:p>
      <w:pPr>
        <w:spacing w:after="0" w:line="186" w:lineRule="exact"/>
        <w:rPr>
          <w:sz w:val="20"/>
          <w:szCs w:val="20"/>
          <w:color w:val="auto"/>
        </w:rPr>
      </w:pPr>
    </w:p>
    <w:p>
      <w:pPr>
        <w:jc w:val="both"/>
        <w:ind w:firstLine="361"/>
        <w:spacing w:after="0" w:line="242" w:lineRule="auto"/>
        <w:rPr>
          <w:sz w:val="20"/>
          <w:szCs w:val="20"/>
          <w:color w:val="auto"/>
        </w:rPr>
      </w:pPr>
      <w:r>
        <w:rPr>
          <w:rFonts w:ascii="Times New Roman" w:cs="Times New Roman" w:eastAsia="Times New Roman" w:hAnsi="Times New Roman"/>
          <w:sz w:val="20"/>
          <w:szCs w:val="20"/>
          <w:color w:val="auto"/>
        </w:rPr>
        <w:t>Additionally, tensions between the United States and China have led to increased tariffs and trade restrictions, including tariffs applicable to some of our solutions, and have affected customer ordering patterns. In addition to imposing economic sanctions on certain Chinese individuals and entities, the United States has imposed restrictions on the export of U.S.-regulated products and technology to certain Chinese technology companies. For example, the United States has enacted, and subsequently updated, controls on certain transactions involving items for semiconductor manufacturing end uses and advanced computing integrated circuits destined for China. Most recently, BIS adopted final rules in January 2025 prohibiting certain transactions involving the sale or import of connected vehicles integrating specific hardware or software with a sufficient nexus to China or Russia. Conversely, the People’s Republic of China has implemented a series of industrial policies and other measures, including its “Made in China 2025” policy, to incentivize the development and growth of key industries domestically, such as robotics, aerospace and semiconductors, and to reduce reliance on foreign technology. These policies have also extended to ADAS and autonomous vehicle technologies, which has led to Chinese OEMs and other businesses choosing solutions from our Chinese competitors rather than our products, despite any competitive advantage our products may have in respect of price and/or performance. Although we do not believe that these recent controls and industrial policies will materially impede our ability to conduct our business, there can be no assurance that these or future restrictions would not materially adversely affect our financial performance. We derive significant revenue from China. In 2024 and 2023, we derived approximately 26% and 31% respectively, of our revenue from shipments of products to China. It is difficult to predict what further trade-related actions governments may take, which may include trade restrictions and additional or increased tariffs and export controls imposed on short notice, and we may be unable to quickly and effectively react to or mitigate such actions.</w:t>
      </w:r>
    </w:p>
    <w:p>
      <w:pPr>
        <w:spacing w:after="0" w:line="20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Trade disputes and protectionist measures, or continued uncertainty about such matters, could result in declining consumer confidence and slowing economic growth or recession, and could cause our customers to reduce, cancel, or alter the timing of their purchases with us. Sustained geopolitical tensions could lead to long-term changes in global trade and technology supply chains, and decoupling of global trade networks, which could adversely affect our business, results of operations, and financial condition.</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800"/>
          </w:cols>
          <w:pgMar w:left="540" w:top="1347" w:right="540" w:bottom="0" w:gutter="0" w:footer="0" w:header="0"/>
          <w:type w:val="continuous"/>
        </w:sectPr>
      </w:pPr>
    </w:p>
    <w:bookmarkStart w:id="59" w:name="page60"/>
    <w:bookmarkEnd w:id="59"/>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Given our international supply chain and distribution, we are subject to import and export laws of multiple countries. Failure to comply with the requirements of such laws may lead to the imposition of additional taxes or duties on imports or exports, fines, or penalties.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current conflict between Ukraine and Russia has exacerbated market instability and disrupted the global economy.</w:t>
      </w:r>
    </w:p>
    <w:p>
      <w:pPr>
        <w:spacing w:after="0" w:line="238"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The current conflict between Ukraine and Russia has caused uncertainty about economic and political stability, increasing volatility in the credit and financial markets and disrupting the global economy. The United States, the European Union, and several other countries have imposed far-reaching sanctions and export control restrictions on Russian entities and individuals, including for example recent additional sanctions imposed by the European Union under Article 12g of Council Regulation (EU) No 833/2014. These measures could constrain our ability to work with Russian companies or individuals in connection with the development of our solutions in the future. These sanctions and export controls may also contribute to higher oil and gas prices and inflation, which could reduce demand in the global automotive sector and therefore reduce demand for our solutions. There is also a risk that Russia, as a retaliatory action to sanctions, may launch cyberattacks against the United States, the European Union, or other countries or their infrastructures and businesses. Additional consequences of the conflict may include diminished liquidity and credit availability, declines in consumer confidence, declines in economic growth, and various shortages and supply chain disruptions. While we do not currently directly rely on goods or services sourced in Russia or Ukraine and thus have not experienced any direct disruptions, we may experience indirect disruptions in our supply chain. Any of the foregoing factors, including developments or effects that we cannot yet predict, may adversely affect our business, results of operations, and financial condition.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Operations in Israel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Conditions in Israel affect our operations and may limit our ability to produce and sell our solutions.</w:t>
      </w:r>
    </w:p>
    <w:p>
      <w:pPr>
        <w:spacing w:after="0" w:line="239" w:lineRule="exact"/>
        <w:rPr>
          <w:sz w:val="20"/>
          <w:szCs w:val="20"/>
          <w:color w:val="auto"/>
        </w:rPr>
      </w:pPr>
    </w:p>
    <w:p>
      <w:pPr>
        <w:jc w:val="both"/>
        <w:ind w:firstLine="362"/>
        <w:spacing w:after="0" w:line="255" w:lineRule="auto"/>
        <w:rPr>
          <w:sz w:val="20"/>
          <w:szCs w:val="20"/>
          <w:color w:val="auto"/>
        </w:rPr>
      </w:pPr>
      <w:r>
        <w:rPr>
          <w:rFonts w:ascii="Times New Roman" w:cs="Times New Roman" w:eastAsia="Times New Roman" w:hAnsi="Times New Roman"/>
          <w:sz w:val="19"/>
          <w:szCs w:val="19"/>
          <w:color w:val="auto"/>
        </w:rPr>
        <w:t>Although we are incorporated under the laws of the State of Delaware, our headquarters and research and development center are located in the State of Israel, and as of December 28, 2024, substantially all of our equipment and tangible long-lived assets were located in Israel. Many of our employees, including certain members of our management, operate from our offices that are located in Jerusalem, Israel. In addition, a number of our officers and directors are residents of Israel. Accordingly, political, economic, and military conditions in Israel and the surrounding region may directly affect our business and operations.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On October 7, 2023, Hamas launched a series of attacks on civilian and military targets in Southern and Central Israel, to which the Israel Defense Forces have responded. In addition, both Hezbollah and the Houthi movement have attacked military and civilian targets in Israel, to which Israel has responded, including through increased air and ground operations in Lebanon. In addition, the Houthi movement has attacked international shipping lanes in the Red Sea. Further, on April 13, 2024 and October 1, 2024, Iran launched a series of drone and missile strikes against Israel, to which Israel has responded. How long and how severe the current conflict in Gaza, Northern Israel, Lebanon or the broader region becomes is unknown at this time and any continued clash among Israel, Hamas, Hezbollah, Iran or other countries or militant groups in the region may escalate in the future into a greater regional conflict. To date our operations have not been materially affected, although as of January 31, 2025 approximately 3.7% of our employees have been called to reserve duty in the Israel Defense Forces. However, any hostilities involving Israel, regional geopolitical instability or the interruption or curtailment of trade or diplomatic relations between Israel and its trading partners as a result thereof could adversely affect our business, results of operations, and financial condition.</w:t>
      </w:r>
    </w:p>
    <w:p>
      <w:pPr>
        <w:spacing w:after="0" w:line="201"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Our commercial insurance does not cover losses that may occur as a result of events associated with war and terrorism in Israel. Although the Israeli government currently covers the reinstatement value of certain direct damages that are caused by terrorist attacks or acts of war, such coverage would likely be limited, may not be applicable to our business and may not reinstate our loss of revenue or economic losses more generally. Furthermore,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business, results of operations, and financial condition. Furthermore, depending on developments in the region, it may become difficult, or impossible, to renew or purchase appropriate policies pursuant to reasonable commercial terms, or insurers may condition coverage on our acceptance of certain limitations or exclusions.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800"/>
          </w:cols>
          <w:pgMar w:left="540" w:top="1347" w:right="540" w:bottom="0" w:gutter="0" w:footer="0" w:header="0"/>
          <w:type w:val="continuous"/>
        </w:sectPr>
      </w:pPr>
    </w:p>
    <w:bookmarkStart w:id="60" w:name="page61"/>
    <w:bookmarkEnd w:id="60"/>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Further, in the past, the State of Israel and Israeli companies have been subjected to economic boycotts. Several countries still restrict doing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 results of operations, and financial condition.</w:t>
      </w:r>
    </w:p>
    <w:p>
      <w:pPr>
        <w:spacing w:after="0" w:line="1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operations may be disrupted by the obligations of personnel to perform military service as a result of current or future military actions involving Israel.</w:t>
      </w:r>
    </w:p>
    <w:p>
      <w:pPr>
        <w:spacing w:after="0" w:line="165"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Some of our employees in Israel are obligated to perform annual reserve duty in the Israeli military for several days, and in some cases more, of annual military reserve duty each year until they reach the age of 40 (or older, for reservists who are military officers or who have certain occupations) and are subject to being called for additional active duty under emergency circumstances. In response to increased tension and hostilities, there have been occasional call-ups of military reservists, and it is possible that there will be additional call-ups in the future. For example, as a result of Israel’s current war against Hamas in the Gaza Strip and tensions with Hezbollah in northern Israel, as of January 31, 2025 approximately 3.7% of our employees have been called to reserve duty in the Israel Defense Forces. To date, our operations have not been materially affected. See “— Conditions in Israel affect our operations and may limit our ability to produce and sell our solutions.”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 and our business, results of operations, and financial condition could be adversely affected.</w:t>
      </w:r>
    </w:p>
    <w:p>
      <w:pPr>
        <w:spacing w:after="0" w:line="20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tax benefits that are available to us under Israeli law require us to meet various conditions and may be terminated or reduced in the future, which could increase our costs and taxes.</w:t>
      </w:r>
    </w:p>
    <w:p>
      <w:pPr>
        <w:spacing w:after="0" w:line="166"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We believe that our Israeli subsidiary is eligible for certain tax benefits provided to a “Special Preferred Technology Enterprise” under the Israeli Law for the Encouragement of Capital Investments, 1959, and its regulations, as amended (the “Investment Law”), including, inter alia, a reduced corporate tax rate of 6% on Israeli preferred technology taxable income, as defined in the Investment Law. In order to remain eligible for the tax benefits for a Special Preferred Technology Enterprise, our Israeli subsidiary must continue to meet certain conditions stipulated in the Investment Law and its regulations, as amended. For example, a Special Preferred Technology Enterprise must be part of a group of companies with aggregate annual revenue of at least 10 billion New Israeli Shekels. If Intel does not maintain sufficient holdings in us so that we are a consolidated group with Intel, and if we do not otherwise meet the revenue requirement as a standalone company, we would no longer meet the consolidated group income requirement to maintain our status as a Special Preferred Technology Enterprise and would instead be considered a Preferred Technology Enterprise, resulting in a higher effective corporate tax rate in Israel. If we fail to meet certain additional conditions stipulated in the Investment Law, including a minimal amount or ratio of annual research and development expenditures and research and development employees, as well as having at least 25% of our annual income derived from exports, we would also lose our status as a Preferred Technology Enterprise, resulting in an even higher effective corporate tax rate in Israel. Additionally, if our Israeli subsidiary increases its activities outside of Israel through acquisitions, then its expanded activities might not be eligible for inclusion in future Israeli tax benefit programs.</w:t>
      </w:r>
    </w:p>
    <w:p>
      <w:pPr>
        <w:spacing w:after="0" w:line="20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It may be difficult to enforce a U.S. judgment against our officers and directors, or to assert U.S. securities laws claims in Israel or serve process on our non-U.S. officers and directors.</w:t>
      </w:r>
    </w:p>
    <w:p>
      <w:pPr>
        <w:spacing w:after="0" w:line="165" w:lineRule="exact"/>
        <w:rPr>
          <w:sz w:val="20"/>
          <w:szCs w:val="20"/>
          <w:color w:val="auto"/>
        </w:rPr>
      </w:pPr>
    </w:p>
    <w:p>
      <w:pPr>
        <w:jc w:val="both"/>
        <w:ind w:firstLine="361"/>
        <w:spacing w:after="0" w:line="258" w:lineRule="auto"/>
        <w:rPr>
          <w:sz w:val="20"/>
          <w:szCs w:val="20"/>
          <w:color w:val="auto"/>
        </w:rPr>
      </w:pPr>
      <w:r>
        <w:rPr>
          <w:rFonts w:ascii="Times New Roman" w:cs="Times New Roman" w:eastAsia="Times New Roman" w:hAnsi="Times New Roman"/>
          <w:sz w:val="19"/>
          <w:szCs w:val="19"/>
          <w:color w:val="auto"/>
        </w:rPr>
        <w:t>Not all of our directors or officers are residents of the United States, and most of their and our assets are located outside the United States. Service of process upon our non-U.S. resident directors and officers and enforcement of judgments obtained in the United States against us or our non-U.S. our directors and officers may be difficult to obtain within the United States. Additionally,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then the content of applicable U.S. law must be proved as a fact, which can be a time-consuming and costly process. Certain matters of procedure will also be governed by Israeli law. There is little binding case law in Israel addressing the matters described above. Additionally, Israeli courts might not enforce judgments rendered outside Israel, which may make it difficult to collect on judgments rendered against us or our non-U.S. officers and directors.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800"/>
          </w:cols>
          <w:pgMar w:left="540" w:top="1347" w:right="540" w:bottom="0" w:gutter="0" w:footer="0" w:header="0"/>
          <w:type w:val="continuous"/>
        </w:sectPr>
      </w:pPr>
    </w:p>
    <w:bookmarkStart w:id="61" w:name="page62"/>
    <w:bookmarkEnd w:id="61"/>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Moreover, an Israeli court will not enforce a non -Israeli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Relationship with Intel and our Dual Class Structure</w:t>
      </w:r>
    </w:p>
    <w:p>
      <w:pPr>
        <w:spacing w:after="0" w:line="2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The dual class structure of our common stock has the effect of concentrating voting control with Intel, and Intel will beneficially own shares of our Class B common stock, representing a majority of the shares of our common stock and approximately 98.6% of the voting power of our outstanding common stock as of December 28, 2024. This will limit or preclude your ability to influence corporate matters.</w:t>
      </w:r>
    </w:p>
    <w:p>
      <w:pPr>
        <w:spacing w:after="0" w:line="189"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Our Class B common stock has ten votes per share, and our Class A common stock has one vote per share. Because of the 10-to-1 voting ratio between our Class B common stock and our Class A common stock, Intel, which is the beneficial holder of 711,500,000 shares of Class B common stock, beneficially owns approximately 98.6% of the voting power of our outstanding common stock as of December 28, 2024. Because Intel beneficially holds significantly more than a majority of the combined voting power of our common stock, it is able to control all matters submitted to our stockholders for approval.</w:t>
      </w:r>
    </w:p>
    <w:p>
      <w:pPr>
        <w:spacing w:after="0" w:line="192"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As a result, for the foreseeable future, Intel will have significant influence over the management and affairs of our company and over the outcome of all matters submitted to our stockholders for approval, including the election of directors and significant corporate transactions, such as a merger, consolidation, or sale of substantially all of our assets, even if its stock holdings will be significantly diluted to represent less than 50% of the outstanding shares of our common stock. In addition, this may prevent or discourage unsolicited acquisition proposals or offers for our common stock that you may feel are in your best interest as one of our stockholders. Intel may have interests that differ from yours and may vote in a way with which you disagree, and which may be adverse to your interests. This control, including any negative perception by shareholders of Intel or its actions, may adversely affect the trading price of our Class A common stock.</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a “controlled company” within the meaning of the corporate governance standards of Nasdaq. As a result, we qualify for, and intend to rely on, exemptions from certain corporate governance standards. You will not have the same protections afforded to stockholders of companies that are subject to all corporate governance requirements of Nasdaq.</w:t>
      </w:r>
    </w:p>
    <w:p>
      <w:pPr>
        <w:spacing w:after="0" w:line="184"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So long as more than 50% of the voting power for the election of our directors is held by an individual, a group or another company, we will qualify as a “controlled company” under listing requirements of Nasdaq. Intel beneficially holds a majority of the voting power of our outstanding common stock. As a result, we are a “controlled company” under the Nasdaq rules. As a controlled company, we will be exempt from certain Nasdaq corporate governance requirements, and we intend to continue to rely on such exemptions, including those that would otherwise require our Board of Directors to have a majority of independent directors and require that we establish a compensation committee and nominating committee comprised entirely of independent directors, or otherwise ensure that the compensation of our executive officers and nominees for directors are determined or recommended to our Board of Directors by the independent members of our Board. To the extent we continue to rely on one or more of these exemptions, holders of our Class A common stock will not have the same protections afforded to stockholders of companies that are subject to all of the corporate governance requirements of Nasdaq.</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dual class structure may depress the trading price of our Class A common stock.</w:t>
      </w:r>
    </w:p>
    <w:p>
      <w:pPr>
        <w:spacing w:after="0" w:line="238"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 indices. In addition, several stockholder advisory firms have announced their opposition to the use of multiple class structures. As a result, the dual class structure of our common stock may prevent the inclusion of our Class A common stock in these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0800"/>
          </w:cols>
          <w:pgMar w:left="540" w:top="1347" w:right="540" w:bottom="0" w:gutter="0" w:footer="0" w:header="0"/>
          <w:type w:val="continuous"/>
        </w:sectPr>
      </w:pPr>
    </w:p>
    <w:bookmarkStart w:id="62" w:name="page63"/>
    <w:bookmarkEnd w:id="62"/>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Any actions or publications by stockholder advisory firms critical of our corporate governance practices or capital structure could also adversely affect the value of our Class A common stock.</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may have conflicts of interest with Intel and, because of (i) certain provisions in our amended and restated certificate of incorporation relating to related person transactions and corporate opportunities, (ii) agreements we entered into with Intel in connection with the Mobileye IPO, and (iii) Intel’s controlling beneficial ownership interest in our company, we may not be able to resolve such conflicts on terms favorable to us.</w:t>
      </w:r>
    </w:p>
    <w:p>
      <w:pPr>
        <w:spacing w:after="0" w:line="19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Conflicts of interest may arise between Intel and us in a number of areas relating to our ongoing relationship. Potential conflicts of interest that we have identified include, but are not limited to, the following:</w:t>
      </w:r>
    </w:p>
    <w:p>
      <w:pPr>
        <w:spacing w:after="0" w:line="177" w:lineRule="exact"/>
        <w:rPr>
          <w:sz w:val="20"/>
          <w:szCs w:val="20"/>
          <w:color w:val="auto"/>
        </w:rPr>
      </w:pPr>
    </w:p>
    <w:p>
      <w:pPr>
        <w:jc w:val="both"/>
        <w:ind w:firstLine="360"/>
        <w:spacing w:after="0" w:line="249"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Certain of our directors may have conflicts of interest</w:t>
      </w:r>
      <w:r>
        <w:rPr>
          <w:rFonts w:ascii="Times New Roman" w:cs="Times New Roman" w:eastAsia="Times New Roman" w:hAnsi="Times New Roman"/>
          <w:sz w:val="20"/>
          <w:szCs w:val="20"/>
          <w:color w:val="auto"/>
        </w:rPr>
        <w:t>. Each of Patrick Bombach, Christine Pambianchi, and Saf Yeboah-Amankwah serves both as our director and in a senior management role at Intel. In addition, Frank D. Yeary serves both as our director and as Interim Executive Chair and a director of Intel. Such directors owe fiduciary duties to our company pursuant to Delaware law, but these relationships could create, or appear to create, conflicts of interest when these persons are faced with decisions with potentially different implications for Intel and us.</w:t>
      </w:r>
    </w:p>
    <w:p>
      <w:pPr>
        <w:spacing w:after="0" w:line="211" w:lineRule="exact"/>
        <w:rPr>
          <w:rFonts w:ascii="Arial" w:cs="Arial" w:eastAsia="Arial" w:hAnsi="Arial"/>
          <w:sz w:val="20"/>
          <w:szCs w:val="20"/>
          <w:color w:val="auto"/>
        </w:rPr>
      </w:pPr>
    </w:p>
    <w:p>
      <w:pPr>
        <w:jc w:val="both"/>
        <w:ind w:firstLine="360"/>
        <w:spacing w:after="0" w:line="261" w:lineRule="auto"/>
        <w:tabs>
          <w:tab w:leader="none" w:pos="721"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Sale of shares of our common stock</w:t>
      </w:r>
      <w:r>
        <w:rPr>
          <w:rFonts w:ascii="Times New Roman" w:cs="Times New Roman" w:eastAsia="Times New Roman" w:hAnsi="Times New Roman"/>
          <w:sz w:val="19"/>
          <w:szCs w:val="19"/>
          <w:color w:val="auto"/>
        </w:rPr>
        <w:t>. Intel may decide to sell all or a portion of our shares that it holds to a third party, including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one of our competitors, thereby giving that third-party substantial influence over our business and our affairs and possibly depressing the trading price of our Class A common stock. Such a sale could be in conflict with your interests. Prior to any such time as our Class B common stock is distributed to security holders of Intel in a transaction (including any distribution in exchange for shares of Intel’s or its successor-in-interest’s common stock or other securities) intended to qualify as a distribution under Section 355 of the Code, or any corresponding provision of any successor statute, shares of our Class B common stock will automatically be converted into shares of Class A common stock upon the transfer of such shares of Class B common stock by Intel other than to any of Intel’s successors.</w:t>
      </w:r>
    </w:p>
    <w:p>
      <w:pPr>
        <w:spacing w:after="0" w:line="199" w:lineRule="exact"/>
        <w:rPr>
          <w:rFonts w:ascii="Arial" w:cs="Arial" w:eastAsia="Arial" w:hAnsi="Arial"/>
          <w:sz w:val="19"/>
          <w:szCs w:val="19"/>
          <w:color w:val="auto"/>
        </w:rPr>
      </w:pPr>
    </w:p>
    <w:p>
      <w:pPr>
        <w:jc w:val="both"/>
        <w:ind w:firstLine="359"/>
        <w:spacing w:after="0" w:line="260"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Developing business relationships with Intel’s competitors</w:t>
      </w:r>
      <w:r>
        <w:rPr>
          <w:rFonts w:ascii="Times New Roman" w:cs="Times New Roman" w:eastAsia="Times New Roman" w:hAnsi="Times New Roman"/>
          <w:sz w:val="20"/>
          <w:szCs w:val="20"/>
          <w:color w:val="auto"/>
        </w:rPr>
        <w:t>. We may from time to time partner with, purchase from, and sell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number of companies that compete with Intel. These companies may be less willing or unwilling to develop and maintain relationships with us, and may favor our competitors or may view us as competitors, because of our relationship with Intel.</w:t>
      </w:r>
    </w:p>
    <w:p>
      <w:pPr>
        <w:spacing w:after="0" w:line="196" w:lineRule="exact"/>
        <w:rPr>
          <w:rFonts w:ascii="Arial" w:cs="Arial" w:eastAsia="Arial" w:hAnsi="Arial"/>
          <w:sz w:val="20"/>
          <w:szCs w:val="20"/>
          <w:color w:val="auto"/>
        </w:rPr>
      </w:pPr>
    </w:p>
    <w:p>
      <w:pPr>
        <w:jc w:val="both"/>
        <w:ind w:firstLine="359"/>
        <w:spacing w:after="0" w:line="245"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Allocation of business opportunities</w:t>
      </w:r>
      <w:r>
        <w:rPr>
          <w:rFonts w:ascii="Times New Roman" w:cs="Times New Roman" w:eastAsia="Times New Roman" w:hAnsi="Times New Roman"/>
          <w:sz w:val="20"/>
          <w:szCs w:val="20"/>
          <w:color w:val="auto"/>
        </w:rPr>
        <w:t>. Business opportunities may arise that both we and Intel find attractive, and which would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complement our businesses. We may be prevented from taking advantage of new business opportunities that Intel has entered into. Furthermore, our amended and restated certificate of incorporation provides that, until the later of (i) the first date on which Intel ceases to beneficially own 20% or more of our outstanding shares of common stock and (ii) the date upon which none of our officers and/or directors are also officers and/or directors of Intel, (x) we will waive any interest or expectancy in potential transactions presented to our directors and officers who are also directors and/or officers of Intel unless expressly offered to such person in his or her capacity as our director and/or officer, as applicable, and (y) Intel shall have the right to, and shall have no duty not to, engage in the same or similar business activities or lines of business as we do, do business with any of our clients or customers, and employ or otherwise engage any of our officers or employees.</w:t>
      </w:r>
    </w:p>
    <w:p>
      <w:pPr>
        <w:spacing w:after="0" w:line="211" w:lineRule="exact"/>
        <w:rPr>
          <w:rFonts w:ascii="Arial" w:cs="Arial" w:eastAsia="Arial" w:hAnsi="Arial"/>
          <w:sz w:val="20"/>
          <w:szCs w:val="20"/>
          <w:color w:val="auto"/>
        </w:rPr>
      </w:pPr>
    </w:p>
    <w:p>
      <w:pPr>
        <w:jc w:val="both"/>
        <w:ind w:firstLine="359"/>
        <w:spacing w:after="0" w:line="250" w:lineRule="auto"/>
        <w:tabs>
          <w:tab w:leader="none" w:pos="72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Sale of our products on favorable terms</w:t>
      </w:r>
      <w:r>
        <w:rPr>
          <w:rFonts w:ascii="Times New Roman" w:cs="Times New Roman" w:eastAsia="Times New Roman" w:hAnsi="Times New Roman"/>
          <w:sz w:val="19"/>
          <w:szCs w:val="19"/>
          <w:color w:val="auto"/>
        </w:rPr>
        <w:t>. Under the terms of the Master Transaction Agreement we entered into with Intel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connection with the Mobileye IPO, so long as Intel holds at least 20% of our common stock, we will sell Intel our commercially available products, including EyeQ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SoCs, for internal use, but not for resale on a standalone or bundled basis. We and Intel also agree pursuant to the Master Transaction Agreement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800"/>
          </w:cols>
          <w:pgMar w:left="540" w:top="1347" w:right="540" w:bottom="0" w:gutter="0" w:footer="0" w:header="0"/>
          <w:type w:val="continuous"/>
        </w:sectPr>
      </w:pPr>
    </w:p>
    <w:bookmarkStart w:id="63" w:name="page64"/>
    <w:bookmarkEnd w:id="63"/>
    <w:p>
      <w:pPr>
        <w:jc w:val="both"/>
        <w:ind w:firstLine="360"/>
        <w:spacing w:after="0" w:line="256" w:lineRule="auto"/>
        <w:tabs>
          <w:tab w:leader="none" w:pos="721" w:val="left"/>
        </w:tabs>
        <w:numPr>
          <w:ilvl w:val="0"/>
          <w:numId w:val="28"/>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Worldwide and perpetual license to patents</w:t>
      </w:r>
      <w:r>
        <w:rPr>
          <w:rFonts w:ascii="Times New Roman" w:cs="Times New Roman" w:eastAsia="Times New Roman" w:hAnsi="Times New Roman"/>
          <w:sz w:val="19"/>
          <w:szCs w:val="19"/>
          <w:color w:val="auto"/>
        </w:rPr>
        <w:t>. We are party to an agreement with Intel under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 rights from Intel with respect to patents and patent applications of other Intel subsidiaries included in the grant by Intel to us in clause (ii) automatically terminate once Intel’s ownership of our common stock falls below 50%. The license granted by us to Intel in clause (i) 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 If any of our licenses from, sublicenses or other rights Intel were to terminate for any reason, we may be unable to replace such licenses, sublicenses or other rights at prices or on terms as favorable as those Intel provides, if at all, and that could adversely affect our business, results of operations, and financial condition.</w:t>
      </w:r>
    </w:p>
    <w:p>
      <w:pPr>
        <w:spacing w:after="0" w:line="208" w:lineRule="exact"/>
        <w:rPr>
          <w:rFonts w:ascii="Arial" w:cs="Arial" w:eastAsia="Arial" w:hAnsi="Arial"/>
          <w:sz w:val="19"/>
          <w:szCs w:val="19"/>
          <w:color w:val="auto"/>
        </w:rPr>
      </w:pPr>
    </w:p>
    <w:p>
      <w:pPr>
        <w:jc w:val="both"/>
        <w:ind w:firstLine="359"/>
        <w:spacing w:after="0" w:line="243" w:lineRule="auto"/>
        <w:tabs>
          <w:tab w:leader="none" w:pos="721"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Limited license from Intel for certain technology related to radar</w:t>
      </w:r>
      <w:r>
        <w:rPr>
          <w:rFonts w:ascii="Times New Roman" w:cs="Times New Roman" w:eastAsia="Times New Roman" w:hAnsi="Times New Roman"/>
          <w:sz w:val="20"/>
          <w:szCs w:val="20"/>
          <w:color w:val="auto"/>
        </w:rPr>
        <w:t>. Intel has granted us a limited license for sensitive core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technology relating to radar pursuant to a Technology and Services Agreement. The license is limited to the development of a specific type of radar for specific applications. Any radar products which do not comply with this definition will require a separate license from Intel, at Intel’s discretion. Intellectual property developed under the agreement, either solely or jointly with Intel, regarding the radar technology, except for certain rights to specifically identified radar technology which is developed solely by us following the Mobileye IPO, will be assigned by us to Intel. As a result we will not own most new radar intellectual property, even if it is developed solely by us. If we are unable to continue to use or license sensitive core technology related to radar from Intel, we may not be able to secure alternatives in a timely manner, or at all, and our ability to remain competitive would be harmed, which could adversely affect our business, results of operations and financial condition. See “Item 1A. Risk Factors — Risks Related to Our Business — If we are unable to develop and introduce new solutions and improve existing solutions in a cost-effective and timely manner, then our competitive position would be negatively impacted and our business, results of operations and financial condition would be adversely affected” and “Risk Factors — Risks Related to our Intellectual Property Rights — We depend on licenses for certain technologies from third parties, some of which require us to pay royalties, and our inability to use such technologies in the future would harm our ability to remain competitive.”</w:t>
      </w:r>
    </w:p>
    <w:p>
      <w:pPr>
        <w:spacing w:after="0" w:line="199" w:lineRule="exact"/>
        <w:rPr>
          <w:sz w:val="20"/>
          <w:szCs w:val="20"/>
          <w:color w:val="auto"/>
        </w:rPr>
      </w:pPr>
    </w:p>
    <w:p>
      <w:pPr>
        <w:jc w:val="both"/>
        <w:ind w:firstLine="361"/>
        <w:spacing w:after="0" w:line="261" w:lineRule="auto"/>
        <w:rPr>
          <w:sz w:val="20"/>
          <w:szCs w:val="20"/>
          <w:color w:val="auto"/>
        </w:rPr>
      </w:pPr>
      <w:r>
        <w:rPr>
          <w:rFonts w:ascii="Times New Roman" w:cs="Times New Roman" w:eastAsia="Times New Roman" w:hAnsi="Times New Roman"/>
          <w:sz w:val="19"/>
          <w:szCs w:val="19"/>
          <w:color w:val="auto"/>
        </w:rPr>
        <w:t>We are licensed to sell the radar products only for ADAS and AV solutions for automobiles and to certain types of customers (Tier 1s, OEMs, MaaS). The Technology and Services Agreement has a term of two years, and will automatically renew for one-year renewal periods, unless the agreement is terminated for a party’s material breach, a party’s bankruptcy or insolvency, or advance notice of nonrenewal is given, however, termination of the agreement does not affect certain licenses granted to us by Intel in respect of the radar product. In addition, the agreement includes limitations on our ability (except after review and approval by Intel) to file a patent application based on or using the radar intellectual property licensed to us under the agreement, or information in Intel’s radar patents during the term of the agreement and for five years after the completion of the development of the last Mobileye sensor product.</w:t>
      </w:r>
    </w:p>
    <w:p>
      <w:pPr>
        <w:spacing w:after="0" w:line="188"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We expect Intel will continue to beneficially hold a majority of the voting power of our common stock and we and Intel expect to continue as strategic partners, collaborating on projects to pursue the growth of computing in the automotive sector. Intel may from time to time make strategic decisions that it believes are in the best interests of its business as a whole, including our company. These decisions may be different from the decisions that we would have made on our own. Intel’s decisions with respect to us or our business, including any related party transactions between Intel and us, may be resolved in ways that favor Intel and its stockholders, which may not coincide with the interests of our other stockholders.</w:t>
      </w:r>
    </w:p>
    <w:p>
      <w:pPr>
        <w:sectPr>
          <w:pgSz w:w="11880" w:h="15480" w:orient="portrait"/>
          <w:cols w:equalWidth="0" w:num="1">
            <w:col w:w="10800"/>
          </w:cols>
          <w:pgMar w:left="540" w:top="136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800"/>
          </w:cols>
          <w:pgMar w:left="540" w:top="1362" w:right="540" w:bottom="0" w:gutter="0" w:footer="0" w:header="0"/>
          <w:type w:val="continuous"/>
        </w:sectPr>
      </w:pPr>
    </w:p>
    <w:bookmarkStart w:id="64" w:name="page65"/>
    <w:bookmarkEnd w:id="64"/>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Although we entered into the Tax Sharing Agreement with Intel under which our tax liabilities effectively will be determined based upon, subject to certain assumptions, our and/or our subsidiaries’ assets and activities, we nonetheless could be held liable for the tax liabilities of other members of any consolidated, combined or unitary tax group of Intel and/or its subsidiaries.</w:t>
      </w:r>
    </w:p>
    <w:p>
      <w:pPr>
        <w:spacing w:after="0" w:line="184"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19"/>
          <w:szCs w:val="19"/>
          <w:color w:val="auto"/>
        </w:rPr>
        <w:t>We have historically been included in Intel’s consolidated group (the “Consolidated Group”) for U.S. federal income tax purposes, as well as in certain consolidated, combined, or unitary groups that include Intel and/or certain of its subsidiaries for state and local income tax purposes (each, a “Combined Group”). We entered into the Tax Sharing Agreement with Intel in connection with the Mobileye IPO. Pursuant to the Tax Sharing Agreement, we generally are required to make payments to Intel such that, with respect to tax returns for any taxable period in which we or any of our subsidiaries are included in the Consolidated Group or any Combined Group, the amount of taxes to be paid by us will be determined by computing the excess (if any) of any taxes due on any such return over the amount that would otherwise be due if such return were recomputed by excluding us and/or our included subsidiaries.</w:t>
      </w:r>
    </w:p>
    <w:p>
      <w:pPr>
        <w:spacing w:after="0" w:line="18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We have previously been included in the Consolidated Group for the most recent annual period and expect to be included in the Consolidated Group going forward. Each member of a consolidated group during any part of a consolidated return year is jointly and severally liable for tax on the consolidated return of such year and for any subsequently determined deficiency thereon. Similarly, in some jurisdictions, each member of a consolidated, combined or unitary group for state, local, or foreign income tax purposes is jointly and severally liable for the state, local, or foreign income tax liability of each other member of the consolidated, combined or unitary group. Accordingly, for any period in which we are included in the Consolidated Group or any Combined Group, we could be liable in the event that any income tax liability was incurred, but not discharged, by any other member of any such group.</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In order to preserve the ability for Intel to distribute its shares of our Class B common stock pursuant to a tax-free spin-off under U.S. federal income tax law, we may be prevented from pursuing opportunities to raise capital, effectuate acquisitions, or provide equity incentives to our employees, which could adversely affect our business, results of operations, and financial condition.</w:t>
      </w:r>
    </w:p>
    <w:p>
      <w:pPr>
        <w:spacing w:after="0" w:line="184" w:lineRule="exact"/>
        <w:rPr>
          <w:sz w:val="20"/>
          <w:szCs w:val="20"/>
          <w:color w:val="auto"/>
        </w:rPr>
      </w:pPr>
    </w:p>
    <w:p>
      <w:pPr>
        <w:jc w:val="both"/>
        <w:ind w:firstLine="361"/>
        <w:spacing w:after="0" w:line="242" w:lineRule="auto"/>
        <w:rPr>
          <w:sz w:val="20"/>
          <w:szCs w:val="20"/>
          <w:color w:val="auto"/>
        </w:rPr>
      </w:pPr>
      <w:r>
        <w:rPr>
          <w:rFonts w:ascii="Times New Roman" w:cs="Times New Roman" w:eastAsia="Times New Roman" w:hAnsi="Times New Roman"/>
          <w:sz w:val="20"/>
          <w:szCs w:val="20"/>
          <w:color w:val="auto"/>
        </w:rPr>
        <w:t>Under current U.S. federal income tax law, in order to consummate a tax-free spin-off of our stock, Intel would need to have beneficial ownership of our stock representing at least 80% of the total voting power and 80% of each class of non-voting capital stock. Nevertheless, if Intel were to decide to pursue a possible spin-off, we have agreed to cooperate with Intel and to take any and all actions reasonably requested by Intel in connection with such a transaction. Our rights, responsibilities and obligations with respect to any possible spin-off are set forth in the Master Transaction Agreement and Tax Sharing Agreement. For example, in the event Intel completes a spin-off, we have agreed not to take certain actions, such as certain asset sales or contributions, mergers, stock issuances, or stock sales within the two years following the spin-off without first obtaining the opinion of tax counsel or an IRS ruling to the effect that such actions will not result in the spin-off failing to qualify as a tax-free spin-off. Additionally, under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issue any stock or other equity securities except to our subsidiaries or pursuant to our employee benefit plans limited to a share reserve of 5% of the outstanding number of shares of our common stock on the immediately preceding December 31. Intel’s intention to retain its ability to effectuate a tax-free spin-off of our stock may cause Intel to decide not to consent to such issuances. See “— Certain corporate actions by us would require the prior consent of Intel, and there can be no guarantee that Intel will consent to such matters, even if they are in our best interests.” These requirements could prevent us from pursuing opportunities to raise capital, effectuate acquisitions, or provide equity incentives to our employees, which could adversely affect our business, results of operations, and financial condition.</w:t>
      </w:r>
    </w:p>
    <w:p>
      <w:pPr>
        <w:spacing w:after="0" w:line="21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Certain corporate actions by us would require the prior consent of Intel, and there can be no guarantee that Intel will consent to such actions, even if they are in our best interests.</w:t>
      </w:r>
    </w:p>
    <w:p>
      <w:pPr>
        <w:spacing w:after="0" w:line="166"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in addition to any other vote required by law or by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take certain corporate actions. There can be no guarantee that Intel will consent to such actions, even if they are in our best interests.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800"/>
          </w:cols>
          <w:pgMar w:left="540" w:top="1349" w:right="540" w:bottom="0" w:gutter="0" w:footer="0" w:header="0"/>
          <w:type w:val="continuous"/>
        </w:sectPr>
      </w:pPr>
    </w:p>
    <w:bookmarkStart w:id="65" w:name="page66"/>
    <w:bookmarkEnd w:id="65"/>
    <w:p>
      <w:pPr>
        <w:jc w:val="both"/>
        <w:ind w:left="1"/>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have historically utilized and plan to continue to utilize various administrative services and licenses, sublicenses and other rights provided by Intel, and if we are unable to continue utilizing such services and/or licenses, sublicenses or other rights we may fail to replace them at prices or on terms as favorable as those Intel provides. In addition, we have granted Intel a worldwide and perpetual license to our patents and patent applications.</w:t>
      </w:r>
    </w:p>
    <w:p>
      <w:pPr>
        <w:spacing w:after="0" w:line="189" w:lineRule="exact"/>
        <w:rPr>
          <w:sz w:val="20"/>
          <w:szCs w:val="20"/>
          <w:color w:val="auto"/>
        </w:rPr>
      </w:pPr>
    </w:p>
    <w:p>
      <w:pPr>
        <w:jc w:val="both"/>
        <w:ind w:left="1" w:firstLine="360"/>
        <w:spacing w:after="0" w:line="252" w:lineRule="auto"/>
        <w:rPr>
          <w:sz w:val="20"/>
          <w:szCs w:val="20"/>
          <w:color w:val="auto"/>
        </w:rPr>
      </w:pPr>
      <w:r>
        <w:rPr>
          <w:rFonts w:ascii="Times New Roman" w:cs="Times New Roman" w:eastAsia="Times New Roman" w:hAnsi="Times New Roman"/>
          <w:sz w:val="19"/>
          <w:szCs w:val="19"/>
          <w:color w:val="auto"/>
        </w:rPr>
        <w:t>We have historically utilized various administrative, financial, and other services provided by Intel. In addition, we are party to an agreement with Intel under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 rights from Intel with respect to patents and patent applications of other Intel subsidiaries included in the grant by Intel to us in clause</w:t>
      </w:r>
    </w:p>
    <w:p>
      <w:pPr>
        <w:spacing w:after="0" w:line="5" w:lineRule="exact"/>
        <w:rPr>
          <w:sz w:val="20"/>
          <w:szCs w:val="20"/>
          <w:color w:val="auto"/>
        </w:rPr>
      </w:pPr>
    </w:p>
    <w:p>
      <w:pPr>
        <w:ind w:left="301" w:hanging="301"/>
        <w:spacing w:after="0"/>
        <w:tabs>
          <w:tab w:leader="none" w:pos="301"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automatically terminate once Intel’s ownership of our common stock falls below 50%. The license granted by us to Intel in clause</w:t>
      </w:r>
    </w:p>
    <w:p>
      <w:pPr>
        <w:jc w:val="both"/>
        <w:ind w:left="1" w:hanging="1"/>
        <w:spacing w:after="0" w:line="248" w:lineRule="auto"/>
        <w:tabs>
          <w:tab w:leader="none" w:pos="241"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 If any of our licenses, sublicenses or other rights from Intel were to terminate for any reason, we may be unable to replace such licenses, sublicenses or other rights at prices or on terms as favorable as those Intel provides, if at all, and that could adversely affect our business, results of operations, and financial condition.</w:t>
      </w:r>
    </w:p>
    <w:p>
      <w:pPr>
        <w:spacing w:after="0" w:line="194" w:lineRule="exact"/>
        <w:rPr>
          <w:sz w:val="20"/>
          <w:szCs w:val="20"/>
          <w:color w:val="auto"/>
        </w:rPr>
      </w:pPr>
    </w:p>
    <w:p>
      <w:pPr>
        <w:jc w:val="both"/>
        <w:ind w:left="1" w:firstLine="360"/>
        <w:spacing w:after="0" w:line="250" w:lineRule="auto"/>
        <w:rPr>
          <w:sz w:val="20"/>
          <w:szCs w:val="20"/>
          <w:color w:val="auto"/>
        </w:rPr>
      </w:pPr>
      <w:r>
        <w:rPr>
          <w:rFonts w:ascii="Times New Roman" w:cs="Times New Roman" w:eastAsia="Times New Roman" w:hAnsi="Times New Roman"/>
          <w:sz w:val="20"/>
          <w:szCs w:val="20"/>
          <w:color w:val="auto"/>
        </w:rPr>
        <w:t>Intel provides us with administrative, financial, legal, tax, and other services pursuant to the Administrative Services Agreement and certain technologies and products that may be used in the development, manufacture, and commercialization of our solutions pursuant to the Technology and Services Agreement. If we are unable to maintain these contractual relationships with Intel, we may fail to replace such services and/or licenses, sublicenses or other rights at prices or on terms as favorable as those Intel provides, and that could adversely affect our business, results of operations, and financial condition.</w:t>
      </w:r>
    </w:p>
    <w:p>
      <w:pPr>
        <w:spacing w:after="0" w:line="1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Risks Related to Ownership of Our Class A Common Stock</w:t>
      </w:r>
    </w:p>
    <w:p>
      <w:pPr>
        <w:spacing w:after="0" w:line="245"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of our Class A common stock may fluctuate, and you could lose all or part of your investment.</w:t>
      </w:r>
    </w:p>
    <w:p>
      <w:pPr>
        <w:spacing w:after="0" w:line="238" w:lineRule="exact"/>
        <w:rPr>
          <w:sz w:val="20"/>
          <w:szCs w:val="20"/>
          <w:color w:val="auto"/>
        </w:rPr>
      </w:pPr>
    </w:p>
    <w:p>
      <w:pPr>
        <w:jc w:val="both"/>
        <w:ind w:left="1" w:firstLine="360"/>
        <w:spacing w:after="0" w:line="260" w:lineRule="auto"/>
        <w:rPr>
          <w:sz w:val="20"/>
          <w:szCs w:val="20"/>
          <w:color w:val="auto"/>
        </w:rPr>
      </w:pPr>
      <w:r>
        <w:rPr>
          <w:rFonts w:ascii="Times New Roman" w:cs="Times New Roman" w:eastAsia="Times New Roman" w:hAnsi="Times New Roman"/>
          <w:sz w:val="20"/>
          <w:szCs w:val="20"/>
          <w:color w:val="auto"/>
        </w:rPr>
        <w:t>The stock market in general has been, and the market price of our Class A common stock specifically is, subject to fluctuation, whether due to, or irrespective of, our operating results and financial condition. The market price of our Class A common stock on Nasdaq may fluctuate as a result of a number of factors, some of which are beyond our control, including, but not limited to:</w:t>
      </w:r>
    </w:p>
    <w:p>
      <w:pPr>
        <w:spacing w:after="0" w:line="197" w:lineRule="exact"/>
        <w:rPr>
          <w:sz w:val="20"/>
          <w:szCs w:val="20"/>
          <w:color w:val="auto"/>
        </w:rPr>
      </w:pPr>
    </w:p>
    <w:p>
      <w:pPr>
        <w:ind w:left="721" w:hanging="361"/>
        <w:spacing w:after="0"/>
        <w:tabs>
          <w:tab w:leader="none" w:pos="721"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by regulators and other safety organizations regarding ADAS, autonomous driving and related technology;</w:t>
      </w:r>
    </w:p>
    <w:p>
      <w:pPr>
        <w:spacing w:after="0" w:line="253" w:lineRule="exact"/>
        <w:rPr>
          <w:rFonts w:ascii="Arial" w:cs="Arial" w:eastAsia="Arial" w:hAnsi="Arial"/>
          <w:sz w:val="20"/>
          <w:szCs w:val="20"/>
          <w:color w:val="auto"/>
        </w:rPr>
      </w:pPr>
    </w:p>
    <w:p>
      <w:pPr>
        <w:ind w:left="721" w:hanging="361"/>
        <w:spacing w:after="0"/>
        <w:tabs>
          <w:tab w:leader="none" w:pos="721"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publicized accidents involving ADAS and autonomous driving technology, whether developed by us or our competitors;</w:t>
      </w:r>
    </w:p>
    <w:p>
      <w:pPr>
        <w:spacing w:after="0" w:line="252" w:lineRule="exact"/>
        <w:rPr>
          <w:rFonts w:ascii="Arial" w:cs="Arial" w:eastAsia="Arial" w:hAnsi="Arial"/>
          <w:sz w:val="20"/>
          <w:szCs w:val="20"/>
          <w:color w:val="auto"/>
        </w:rPr>
      </w:pPr>
    </w:p>
    <w:p>
      <w:pPr>
        <w:ind w:left="721" w:hanging="361"/>
        <w:spacing w:after="0"/>
        <w:tabs>
          <w:tab w:leader="none" w:pos="721"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market acceptance of our solutions;</w:t>
      </w:r>
    </w:p>
    <w:p>
      <w:pPr>
        <w:spacing w:after="0" w:line="253" w:lineRule="exact"/>
        <w:rPr>
          <w:rFonts w:ascii="Arial" w:cs="Arial" w:eastAsia="Arial" w:hAnsi="Arial"/>
          <w:sz w:val="20"/>
          <w:szCs w:val="20"/>
          <w:color w:val="auto"/>
        </w:rPr>
      </w:pPr>
    </w:p>
    <w:p>
      <w:pPr>
        <w:ind w:left="721" w:hanging="361"/>
        <w:spacing w:after="0"/>
        <w:tabs>
          <w:tab w:leader="none" w:pos="721"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supply and demand for our products;</w:t>
      </w:r>
    </w:p>
    <w:p>
      <w:pPr>
        <w:spacing w:after="0" w:line="253" w:lineRule="exact"/>
        <w:rPr>
          <w:rFonts w:ascii="Arial" w:cs="Arial" w:eastAsia="Arial" w:hAnsi="Arial"/>
          <w:sz w:val="20"/>
          <w:szCs w:val="20"/>
          <w:color w:val="auto"/>
        </w:rPr>
      </w:pPr>
    </w:p>
    <w:p>
      <w:pPr>
        <w:ind w:left="721" w:hanging="361"/>
        <w:spacing w:after="0"/>
        <w:tabs>
          <w:tab w:leader="none" w:pos="721"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of the results of research and development projects by us or our competitors;</w:t>
      </w:r>
    </w:p>
    <w:p>
      <w:pPr>
        <w:spacing w:after="0" w:line="252" w:lineRule="exact"/>
        <w:rPr>
          <w:rFonts w:ascii="Arial" w:cs="Arial" w:eastAsia="Arial" w:hAnsi="Arial"/>
          <w:sz w:val="20"/>
          <w:szCs w:val="20"/>
          <w:color w:val="auto"/>
        </w:rPr>
      </w:pPr>
    </w:p>
    <w:p>
      <w:pPr>
        <w:ind w:left="721" w:hanging="361"/>
        <w:spacing w:after="0"/>
        <w:tabs>
          <w:tab w:leader="none" w:pos="721"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by others relating to autonomous driving technology and its adoption by OEMs;</w:t>
      </w:r>
    </w:p>
    <w:p>
      <w:pPr>
        <w:spacing w:after="0" w:line="253" w:lineRule="exact"/>
        <w:rPr>
          <w:rFonts w:ascii="Arial" w:cs="Arial" w:eastAsia="Arial" w:hAnsi="Arial"/>
          <w:sz w:val="20"/>
          <w:szCs w:val="20"/>
          <w:color w:val="auto"/>
        </w:rPr>
      </w:pPr>
    </w:p>
    <w:p>
      <w:pPr>
        <w:ind w:left="721" w:hanging="361"/>
        <w:spacing w:after="0"/>
        <w:tabs>
          <w:tab w:leader="none" w:pos="721"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 of new competitive systems and products by others;</w:t>
      </w:r>
    </w:p>
    <w:p>
      <w:pPr>
        <w:spacing w:after="0" w:line="252" w:lineRule="exact"/>
        <w:rPr>
          <w:rFonts w:ascii="Arial" w:cs="Arial" w:eastAsia="Arial" w:hAnsi="Arial"/>
          <w:sz w:val="20"/>
          <w:szCs w:val="20"/>
          <w:color w:val="auto"/>
        </w:rPr>
      </w:pPr>
    </w:p>
    <w:p>
      <w:pPr>
        <w:ind w:left="721" w:hanging="361"/>
        <w:spacing w:after="0"/>
        <w:tabs>
          <w:tab w:leader="none" w:pos="721"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earnings estimates or recommendations by securities analysts;</w:t>
      </w:r>
    </w:p>
    <w:p>
      <w:pPr>
        <w:spacing w:after="0" w:line="253" w:lineRule="exact"/>
        <w:rPr>
          <w:rFonts w:ascii="Arial" w:cs="Arial" w:eastAsia="Arial" w:hAnsi="Arial"/>
          <w:sz w:val="20"/>
          <w:szCs w:val="20"/>
          <w:color w:val="auto"/>
        </w:rPr>
      </w:pPr>
    </w:p>
    <w:p>
      <w:pPr>
        <w:ind w:left="721" w:hanging="361"/>
        <w:spacing w:after="0"/>
        <w:tabs>
          <w:tab w:leader="none" w:pos="721"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concerning our intellectual property rights;</w:t>
      </w:r>
    </w:p>
    <w:p>
      <w:pPr>
        <w:sectPr>
          <w:pgSz w:w="11880" w:h="15480" w:orient="portrait"/>
          <w:cols w:equalWidth="0" w:num="1">
            <w:col w:w="10801"/>
          </w:cols>
          <w:pgMar w:left="539"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801"/>
          </w:cols>
          <w:pgMar w:left="539" w:top="1349" w:right="540" w:bottom="0" w:gutter="0" w:footer="0" w:header="0"/>
          <w:type w:val="continuous"/>
        </w:sectPr>
      </w:pPr>
    </w:p>
    <w:bookmarkStart w:id="66" w:name="page67"/>
    <w:bookmarkEnd w:id="66"/>
    <w:p>
      <w:pPr>
        <w:ind w:left="720" w:hanging="360"/>
        <w:spacing w:after="0"/>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loss of key personnel, particularly Professor Shashua;</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cost of satisfying our warranty obligations;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loss of key customers;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disruptions to our and the global supply chain;</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macroeconomic irregularities such as worsening inflationary trends, volatile interest rates and labor shortages;</w:t>
      </w:r>
    </w:p>
    <w:p>
      <w:pPr>
        <w:spacing w:after="0" w:line="252"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delays between our expenditures to develop and market new or enhanced products and the generation of sales from those products;</w:t>
      </w:r>
    </w:p>
    <w:p>
      <w:pPr>
        <w:spacing w:after="0" w:line="179" w:lineRule="exact"/>
        <w:rPr>
          <w:rFonts w:ascii="Arial" w:cs="Arial" w:eastAsia="Arial" w:hAnsi="Arial"/>
          <w:sz w:val="20"/>
          <w:szCs w:val="20"/>
          <w:color w:val="auto"/>
        </w:rPr>
      </w:pPr>
    </w:p>
    <w:p>
      <w:pPr>
        <w:ind w:left="720" w:hanging="360"/>
        <w:spacing w:after="0"/>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amount that we spend to develop, acquire, or license new products, technologies, or businesses;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our research and development and operating expenditures;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variations in our and our competitors’ results of operations and financial condition;</w:t>
      </w:r>
    </w:p>
    <w:p>
      <w:pPr>
        <w:spacing w:after="0" w:line="252" w:lineRule="exact"/>
        <w:rPr>
          <w:rFonts w:ascii="Arial" w:cs="Arial" w:eastAsia="Arial" w:hAnsi="Arial"/>
          <w:sz w:val="20"/>
          <w:szCs w:val="20"/>
          <w:color w:val="auto"/>
        </w:rPr>
      </w:pPr>
    </w:p>
    <w:p>
      <w:pPr>
        <w:ind w:left="720" w:hanging="360"/>
        <w:spacing w:after="0" w:line="279" w:lineRule="auto"/>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our sale or proposed sale or the sale or proposed sale by Intel (or other actions taken by Intel) or other significant stockholders of our common stock or other securities in the future; and</w:t>
      </w:r>
    </w:p>
    <w:p>
      <w:pPr>
        <w:spacing w:after="0" w:line="179" w:lineRule="exact"/>
        <w:rPr>
          <w:rFonts w:ascii="Arial" w:cs="Arial" w:eastAsia="Arial" w:hAnsi="Arial"/>
          <w:sz w:val="20"/>
          <w:szCs w:val="20"/>
          <w:color w:val="auto"/>
        </w:rPr>
      </w:pPr>
    </w:p>
    <w:p>
      <w:pPr>
        <w:ind w:left="720" w:hanging="360"/>
        <w:spacing w:after="0"/>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general market conditions and other factors, including factors unrelated to our operating performance.</w:t>
      </w:r>
    </w:p>
    <w:p>
      <w:pPr>
        <w:spacing w:after="0" w:line="238" w:lineRule="exact"/>
        <w:rPr>
          <w:sz w:val="20"/>
          <w:szCs w:val="20"/>
          <w:color w:val="auto"/>
        </w:rPr>
      </w:pPr>
    </w:p>
    <w:p>
      <w:pPr>
        <w:jc w:val="both"/>
        <w:ind w:firstLine="361"/>
        <w:spacing w:after="0" w:line="263" w:lineRule="auto"/>
        <w:rPr>
          <w:sz w:val="20"/>
          <w:szCs w:val="20"/>
          <w:color w:val="auto"/>
        </w:rPr>
      </w:pPr>
      <w:r>
        <w:rPr>
          <w:rFonts w:ascii="Times New Roman" w:cs="Times New Roman" w:eastAsia="Times New Roman" w:hAnsi="Times New Roman"/>
          <w:sz w:val="19"/>
          <w:szCs w:val="19"/>
          <w:color w:val="auto"/>
        </w:rPr>
        <w:t>These factors and any corresponding price fluctuations may materially and adversely affect the market price of our shares of Class A common stock and result in substantial losses being incurred by our investors. Market prices for securities of technology companies historically have been very volatile. The market for these securities has from time to time experienced significant price and volume fluctuations for reasons unrelated to the operating performance of any one company. In the past, following periods of market volatility, public company stockholders have often instituted securities class action litigation in the United States. If we were involved in securities litigation, then it could impose a substantial cost upon us and divert the resources and attention of our management from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expect to pay dividends in the foreseeable future.</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Other than in connection with the Reorganization, we have never declared or paid cash dividends on our capital stock. We currently intend to retain any future earnings to finance the operation and expansion of our business, and we do not expect to declare or pay any dividends for the foreseeable future.</w:t>
      </w:r>
    </w:p>
    <w:p>
      <w:pPr>
        <w:sectPr>
          <w:pgSz w:w="11880" w:h="15480" w:orient="portrait"/>
          <w:cols w:equalWidth="0" w:num="1">
            <w:col w:w="10800"/>
          </w:cols>
          <w:pgMar w:left="540" w:top="136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800"/>
          </w:cols>
          <w:pgMar w:left="540" w:top="1363" w:right="54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i w:val="1"/>
          <w:iCs w:val="1"/>
          <w:color w:val="auto"/>
        </w:rPr>
        <w:t>The requirements of being a public company may strain our resources and divert management’s attention.</w:t>
      </w:r>
    </w:p>
    <w:p>
      <w:pPr>
        <w:spacing w:after="0" w:line="238"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As a public company, we are subject to the reporting requirements of the Exchange Act, the Sarbanes-Oxley Act of 2002 (“Sarbanes-Oxley Act”) and stock exchange rules promulgated in response to the Sarbanes-Oxley Act. The requirements of these rules and regulations have and will continue to increase our legal and financial compliance costs, make some activities more difficult, time-consuming, or costly and increase demand on our systems and resources. As a public company, we are obligated to file with the SEC annual and quarterly information and other reports that are specified in the Exchange Act, and therefore need to have the ability to prepare financial statements that are compliant with all SEC reporting requirements on a timely basis. In addition, we continue to be subject to other reporting and corporate governance requirements, including certain requirements of Nasdaq and certain provisions of the Sarbanes-Oxley Act and the regulations promulgated thereunder, which impose significant compliance obligations upon us.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and management’s attention may be diverted from other business concerns.</w:t>
      </w:r>
    </w:p>
    <w:p>
      <w:pPr>
        <w:spacing w:after="0" w:line="206"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19"/>
          <w:szCs w:val="19"/>
          <w:color w:val="auto"/>
        </w:rPr>
        <w:t>Furthermore, though we have been indirectly subject to these requirements previously as a subsidiary of Intel, we might not be successful in implementing these requirements. The increased costs of compliance with public company reporting requirements and our potential failure to satisfy these requirements could have an adverse effect on our business, results of operations, and financial condition.</w:t>
      </w:r>
    </w:p>
    <w:p>
      <w:pPr>
        <w:spacing w:after="0" w:line="1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Failure to establish and maintain effective internal control over financial reporting in accordance with Section 404 of the Sarbanes-Oxley Act could have an adverse effect on our business, results of operations, and financial condition.</w:t>
      </w:r>
    </w:p>
    <w:p>
      <w:pPr>
        <w:spacing w:after="0" w:line="165"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As a public company, we are required to comply with the SEC’s rules implementing Sections 302 and 404 of the Sarbanes -Oxley Act, which require management to certify financial and other information in our quarterly and annual reports and provide an annual management report on the effectiveness of internal control over financial reporting, to which our auditors need to attest in accordance with guidelines set forth by the Public Company Accounting Oversight Board (“PCAOB”). We may in the future identify material weaknesses when evaluating our internal control over financial reporting that we may not be able to remediate in time to meet the applicable deadline imposed upon us for compliance with the requirements of Section 404 of the Sarbanes-Oxley Act. Testing and maintaining our internal control over financial reporting may also divert management’s attention from other matters that are important to the operation of our business. In addition, if we fail to achieve and maintain the adequacy of our internal controls, as such standards are modified, supplemented, or amended from time to time, then we may not be able to ensure that we can conclude on an ongoing basis that we have effective internal control over financial reporting in accordance with Section 404 of the Sarbanes-Oxley Act. We cannot be certain as to the timing of completion of our evaluation, testing and any remediation actions or the impact of the same on our operations.</w:t>
      </w:r>
    </w:p>
    <w:p>
      <w:pPr>
        <w:spacing w:after="0" w:line="206"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Moreover, any material weakness or other deficiencies in our internal control over financial reporting may impede our ability to file timely and accurate reports with the SEC. Any of the above could cause a negative reaction in the financial markets due to a loss of confidence in the reliability of our financial statements.</w:t>
      </w:r>
    </w:p>
    <w:p>
      <w:pPr>
        <w:spacing w:after="0" w:line="186"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In addition, we may be required to incur costs in improving our internal control system and the hiring of additional personnel. Any such action could adversely affect our business, results of operations, and financial condition.</w:t>
      </w:r>
    </w:p>
    <w:p>
      <w:pPr>
        <w:spacing w:after="0" w:line="16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securities and industry analysts do not publish research or publish inaccurate or unfavorable research about our business, then the stock price and trading volume of our Class A common stock could decline.</w:t>
      </w:r>
    </w:p>
    <w:p>
      <w:pPr>
        <w:spacing w:after="0" w:line="165"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trading market for our Class A common stock will depend, in part, on the research and reports that securities and industry analysts publish about us and our business. If securities and industry analysts do not commence or maintain coverage of our company, then the stock price of our Class A common stock would likely be negatively impacted. In the event securities or industry analysts initiate coverage, if one or more of the analysts who cover us downgrade our Class A common stock or publish inaccurate or unfavorable research about our business, then the stock price of our Class A common stock would likely decline. If one or more of these analysts cease coverage of our company or fail to publish reports on us regularly, then demand for our stock could decrease, which might cause the stock price and trading volume of our Class A common stock to decline.</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800"/>
          </w:cols>
          <w:pgMar w:left="540" w:top="1350" w:right="540" w:bottom="0" w:gutter="0" w:footer="0" w:header="0"/>
          <w:type w:val="continuous"/>
        </w:sectPr>
      </w:pPr>
    </w:p>
    <w:bookmarkStart w:id="68" w:name="page69"/>
    <w:bookmarkEnd w:id="68"/>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issuance by us of additional equity securities may dilute your ownership and adversely affect the market price of our Class A common stock.</w:t>
      </w:r>
    </w:p>
    <w:p>
      <w:pPr>
        <w:spacing w:after="0" w:line="166"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Our amended and restated certificate of incorporation authorizes us to issue shares of Class A common stock and rights relating to Class A common stock for the consideration and on the terms and conditions established by our board of directors in its sole discretion, whether in connection with acquisitions or otherwise. In addition, under the terms of the Master Transaction Agreement we entered into with Intel in connection with the Mobileye IPO, we granted Intel a continuing right to purchase from us such number of shares of Class A common stock or Class B common stock as is necessary for Intel to maintain an aggregate ownership of our common stock representing at least 80.1% of our common stock outstanding following the Mobileye IPO. Any common stock that we issue, including under our equity incentive plan or in connection with the Master Transaction Agreement, would dilute the percentage ownership of existing stockholders prior to such issuance.</w:t>
      </w:r>
    </w:p>
    <w:p>
      <w:pPr>
        <w:spacing w:after="0" w:line="202"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In the future, we may attempt to obtain financing or to further increase our capital resources by issuing additional shares of our Class A common stock or securities convertible into shares of our Class A common stock or by offering debt or other securities. We could also issue shares of our Class A common stock or securities convertible into our Class A common stock or debt or other securities in connection with acquisitions or other strategic transactions.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w:t>
      </w:r>
    </w:p>
    <w:p>
      <w:pPr>
        <w:spacing w:after="0" w:line="194"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Upon liquidation, holders of debt securities and preferred shares, if issued, and lenders with respect to other borrowings would receive a distribution of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spacing w:after="0" w:line="2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Delaware law and certain provisions of our amended and restated certificate of incorporation and amended and restated bylaws could make a merger, tender offer, or proxy contest difficult, thereby adversely affecting the market price of our common stock.</w:t>
      </w:r>
    </w:p>
    <w:p>
      <w:pPr>
        <w:spacing w:after="0" w:line="165"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Under our amended and restated certificate of incorporation, we opted out of the anti-takeover provisions of Section 203 of the Delaware General Corporation Law (the “DGCL”). If Intel’s holdings in our stock are reduced so that Intel no longer maintains at least 15% of the combined voting power of our common stock, then we will no longer opt out of Section 203 of the DGCL, which could discourage, delay, or prevent a change in control by prohibiting us from engaging in a business combination with an interested stockholder for a period of three years after the person becomes an interested stockholder, even if a change of control would be beneficial to our stockholders. In addition, our amended and restated certificate of incorporation and amended and restated bylaws contain provisions that may make the acquisition of our company more difficult, including the following:</w:t>
      </w:r>
    </w:p>
    <w:p>
      <w:pPr>
        <w:spacing w:after="0" w:line="215" w:lineRule="exact"/>
        <w:rPr>
          <w:sz w:val="20"/>
          <w:szCs w:val="20"/>
          <w:color w:val="auto"/>
        </w:rPr>
      </w:pPr>
    </w:p>
    <w:p>
      <w:pPr>
        <w:jc w:val="both"/>
        <w:ind w:left="720" w:hanging="362"/>
        <w:spacing w:after="0" w:line="259"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our dual class common stock structure, which provides Intel, as the holder of our Class B common stock, with the ability to significantly influence the outcome of matters requiring stockholder approval, even if they own significantly less than a majority of the shares of our outstanding common stock;</w:t>
      </w:r>
    </w:p>
    <w:p>
      <w:pPr>
        <w:spacing w:after="0" w:line="198" w:lineRule="exact"/>
        <w:rPr>
          <w:rFonts w:ascii="Arial" w:cs="Arial" w:eastAsia="Arial" w:hAnsi="Arial"/>
          <w:sz w:val="20"/>
          <w:szCs w:val="20"/>
          <w:color w:val="auto"/>
        </w:rPr>
      </w:pPr>
    </w:p>
    <w:p>
      <w:pPr>
        <w:ind w:left="720" w:hanging="362"/>
        <w:spacing w:after="0" w:line="279"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if Intel’s holdings in our stock are reduced so that it no longer maintains a majority of the combined voting power of our common stock, our stockholders will only be able to take action at a meeting of stockholders and not by written consent;</w:t>
      </w:r>
    </w:p>
    <w:p>
      <w:pPr>
        <w:spacing w:after="0" w:line="178" w:lineRule="exact"/>
        <w:rPr>
          <w:rFonts w:ascii="Arial" w:cs="Arial" w:eastAsia="Arial" w:hAnsi="Arial"/>
          <w:sz w:val="20"/>
          <w:szCs w:val="20"/>
          <w:color w:val="auto"/>
        </w:rPr>
      </w:pPr>
    </w:p>
    <w:p>
      <w:pPr>
        <w:jc w:val="both"/>
        <w:ind w:left="720" w:hanging="362"/>
        <w:spacing w:after="0" w:line="253"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vacancies on our board of directors will be able to be filled only by our board of directors and not by stockholders, provided, however, that vacancies on our board of directors caused by an action of stockholders may only be filled by a vote of the stockholders until Intel’s holdings in our stock are reduced so that it no longer maintains a majority of the combined voting power of our common stock;</w:t>
      </w:r>
    </w:p>
    <w:p>
      <w:pPr>
        <w:spacing w:after="0" w:line="203" w:lineRule="exact"/>
        <w:rPr>
          <w:rFonts w:ascii="Arial" w:cs="Arial" w:eastAsia="Arial" w:hAnsi="Arial"/>
          <w:sz w:val="20"/>
          <w:szCs w:val="20"/>
          <w:color w:val="auto"/>
        </w:rPr>
      </w:pPr>
    </w:p>
    <w:p>
      <w:pPr>
        <w:jc w:val="both"/>
        <w:ind w:left="720" w:hanging="362"/>
        <w:spacing w:after="0" w:line="260"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beginning at the first annual meeting of stockholders following any such time that Intel’s holdings in our stock no longer represent at least 20% of the aggregate number of shares of our outstanding common stock, our board of directors will be classified into three classes of directors with staggered three-year terms;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0800"/>
          </w:cols>
          <w:pgMar w:left="540" w:top="1349" w:right="540" w:bottom="0" w:gutter="0" w:footer="0" w:header="0"/>
          <w:type w:val="continuous"/>
        </w:sectPr>
      </w:pPr>
    </w:p>
    <w:bookmarkStart w:id="69" w:name="page70"/>
    <w:bookmarkEnd w:id="69"/>
    <w:p>
      <w:pPr>
        <w:jc w:val="both"/>
        <w:ind w:left="721" w:hanging="360"/>
        <w:spacing w:after="0" w:line="260" w:lineRule="auto"/>
        <w:tabs>
          <w:tab w:leader="none" w:pos="721"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beginning at the first annual meeting of stockholders following any such time that Intel’s holdings in our stock no longer represent at least 20% of the aggregate number of shares of our outstanding common stock, directors will only be able to be removed from office for cause;</w:t>
      </w:r>
    </w:p>
    <w:p>
      <w:pPr>
        <w:spacing w:after="0" w:line="196" w:lineRule="exact"/>
        <w:rPr>
          <w:rFonts w:ascii="Arial" w:cs="Arial" w:eastAsia="Arial" w:hAnsi="Arial"/>
          <w:sz w:val="20"/>
          <w:szCs w:val="20"/>
          <w:color w:val="auto"/>
        </w:rPr>
      </w:pPr>
    </w:p>
    <w:p>
      <w:pPr>
        <w:ind w:left="721" w:hanging="360"/>
        <w:spacing w:after="0" w:line="279" w:lineRule="auto"/>
        <w:tabs>
          <w:tab w:leader="none" w:pos="721"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so long as Intel’s holdings in our stock represent at least 20% of the aggregate number of shares of our outstanding common stock, consent by holders of a majority of our Class B common stock will be required for consolidations or mergers;</w:t>
      </w:r>
    </w:p>
    <w:p>
      <w:pPr>
        <w:spacing w:after="0" w:line="178" w:lineRule="exact"/>
        <w:rPr>
          <w:rFonts w:ascii="Arial" w:cs="Arial" w:eastAsia="Arial" w:hAnsi="Arial"/>
          <w:sz w:val="20"/>
          <w:szCs w:val="20"/>
          <w:color w:val="auto"/>
        </w:rPr>
      </w:pPr>
    </w:p>
    <w:p>
      <w:pPr>
        <w:ind w:left="721" w:hanging="360"/>
        <w:spacing w:after="0" w:line="279" w:lineRule="auto"/>
        <w:tabs>
          <w:tab w:leader="none" w:pos="721"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no provision in our amended and restated certificate of incorporation or amended and restated bylaws provides for cumulative voting, which limits the ability of minority stockholders to elect director candidates;</w:t>
      </w:r>
    </w:p>
    <w:p>
      <w:pPr>
        <w:spacing w:after="0" w:line="179" w:lineRule="exact"/>
        <w:rPr>
          <w:rFonts w:ascii="Arial" w:cs="Arial" w:eastAsia="Arial" w:hAnsi="Arial"/>
          <w:sz w:val="20"/>
          <w:szCs w:val="20"/>
          <w:color w:val="auto"/>
        </w:rPr>
      </w:pPr>
    </w:p>
    <w:p>
      <w:pPr>
        <w:ind w:left="721" w:hanging="360"/>
        <w:spacing w:after="0" w:line="279" w:lineRule="auto"/>
        <w:tabs>
          <w:tab w:leader="none" w:pos="721"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only the Chairman of our Board of Directors, our Chief Executive Officer, or our Secretary upon written request by a majority of our Board of Directors are authorized to call a special meeting of stockholders;</w:t>
      </w:r>
    </w:p>
    <w:p>
      <w:pPr>
        <w:spacing w:after="0" w:line="178" w:lineRule="exact"/>
        <w:rPr>
          <w:rFonts w:ascii="Arial" w:cs="Arial" w:eastAsia="Arial" w:hAnsi="Arial"/>
          <w:sz w:val="20"/>
          <w:szCs w:val="20"/>
          <w:color w:val="auto"/>
        </w:rPr>
      </w:pPr>
    </w:p>
    <w:p>
      <w:pPr>
        <w:ind w:left="721" w:hanging="360"/>
        <w:spacing w:after="0" w:line="279" w:lineRule="auto"/>
        <w:tabs>
          <w:tab w:leader="none" w:pos="721"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our amended and restated certificate of incorporation provides that certain litigation against us can only be brought in Delaware unless we otherwise consent;</w:t>
      </w:r>
    </w:p>
    <w:p>
      <w:pPr>
        <w:spacing w:after="0" w:line="178" w:lineRule="exact"/>
        <w:rPr>
          <w:rFonts w:ascii="Arial" w:cs="Arial" w:eastAsia="Arial" w:hAnsi="Arial"/>
          <w:sz w:val="20"/>
          <w:szCs w:val="20"/>
          <w:color w:val="auto"/>
        </w:rPr>
      </w:pPr>
    </w:p>
    <w:p>
      <w:pPr>
        <w:jc w:val="both"/>
        <w:ind w:left="721" w:hanging="360"/>
        <w:spacing w:after="0" w:line="253" w:lineRule="auto"/>
        <w:tabs>
          <w:tab w:leader="none" w:pos="721"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nothing in our amended and restated certificate of incorporation precludes future issuances without approval by holders of shares of our Class A common stock of the authorized but unissued shares of our common stock, though approval by holders of a majority of our Class B common stock will be required for such issuances for so long as Intel’s holdings in our stock represent at least 20% of the aggregate number of shares of outstanding common stock, subject to certain exclusions;</w:t>
      </w:r>
    </w:p>
    <w:p>
      <w:pPr>
        <w:spacing w:after="0" w:line="204" w:lineRule="exact"/>
        <w:rPr>
          <w:rFonts w:ascii="Arial" w:cs="Arial" w:eastAsia="Arial" w:hAnsi="Arial"/>
          <w:sz w:val="20"/>
          <w:szCs w:val="20"/>
          <w:color w:val="auto"/>
        </w:rPr>
      </w:pPr>
    </w:p>
    <w:p>
      <w:pPr>
        <w:ind w:left="721" w:hanging="360"/>
        <w:spacing w:after="0" w:line="279" w:lineRule="auto"/>
        <w:tabs>
          <w:tab w:leader="none" w:pos="721"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our amended and restated certificate of incorporation authorizes undesignated preferred stock, the terms of which may be established and shares of which may be issued, without the approval of the holders of our capital stock; and</w:t>
      </w:r>
    </w:p>
    <w:p>
      <w:pPr>
        <w:spacing w:after="0" w:line="178" w:lineRule="exact"/>
        <w:rPr>
          <w:rFonts w:ascii="Arial" w:cs="Arial" w:eastAsia="Arial" w:hAnsi="Arial"/>
          <w:sz w:val="20"/>
          <w:szCs w:val="20"/>
          <w:color w:val="auto"/>
        </w:rPr>
      </w:pPr>
    </w:p>
    <w:p>
      <w:pPr>
        <w:ind w:left="721" w:right="200" w:hanging="360"/>
        <w:spacing w:after="0" w:line="279" w:lineRule="auto"/>
        <w:tabs>
          <w:tab w:leader="none" w:pos="721"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advance notice procedures apply for stockholders to nominate candidates for election as directors or to bring matters before an annual meeting of stockholders.</w:t>
      </w:r>
    </w:p>
    <w:p>
      <w:pPr>
        <w:spacing w:after="0" w:line="164" w:lineRule="exact"/>
        <w:rPr>
          <w:sz w:val="20"/>
          <w:szCs w:val="20"/>
          <w:color w:val="auto"/>
        </w:rPr>
      </w:pPr>
    </w:p>
    <w:p>
      <w:pPr>
        <w:jc w:val="both"/>
        <w:ind w:left="1" w:firstLine="360"/>
        <w:spacing w:after="0" w:line="250" w:lineRule="auto"/>
        <w:rPr>
          <w:sz w:val="20"/>
          <w:szCs w:val="20"/>
          <w:color w:val="auto"/>
        </w:rPr>
      </w:pPr>
      <w:r>
        <w:rPr>
          <w:rFonts w:ascii="Times New Roman" w:cs="Times New Roman" w:eastAsia="Times New Roman" w:hAnsi="Times New Roman"/>
          <w:sz w:val="20"/>
          <w:szCs w:val="20"/>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195" w:lineRule="exact"/>
        <w:rPr>
          <w:sz w:val="20"/>
          <w:szCs w:val="20"/>
          <w:color w:val="auto"/>
        </w:rPr>
      </w:pPr>
    </w:p>
    <w:p>
      <w:pPr>
        <w:jc w:val="both"/>
        <w:ind w:left="1"/>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certificate of incorporation contains exclusive forum provisions for certain claims, which could limit our stockholders’ ability to obtain a favorable judicial forum for disputes with us or our directors, officers, or employees.</w:t>
      </w:r>
    </w:p>
    <w:p>
      <w:pPr>
        <w:spacing w:after="0" w:line="165" w:lineRule="exact"/>
        <w:rPr>
          <w:sz w:val="20"/>
          <w:szCs w:val="20"/>
          <w:color w:val="auto"/>
        </w:rPr>
      </w:pPr>
    </w:p>
    <w:p>
      <w:pPr>
        <w:jc w:val="both"/>
        <w:ind w:left="1" w:firstLine="360"/>
        <w:spacing w:after="0" w:line="239" w:lineRule="auto"/>
        <w:rPr>
          <w:sz w:val="20"/>
          <w:szCs w:val="20"/>
          <w:color w:val="auto"/>
        </w:rPr>
      </w:pPr>
      <w:r>
        <w:rPr>
          <w:rFonts w:ascii="Times New Roman" w:cs="Times New Roman" w:eastAsia="Times New Roman" w:hAnsi="Times New Roman"/>
          <w:sz w:val="20"/>
          <w:szCs w:val="20"/>
          <w:color w:val="auto"/>
        </w:rPr>
        <w:t>Our amended and restated certificate of incorporation, to the fullest extent permitted by law, provides that, unless we consent in writing to the selection of an alternative forum, the Court of Chancery of the State of Delaware is the sole and exclusive forum for</w:t>
      </w:r>
    </w:p>
    <w:p>
      <w:pPr>
        <w:spacing w:after="0" w:line="2" w:lineRule="exact"/>
        <w:rPr>
          <w:sz w:val="20"/>
          <w:szCs w:val="20"/>
          <w:color w:val="auto"/>
        </w:rPr>
      </w:pPr>
    </w:p>
    <w:p>
      <w:pPr>
        <w:jc w:val="both"/>
        <w:ind w:left="1" w:hanging="1"/>
        <w:spacing w:after="0"/>
        <w:tabs>
          <w:tab w:leader="none" w:pos="28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derivative action or proceeding brought on behalf of us, (2) any action asserting a claim of breach of a duty (including any fiduciary duty) owed by any of our current or former directors, officers, stockholders, employees or agents to us or our stockholders,</w:t>
      </w:r>
    </w:p>
    <w:p>
      <w:pPr>
        <w:jc w:val="both"/>
        <w:ind w:left="1" w:hanging="1"/>
        <w:spacing w:after="0" w:line="249" w:lineRule="auto"/>
        <w:tabs>
          <w:tab w:leader="none" w:pos="28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us or any of our current or former directors, officers, stockholders, employees or agents arising out of or relating to 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w:t>
      </w:r>
    </w:p>
    <w:p>
      <w:pPr>
        <w:sectPr>
          <w:pgSz w:w="11880" w:h="15480" w:orient="portrait"/>
          <w:cols w:equalWidth="0" w:num="1">
            <w:col w:w="10801"/>
          </w:cols>
          <w:pgMar w:left="539" w:top="136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10801"/>
          </w:cols>
          <w:pgMar w:left="539" w:top="1362" w:right="540" w:bottom="0" w:gutter="0" w:footer="0" w:header="0"/>
          <w:type w:val="continuous"/>
        </w:sectPr>
      </w:pPr>
    </w:p>
    <w:bookmarkStart w:id="70" w:name="page71"/>
    <w:bookmarkEnd w:id="70"/>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certificate of incorporation provides that the federal district courts of the United States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19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Section 27 of the Exchange Act creates exclusive federal jurisdiction over all claims brought to enforce any duty or liability created by the Exchange Act or the rules and regulations thereunder and our amended and restated certificate of incorporation provides that neither the exclusive forum provision nor our federal forum provision applies to suits brought to enforce any duty or liability created by the Exchange Act.</w:t>
      </w:r>
    </w:p>
    <w:p>
      <w:pPr>
        <w:spacing w:after="0" w:line="191"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86"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Any person or entity purchasing or otherwise acquiring or holding any interest in any of our securities shall be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our effective tax rates may reduce our net income.</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number of factors can increase our effective tax rates, which could reduce our net income, including:</w:t>
      </w:r>
    </w:p>
    <w:p>
      <w:pPr>
        <w:spacing w:after="0" w:line="254" w:lineRule="exact"/>
        <w:rPr>
          <w:sz w:val="20"/>
          <w:szCs w:val="20"/>
          <w:color w:val="auto"/>
        </w:rPr>
      </w:pPr>
    </w:p>
    <w:p>
      <w:pPr>
        <w:ind w:left="720" w:hanging="361"/>
        <w:spacing w:after="0" w:line="279" w:lineRule="auto"/>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volume and mix of profits earned and location of assets across jurisdictions with varying tax rates and the associated impacts of legislative actions affecting multi-national enterprises;</w:t>
      </w:r>
    </w:p>
    <w:p>
      <w:pPr>
        <w:spacing w:after="0" w:line="178" w:lineRule="exact"/>
        <w:rPr>
          <w:rFonts w:ascii="Arial" w:cs="Arial" w:eastAsia="Arial" w:hAnsi="Arial"/>
          <w:sz w:val="20"/>
          <w:szCs w:val="20"/>
          <w:color w:val="auto"/>
        </w:rPr>
      </w:pPr>
    </w:p>
    <w:p>
      <w:pPr>
        <w:ind w:left="720" w:hanging="361"/>
        <w:spacing w:after="0"/>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valuation of our deferred tax assets and liabilities, and in associated deferred tax asset valuation allowance;</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adjustments to income taxes upon finalization of tax returns;</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increases in expenses not deductible for tax purposes, including equity-based compensation or impairments of goodwill;</w:t>
      </w:r>
    </w:p>
    <w:p>
      <w:pPr>
        <w:spacing w:after="0" w:line="252" w:lineRule="exact"/>
        <w:rPr>
          <w:rFonts w:ascii="Arial" w:cs="Arial" w:eastAsia="Arial" w:hAnsi="Arial"/>
          <w:sz w:val="20"/>
          <w:szCs w:val="20"/>
          <w:color w:val="auto"/>
        </w:rPr>
      </w:pPr>
    </w:p>
    <w:p>
      <w:pPr>
        <w:ind w:left="720" w:hanging="361"/>
        <w:spacing w:after="0"/>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available tax credits;</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our ability to secure new, or renew existing, tax holidays and incentives;</w:t>
      </w:r>
    </w:p>
    <w:p>
      <w:pPr>
        <w:spacing w:after="0" w:line="252" w:lineRule="exact"/>
        <w:rPr>
          <w:rFonts w:ascii="Arial" w:cs="Arial" w:eastAsia="Arial" w:hAnsi="Arial"/>
          <w:sz w:val="20"/>
          <w:szCs w:val="20"/>
          <w:color w:val="auto"/>
        </w:rPr>
      </w:pPr>
    </w:p>
    <w:p>
      <w:pPr>
        <w:ind w:left="720" w:hanging="361"/>
        <w:spacing w:after="0" w:line="279" w:lineRule="auto"/>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U.S. federal, state, or foreign tax laws or their interpretation, including changes in the U.S. to the taxation of non-U.S. income and expenses;</w:t>
      </w:r>
    </w:p>
    <w:p>
      <w:pPr>
        <w:spacing w:after="0" w:line="178" w:lineRule="exact"/>
        <w:rPr>
          <w:rFonts w:ascii="Arial" w:cs="Arial" w:eastAsia="Arial" w:hAnsi="Arial"/>
          <w:sz w:val="20"/>
          <w:szCs w:val="20"/>
          <w:color w:val="auto"/>
        </w:rPr>
      </w:pPr>
    </w:p>
    <w:p>
      <w:pPr>
        <w:ind w:left="720" w:hanging="361"/>
        <w:spacing w:after="0" w:line="279" w:lineRule="auto"/>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changes resulting from the adoption by countries of OECD recommendations, including adoption of tax legislation to comply with Pillar Two Model Rules, or other legislative actions</w:t>
      </w:r>
    </w:p>
    <w:p>
      <w:pPr>
        <w:spacing w:after="0" w:line="179" w:lineRule="exact"/>
        <w:rPr>
          <w:rFonts w:ascii="Arial" w:cs="Arial" w:eastAsia="Arial" w:hAnsi="Arial"/>
          <w:sz w:val="20"/>
          <w:szCs w:val="20"/>
          <w:color w:val="auto"/>
        </w:rPr>
      </w:pPr>
    </w:p>
    <w:p>
      <w:pPr>
        <w:ind w:left="720" w:hanging="361"/>
        <w:spacing w:after="0"/>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accounting standards; and</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10800"/>
          </w:cols>
          <w:pgMar w:left="540" w:top="1347" w:right="540" w:bottom="0" w:gutter="0" w:footer="0" w:header="0"/>
          <w:type w:val="continuous"/>
        </w:sectPr>
      </w:pPr>
    </w:p>
    <w:bookmarkStart w:id="71" w:name="page72"/>
    <w:bookmarkEnd w:id="71"/>
    <w:p>
      <w:pPr>
        <w:ind w:left="720" w:hanging="360"/>
        <w:spacing w:after="0" w:line="307" w:lineRule="auto"/>
        <w:tabs>
          <w:tab w:leader="none" w:pos="720" w:val="left"/>
        </w:tabs>
        <w:numPr>
          <w:ilvl w:val="0"/>
          <w:numId w:val="38"/>
        </w:numPr>
        <w:rPr>
          <w:rFonts w:ascii="Arial" w:cs="Arial" w:eastAsia="Arial" w:hAnsi="Arial"/>
          <w:sz w:val="19"/>
          <w:szCs w:val="19"/>
          <w:color w:val="auto"/>
        </w:rPr>
      </w:pPr>
      <w:r>
        <w:rPr>
          <w:rFonts w:ascii="Times New Roman" w:cs="Times New Roman" w:eastAsia="Times New Roman" w:hAnsi="Times New Roman"/>
          <w:sz w:val="19"/>
          <w:szCs w:val="19"/>
          <w:color w:val="auto"/>
        </w:rPr>
        <w:t>those described under “Risks Related to Operations in Israel — The tax benefits that are available to us under Israeli law require us to meet various conditions and may be terminated or reduced in the future, which could increase our costs and taxes.”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Global or regional conditions can adversely affect our business, results of operations, and financial condition.</w:t>
      </w:r>
    </w:p>
    <w:p>
      <w:pPr>
        <w:spacing w:after="0" w:line="238"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We and our suppliers have manufacturing, assembly and testing, research and development, sales and other operations in Israel and several other countries, and some of our business activities are concentrated in one or more geographic areas. Moreover, 82% of our total revenue in 2024 was derived outside of the United States, with China, Germany, and South Korea making up 26%, 16%, and 13% of total revenue respectively, based on the location of the customer to which the product was shipped. As a result, our business, operating results, and financial condition, including our ability to produce, assemble, test, design, develop, or sell products, and the demand for our solutions, are at times adversely affected by a number of global and regional factors outside of our control.</w:t>
      </w:r>
    </w:p>
    <w:p>
      <w:pPr>
        <w:spacing w:after="0" w:line="194"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Adverse changes in global or regional economic conditions periodically occur, including recession or slowing growth, changes, or uncertainty in fiscal, monetary, or trade policy, higher interest rates, tighter credit, inflation, lower capital expenditures by businesses including on IT infrastructure, increases in unemployment and lower consumer confidence and spending. Adverse changes in economic conditions can significantly harm demand for our solutions and make it more challenging to forecast our operating results and make business decisions, including regarding prioritization of investments in our business. An economic downturn or increased uncertainty may also lead to increased credit and collectability risks, higher borrowing costs or reduced availability of capital markets, reduced liquidity, adverse impacts on our suppliers, failures of counterparties including financial institutions and insurers, asset impairments and declines in the value of our financial instruments.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can be adversely affected by other global and regional factors that periodically occur, including:</w:t>
      </w:r>
    </w:p>
    <w:p>
      <w:pPr>
        <w:spacing w:after="0" w:line="254" w:lineRule="exact"/>
        <w:rPr>
          <w:sz w:val="20"/>
          <w:szCs w:val="20"/>
          <w:color w:val="auto"/>
        </w:rPr>
      </w:pPr>
    </w:p>
    <w:p>
      <w:pPr>
        <w:ind w:left="720" w:hanging="361"/>
        <w:spacing w:after="0" w:line="279" w:lineRule="auto"/>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geopolitical and security issues, such as armed conflict and civil or military unrest, political instability, human rights concerns and terrorist activity;</w:t>
      </w:r>
    </w:p>
    <w:p>
      <w:pPr>
        <w:spacing w:after="0" w:line="179" w:lineRule="exact"/>
        <w:rPr>
          <w:rFonts w:ascii="Arial" w:cs="Arial" w:eastAsia="Arial" w:hAnsi="Arial"/>
          <w:sz w:val="20"/>
          <w:szCs w:val="20"/>
          <w:color w:val="auto"/>
        </w:rPr>
      </w:pPr>
    </w:p>
    <w:p>
      <w:pPr>
        <w:ind w:left="720" w:hanging="361"/>
        <w:spacing w:after="0"/>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natural disasters, public health issues (such as the COVID-19 pandemic) and other catastrophic events;</w:t>
      </w:r>
    </w:p>
    <w:p>
      <w:pPr>
        <w:spacing w:after="0" w:line="252" w:lineRule="exact"/>
        <w:rPr>
          <w:rFonts w:ascii="Arial" w:cs="Arial" w:eastAsia="Arial" w:hAnsi="Arial"/>
          <w:sz w:val="20"/>
          <w:szCs w:val="20"/>
          <w:color w:val="auto"/>
        </w:rPr>
      </w:pPr>
    </w:p>
    <w:p>
      <w:pPr>
        <w:ind w:left="720" w:hanging="361"/>
        <w:spacing w:after="0" w:line="279" w:lineRule="auto"/>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inefficient infrastructure and other disruptions, such as supply chain interruptions and large-scale outages or unreliable provision of services from utilities, transportation, data hosting or telecommunications providers;</w:t>
      </w:r>
    </w:p>
    <w:p>
      <w:pPr>
        <w:spacing w:after="0" w:line="178" w:lineRule="exact"/>
        <w:rPr>
          <w:rFonts w:ascii="Arial" w:cs="Arial" w:eastAsia="Arial" w:hAnsi="Arial"/>
          <w:sz w:val="20"/>
          <w:szCs w:val="20"/>
          <w:color w:val="auto"/>
        </w:rPr>
      </w:pPr>
    </w:p>
    <w:p>
      <w:pPr>
        <w:ind w:left="720" w:hanging="361"/>
        <w:spacing w:after="0" w:line="279" w:lineRule="auto"/>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formal or informal imposition of new or revised export, import or doing-business regulations, including trade sanctions, tariffs, and changes in the ability to obtain export licenses, which could be changed without notice;</w:t>
      </w:r>
    </w:p>
    <w:p>
      <w:pPr>
        <w:spacing w:after="0" w:line="178" w:lineRule="exact"/>
        <w:rPr>
          <w:rFonts w:ascii="Arial" w:cs="Arial" w:eastAsia="Arial" w:hAnsi="Arial"/>
          <w:sz w:val="20"/>
          <w:szCs w:val="20"/>
          <w:color w:val="auto"/>
        </w:rPr>
      </w:pPr>
    </w:p>
    <w:p>
      <w:pPr>
        <w:ind w:left="720" w:hanging="361"/>
        <w:spacing w:after="0" w:line="279" w:lineRule="auto"/>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government restrictions on, or nationalization of, our operations in any country, or restrictions on our ability to repatriate earnings from a particular country;</w:t>
      </w:r>
    </w:p>
    <w:p>
      <w:pPr>
        <w:spacing w:after="0" w:line="179" w:lineRule="exact"/>
        <w:rPr>
          <w:rFonts w:ascii="Arial" w:cs="Arial" w:eastAsia="Arial" w:hAnsi="Arial"/>
          <w:sz w:val="20"/>
          <w:szCs w:val="20"/>
          <w:color w:val="auto"/>
        </w:rPr>
      </w:pPr>
    </w:p>
    <w:p>
      <w:pPr>
        <w:ind w:left="720" w:hanging="361"/>
        <w:spacing w:after="0" w:line="279" w:lineRule="auto"/>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adverse changes relating to government grants, tax credits or other government incentives, including more favorable incentives provided to competitors;</w:t>
      </w:r>
    </w:p>
    <w:p>
      <w:pPr>
        <w:spacing w:after="0" w:line="178" w:lineRule="exact"/>
        <w:rPr>
          <w:rFonts w:ascii="Arial" w:cs="Arial" w:eastAsia="Arial" w:hAnsi="Arial"/>
          <w:sz w:val="20"/>
          <w:szCs w:val="20"/>
          <w:color w:val="auto"/>
        </w:rPr>
      </w:pPr>
    </w:p>
    <w:p>
      <w:pPr>
        <w:ind w:left="720" w:hanging="361"/>
        <w:spacing w:after="0"/>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differing employment practices and labor issues;</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ineffective legal protection of our intellectual property rights in certain countries;</w:t>
      </w:r>
    </w:p>
    <w:p>
      <w:pPr>
        <w:spacing w:after="0" w:line="252" w:lineRule="exact"/>
        <w:rPr>
          <w:rFonts w:ascii="Arial" w:cs="Arial" w:eastAsia="Arial" w:hAnsi="Arial"/>
          <w:sz w:val="20"/>
          <w:szCs w:val="20"/>
          <w:color w:val="auto"/>
        </w:rPr>
      </w:pPr>
    </w:p>
    <w:p>
      <w:pPr>
        <w:ind w:left="720" w:hanging="361"/>
        <w:spacing w:after="0"/>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local business and cultural factors that differ from our current standards and practices;</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continuing uncertainty regarding social, political, immigration and tax and trade policies; and</w:t>
      </w:r>
    </w:p>
    <w:p>
      <w:pPr>
        <w:spacing w:after="0" w:line="252" w:lineRule="exact"/>
        <w:rPr>
          <w:rFonts w:ascii="Arial" w:cs="Arial" w:eastAsia="Arial" w:hAnsi="Arial"/>
          <w:sz w:val="20"/>
          <w:szCs w:val="20"/>
          <w:color w:val="auto"/>
        </w:rPr>
      </w:pPr>
    </w:p>
    <w:p>
      <w:pPr>
        <w:ind w:left="720" w:hanging="361"/>
        <w:spacing w:after="0" w:line="279" w:lineRule="auto"/>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the market values of any of our investments, which can be negatively affected by liquidity, credit deterioration or losses, interest rate changes, financial results, political risk, sovereign risk, or other factors.</w:t>
      </w:r>
    </w:p>
    <w:p>
      <w:pPr>
        <w:sectPr>
          <w:pgSz w:w="11880" w:h="15480" w:orient="portrait"/>
          <w:cols w:equalWidth="0" w:num="1">
            <w:col w:w="10800"/>
          </w:cols>
          <w:pgMar w:left="540" w:top="136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800"/>
          </w:cols>
          <w:pgMar w:left="540" w:top="1362" w:right="54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i w:val="1"/>
          <w:iCs w:val="1"/>
          <w:color w:val="auto"/>
        </w:rPr>
        <w:t>Catastrophic events can adversely affect our business, results of operations, and financial condition.</w:t>
      </w:r>
    </w:p>
    <w:p>
      <w:pPr>
        <w:spacing w:after="0" w:line="23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operations and business, and those of our customers and direct and indirect vendors and suppliers of OEMs, can be disrupted by natural disasters, industrial accidents, public health issues (such as the COVID-19 pandemic), cybersecurity incidents, interruptions of service from utilities, transportation, telecommunications or IT systems providers, production equipment failures or other catastrophic events.</w:t>
      </w:r>
    </w:p>
    <w:p>
      <w:pPr>
        <w:spacing w:after="0" w:line="191"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For example, we have at times experienced disruptions in our production processes as a result of power outages, improperly functioning equipment, and disruptions in supply of raw materials or components, including due to cybersecurity incidents affecting our suppliers. Global climate change can result in certain natural disasters occurring more frequently or with greater intensity, such as drought, wildfires, storms, sea-level rise, and flooding. The long-term effects of climate change on the global economy and the IT industry in particular are unclear, but could be severe.</w:t>
      </w:r>
    </w:p>
    <w:p>
      <w:pPr>
        <w:spacing w:after="0" w:line="192"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Catastrophic events could make it difficult or impossible to produce or deliver products to our customers, receive production materials from our suppliers or perform critical functions, which could adversely affect our revenue and require significant recovery time and expenditures to resume operations. While we maintain business recovery plans, some of our systems are not fully redundant and we cannot be sure that our plans will fully protect us from such disruptions. Furthermore, even if our operations are unaffected or recover quickly, if our customers or suppliers cannot timely resume their own operations due to a catastrophic event, we may experience reduced or cancelled orders or disruptions to our supply chain that would adversely affect our business, results of operations, and financial condition.</w:t>
      </w:r>
    </w:p>
    <w:p>
      <w:pPr>
        <w:spacing w:after="0" w:line="199"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Even though we maintain insurance coverage for a variety of property, casualty, and other risks, not all possible risks are or can be fully covered and therefore any insurance payments to the Company may not necessarily cover the entire scope of the damage and/or all possible losses. We may also decide not to purchase certain policies and/or to self- insure against certain risks. The types and amounts of our insurance coverage vary depending on availability, cost, and decisions with respect to risk retention. We may decided to not purchase certain policies at all for various reasons, including due to the costs of such policy outweighing any economic benefit, and there is no certainty that it will be possible to purchase or renew suitable insurance policies in the future pursuant to reasonable commercial terms, if at all. Some of the policies under which we are covered may have large deductibles and broad exclusions. In addition, one or more insurance providers may be unable or unwilling to pay a claim. Our insurers may also discontinue our insurance coverage and we may be unable to find replacement insurance on acceptable terms or at all, or where we share our limits with Intel claims by Intel under these policies may exhaust the available policy limits.</w:t>
      </w:r>
    </w:p>
    <w:p>
      <w:pPr>
        <w:spacing w:after="0" w:line="20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Losses not covered by insurance may be large, which would adversely affect our business, results of operations, and financial condition.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Risk Management</w:t>
      </w:r>
    </w:p>
    <w:p>
      <w:pPr>
        <w:spacing w:after="0" w:line="239"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Cybersecurity risk management is an integral part of our overall enterprise risk management program, which we have continued to invest in developing. Our corporate cybersecurity risk management program provides a framework for handling cybersecurity threats and incidents, including threats and incidents associated with the use of services provided by third-party vendors and service providers, and facilitating coordination across different business units of the Company. Our corporate cybersecurity risk management program is based on and audited against industry standards, including ISO 27001 for Information Security Management Systems (ISMS) and the automotive industry’s Trusted Information Security Assessment Exchange standard (TISAX).</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10800"/>
          </w:cols>
          <w:pgMar w:left="540" w:top="1350" w:right="540" w:bottom="0" w:gutter="0" w:footer="0" w:header="0"/>
          <w:type w:val="continuous"/>
        </w:sectPr>
      </w:pPr>
    </w:p>
    <w:bookmarkStart w:id="73" w:name="page74"/>
    <w:bookmarkEnd w:id="73"/>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Our corporate cybersecurity team is responsible for operating our cybersecurity risk management program. The cybersecurity team determines with management an annual workplan for risk assessments, reviews, audits and tests. The cybersecurity team also conducts vulnerability assessments, security reviews and penetration tests on a regular basis in accordance with such workplan. Following risk assessments that require any remediation, the cybersecurity team then conducts a risk treatment and response process, including mitigation, remediation and risk reduction efforts. Our policies also require that Internet-accessible enterprise systems and applications must undergo a penetration test at least annually, and we engage specialized, independent, third parties to conduct penetration tests and specific in-depth reviews of certain enterprise systems and applications.</w:t>
      </w:r>
    </w:p>
    <w:p>
      <w:pPr>
        <w:spacing w:after="0" w:line="201"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With respect to overseeing and identifying cybersecurity risks associated with third parties, we seek to impose certain cybersecurity requirements on critical third parties with whom we do business. The cybersecurity team performs risk assessments, due diligence checks and validation of key security controls in accordance with our cybersecurity policies and standards for third-party vendors and service providers with whom we exchange information or integrate our information systems and networks. We include cybersecurity and privacy addenda and clauses in our agreements with such third parties where applicable and seek to pass through any necessary regulatory and contractual requirements to such third parties. When we do become aware that a third-party vendor or service provider has experienced a compromise or failure, we attempt to mitigate our risk, including by terminating such third party’s connection to our information systems and networks where appropriate or by exercising any applicable contractual remedies we may have, such as a right to indemnification.</w:t>
      </w:r>
    </w:p>
    <w:p>
      <w:pPr>
        <w:spacing w:after="0" w:line="197"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On a semi-annual basis the cybersecurity team conducts a program performance evaluation with management to assess the continuing suitability, adequacy and effectiveness of the Company’s cybersecurity risk management program, including with respect to the fulfillment of cybersecurity objectives and compliance with industry standards, and to recommend changes to the Company’s threat modeling, priorities for future risk assessments, policy adjustments in response to newly identified risks or non-compliance, and overall risk acceptance.</w:t>
      </w:r>
    </w:p>
    <w:p>
      <w:pPr>
        <w:spacing w:after="0" w:line="19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To foster a culture of cybersecurity awareness within the Company and provide employees with further knowledge of cybersecurity-conscious behavior, all employees of the Company are required to attend cybersecurity training sessions during the onboarding process and at least once per year.</w:t>
      </w:r>
    </w:p>
    <w:p>
      <w:pPr>
        <w:spacing w:after="0" w:line="183"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Our organizational cybersecurity program is under the direction of our Chief Information Security Officer (“CISO”) who receives reports from our cybersecurity team and oversees the prevention, detection, mitigation, and remediation of cybersecurity threats and incidents. Our CISO reports to our Chief Operating Officer (“COO”), who may discuss cybersecurity risks and other operational risks with other senior management as appropriate. Our CISO and dedicated cybersecurity team personnel are certified and experienced information systems security professionals and cybersecurity managers with many years of experience. Our CISO has served in that position since 2019 and has over 25 years of managerial and professional cybersecurity expertise. He has held the role of CISO and other senior management positions with NDS, Cisco and Deloitte and has also served as cybersecurity consultant for companies in multiple global industries. Our COO has extensive experience in project management and cybersecurity, including from past roles with Verint - Systems and Cisco Systems as well as the establishment and management of the Company’s cybersecurity team prior to our CISO joining the Company.</w:t>
      </w:r>
    </w:p>
    <w:p>
      <w:pPr>
        <w:spacing w:after="0" w:line="20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The Company’s cybersecurity team regularly meets with the COO to report its findings. The COO in turn periodically reports on such matters to the Chief Executive Officer and other members of management.</w:t>
      </w:r>
    </w:p>
    <w:p>
      <w:pPr>
        <w:spacing w:after="0" w:line="19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COO and CISO provide updates to the audit committee of our board of directors (the “Audit Committee”) on the Company’s cybersecurity programs, material cybersecurity risks and mitigation strategies. In addition to such regular updates, and as part of our incident response processes, our COO is also responsible for informing the Audit Committee of material cybersecurity threats and incidents, based on management’s assessment of risk.</w:t>
      </w:r>
    </w:p>
    <w:p>
      <w:pPr>
        <w:spacing w:after="0" w:line="191"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Our board of directors has overall oversight responsibility for our risk management, and delegates cybersecurity risk management oversight to the Audit Committee. The Audit Committee is responsible for ensuring that management has processes in place designed to identify and assess cybersecurity risks to which the Company is exposed and implement processes and programs designed to manage cybersecurity risks and mitigate and remediate cybersecurity threats and incidents. Both management and the Audit Committee also report material cybersecurity risks to our full board of directors, based on management’s assessment of risk.</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0800"/>
          </w:cols>
          <w:pgMar w:left="540" w:top="1347" w:right="540" w:bottom="0" w:gutter="0" w:footer="0" w:header="0"/>
          <w:type w:val="continuous"/>
        </w:sectPr>
      </w:pPr>
    </w:p>
    <w:bookmarkStart w:id="74" w:name="page75"/>
    <w:bookmarkEnd w:id="74"/>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In 2024, we did not identify any cybersecurity risks that have materially affected or are reasonably likely to materially affect our business strategy, results of operations, or financial condition. However, despite our efforts, we cannot eliminate all risks from cybersecurity threats or incidents, or provide assurances that we have not experienced an undetected cybersecurity incident. For more information about these risks, please see “Risk Factors – Risks Related to Privacy, Data, and Cybersecurity” in this Annual Report on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own our principal offices at Shlomo Momo HaLevi Street 1, Jerusalem, Israel, totaling approximately 1,377,781 square feet (approximately 128,000 square meters). We also lease office space in Tel Aviv and various other locations in Israel and around the world, including Detroit, Munich, Tokyo, Beijing and Shanghai.</w:t>
      </w:r>
    </w:p>
    <w:p>
      <w:pPr>
        <w:spacing w:after="0" w:line="18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are working to enter into additional leases for more office space in various locations around the world. In most of the countries we operate in, we lease office space for local operations (local country leadership, customer support, local sales, etc.) and we do not foresee any significant changes to these operations going forward.</w:t>
      </w:r>
    </w:p>
    <w:p>
      <w:pPr>
        <w:spacing w:after="0" w:line="183" w:lineRule="exact"/>
        <w:rPr>
          <w:sz w:val="20"/>
          <w:szCs w:val="20"/>
          <w:color w:val="auto"/>
        </w:rPr>
      </w:pPr>
    </w:p>
    <w:p>
      <w:pPr>
        <w:ind w:right="700" w:firstLine="360"/>
        <w:spacing w:after="0" w:line="469" w:lineRule="auto"/>
        <w:rPr>
          <w:sz w:val="20"/>
          <w:szCs w:val="20"/>
          <w:color w:val="auto"/>
        </w:rPr>
      </w:pPr>
      <w:r>
        <w:rPr>
          <w:rFonts w:ascii="Times New Roman" w:cs="Times New Roman" w:eastAsia="Times New Roman" w:hAnsi="Times New Roman"/>
          <w:sz w:val="20"/>
          <w:szCs w:val="20"/>
          <w:color w:val="auto"/>
        </w:rPr>
        <w:t xml:space="preserve">We consider our facilities, taken as a whole, to be suitable, adequate, and of sufficient capacity for our current operations. </w:t>
      </w:r>
      <w:r>
        <w:rPr>
          <w:rFonts w:ascii="Times New Roman" w:cs="Times New Roman" w:eastAsia="Times New Roman" w:hAnsi="Times New Roman"/>
          <w:sz w:val="20"/>
          <w:szCs w:val="20"/>
          <w:b w:val="1"/>
          <w:bCs w:val="1"/>
          <w:color w:val="auto"/>
        </w:rPr>
        <w:t>Item 3. Legal Proceedings</w:t>
      </w:r>
    </w:p>
    <w:p>
      <w:pPr>
        <w:spacing w:after="0" w:line="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An adverse outcome in certain of these proceedings could have a material adverse effect on our business, financial condition and results of operations, and could cause the market value of our common stock to decline.</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Legal Actions</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U.S. Class Action</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Securities Litigation. On January 16, 2024, a putative class action captioned McAuliffe v. Mobileye Global Inc., et al.,</w:t>
      </w:r>
    </w:p>
    <w:p>
      <w:pPr>
        <w:jc w:val="both"/>
        <w:ind w:firstLine="1"/>
        <w:spacing w:after="0" w:line="243" w:lineRule="auto"/>
        <w:rPr>
          <w:sz w:val="20"/>
          <w:szCs w:val="20"/>
          <w:color w:val="auto"/>
        </w:rPr>
      </w:pPr>
      <w:r>
        <w:rPr>
          <w:rFonts w:ascii="Times New Roman" w:cs="Times New Roman" w:eastAsia="Times New Roman" w:hAnsi="Times New Roman"/>
          <w:sz w:val="20"/>
          <w:szCs w:val="20"/>
          <w:color w:val="auto"/>
        </w:rPr>
        <w:t>1:24-CV- 00310 (S.D.N.Y.), was filed in the United States District Court for the Southern District of New York against Mobileye and certain of its current and former officers. Following the consolidation of the action with a substantively identical case, Le v. Mobileye Global Inc., et al., 1:24 - CV - 01390 (S.D.N.Y.), and the appointment of a lead plaintiff, an amended complaint was filed on September 13, 2024. In response to the defendants’ motion to dismiss, filed on October 25, 2024, lead plaintiff filed a second amended complaint on November 22, 2024. The second amended complaint asserts violations of Sections 10(b) and 20(a) of the Securities Exchange Act of 1934 in connection with defendants’ alleged misstatements and omissions concerning the build-up of excess inventory by certain Tier 1 Mobileye customers, and seeks unspecified damages and other relief on behalf of all persons and entities who purchased or otherwise acquired Mobileye securities between January 26, 2023 and August 8, 2024. The second amended complaint also includes claims asserted by an additional plaintiff under Sections 11 and 15 of the Securities Act of 1933 on behalf of a putative class of purchasers of Mobileye Class A common stock offered in Mobileye’s June 5, 2023 secondary public offering. Mobileye and the individual defendants filed a motion to dismiss the second amended complaint on December 20, 2024. We intend to defend the matter vigorously. No provision was recorded in the financial statements as of December 28, 2024.</w:t>
      </w:r>
    </w:p>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U.S. Derivative Action</w:t>
      </w:r>
    </w:p>
    <w:p>
      <w:pPr>
        <w:spacing w:after="0" w:line="236"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On April 12, 2024, a derivative lawsuit was filed against the members of the Mobileye Board of Directors and Intel Corporation, in its capacity as Mobileye’s controlling shareholder. Mobileye was also named as a nominal defendant. The complaint principally asserts claims for breach of fiduciary duty and unjust enrichment based on alleged failures to take steps to prevent the Company from making allegedly false and misleading statements concerning the build-up of excess inventory by certain Tier 1 Mobileye customers. The complaint also asserts a claim for violation of Section 14(a) of the Securities Exchange Act of 1934 based on alleged misstatements and omissions in Mobileye’s 2023 proxy statement. The complaint seeks unspecified damages and other relief. Since May 24, 2024, the derivative action has been stayed by the court pending resolution of the anticipated motion to dismiss in the consolidated securities action.</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10800"/>
          </w:cols>
          <w:pgMar w:left="540" w:top="1347" w:right="540" w:bottom="0" w:gutter="0" w:footer="0" w:header="0"/>
          <w:type w:val="continuous"/>
        </w:sectPr>
      </w:pPr>
    </w:p>
    <w:bookmarkStart w:id="75" w:name="page76"/>
    <w:bookmarkEnd w:id="75"/>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On June 27, 2024, an additional derivative lawsuit was filed in the United States District Court for the Southern District of New York against certain members of the Mobileye Board of Directors, certain of Mobileye’s current and former officers, and Intel Corporation, in its capacity as Mobileye’s controlling shareholder. Mobileye was also named as a nominal defendant. On July 9th, 2024, this derivative action was consolidated with the derivative action originally filed on April 12, 2024 and the consolidated derivative action was stayed by the court pending resolution of the anticipated motion to dismiss in the consolidated securities action. We intend to defend the derivative claims vigorously. No provision for the consolidated derivative action was recorded in the financial statements as of December 28, 2024.</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U.S. Patent Litigation</w:t>
      </w:r>
    </w:p>
    <w:p>
      <w:pPr>
        <w:spacing w:after="0" w:line="237"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 xml:space="preserve">On January 26, 2024, Facet Technology Corp. (“Facet”) sued Mobileye in the U.S. District Court for the Eastern District of Texas for allegedly infringing two patents. Captioned </w:t>
      </w:r>
      <w:r>
        <w:rPr>
          <w:rFonts w:ascii="Times New Roman" w:cs="Times New Roman" w:eastAsia="Times New Roman" w:hAnsi="Times New Roman"/>
          <w:sz w:val="20"/>
          <w:szCs w:val="20"/>
          <w:i w:val="1"/>
          <w:iCs w:val="1"/>
          <w:color w:val="auto"/>
        </w:rPr>
        <w:t>Facet Technology Corp. v. Mobileye Global, Inc.</w:t>
      </w:r>
      <w:r>
        <w:rPr>
          <w:rFonts w:ascii="Times New Roman" w:cs="Times New Roman" w:eastAsia="Times New Roman" w:hAnsi="Times New Roman"/>
          <w:sz w:val="20"/>
          <w:szCs w:val="20"/>
          <w:color w:val="auto"/>
        </w:rPr>
        <w:t>, the complaint alleges that certain Mobileye products directly and indirectly infringe both patents. The complaint seeks unspecified damages, a permanent injunction, and attorneys’ fees and costs. We have moved to dismiss the complaint for improper venue and await a ruling. On November 7, 2024, Mobileye Vision Technologies Ltd. and Mobileye Inc., each a wholly-owned indirect subsidiary of Mobileye Global Inc., sued Facet Technology Corp. in the U.S. District Court of Minnesota seeking a declaratory judgement that the Mobileye plaintiffs do not infringe either patent. We intend to defend the matter vigorously. No provision was recorded in the financial statements as of December 28,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0800"/>
          </w:cols>
          <w:pgMar w:left="540" w:top="1347" w:right="540" w:bottom="0" w:gutter="0" w:footer="0" w:header="0"/>
          <w:type w:val="continuous"/>
        </w:sectPr>
      </w:pPr>
    </w:p>
    <w:bookmarkStart w:id="76" w:name="page77"/>
    <w:bookmarkEnd w:id="76"/>
    <w:p>
      <w:pPr>
        <w:ind w:left="512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Our Class A common stock is listed on Nasdaq under the symbol “MBLY.” Our Class B common stock is not listed nor traded on any stock exchange.</w:t>
      </w:r>
    </w:p>
    <w:p>
      <w:pPr>
        <w:spacing w:after="0" w:line="16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On January 31, 2025, there was 1 stockholder of record of our Class A common stock and 1 stockholder of record of our Class B common stock. The number of record holders does not include persons who held shares of our Class A common stock in nominee or “street name” accounts through brokers.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42"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We intend to retain any future earnings and do not anticipate declaring or paying any cash dividends in the foreseeable future. See “Item 1A. Risk Factors — Risks Related to Ownership of Our Class A Common Stock — We do not expect to pay dividends in the foreseeable future.”</w:t>
      </w:r>
    </w:p>
    <w:p>
      <w:pPr>
        <w:spacing w:after="0" w:line="186"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Any declaration and payment of future dividends to holders of our common stock will be at the sole discretion of our board of directors and will depend on many factors, including economic conditions, our financial condition and operating results, our available cash and current and anticipated cash needs, capital requirements, legal, tax and regulatory restrictions, including restrictive covenants may be contained in any of our subsidiaries’ credit facilities, and such other factors as our board of directors may deem relevant.</w:t>
      </w:r>
    </w:p>
    <w:p>
      <w:pPr>
        <w:spacing w:after="0" w:line="190"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Under Delaware law, dividends may be payable only out of surplus, which is calculated as our net assets less our liabilities and our capital, or, if we have no surplus, out of our net profits for the fiscal year in which the dividend is declared and/or the preceding fiscal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42" w:lineRule="exact"/>
        <w:rPr>
          <w:sz w:val="20"/>
          <w:szCs w:val="20"/>
          <w:color w:val="auto"/>
        </w:rPr>
      </w:pPr>
    </w:p>
    <w:p>
      <w:pPr>
        <w:ind w:right="80" w:firstLine="360"/>
        <w:spacing w:after="0" w:line="280" w:lineRule="auto"/>
        <w:rPr>
          <w:sz w:val="20"/>
          <w:szCs w:val="20"/>
          <w:color w:val="auto"/>
        </w:rPr>
      </w:pPr>
      <w:r>
        <w:rPr>
          <w:rFonts w:ascii="Times New Roman" w:cs="Times New Roman" w:eastAsia="Times New Roman" w:hAnsi="Times New Roman"/>
          <w:sz w:val="20"/>
          <w:szCs w:val="20"/>
          <w:color w:val="auto"/>
        </w:rPr>
        <w:t>The information required by this item will be filed (and is hereby incorporated by reference) by an amendment hereto or pursuant to a definitive proxy statement pursuant to Regulation 14A that will contain such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following performance graph shall not be deemed “soliciting material” or to be “filed” with the SEC for purposes of Section 18 of the Exchange Act, or otherwise subject to the liabilities under that Section, and shall not be deemed to be incorporated by reference into any filing of Mobileye under the Securities Act or the Exchange Act.</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10800"/>
          </w:cols>
          <w:pgMar w:left="540" w:top="1345" w:right="540" w:bottom="0" w:gutter="0" w:footer="0" w:header="0"/>
          <w:type w:val="continuous"/>
        </w:sectPr>
      </w:pPr>
    </w:p>
    <w:bookmarkStart w:id="77" w:name="page78"/>
    <w:bookmarkEnd w:id="77"/>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following graph compares the cumulative total stockholder return on our Class A common stock with the comparable cumulative return of the NASDAQ Composite index and PHLX Semiconductor index. The graph assumes that $100 was invested in our Class A common stock and in each index on October 26, 2022, the date our Class A common stock began trading on Nasdaq. The comparisons are based on historical data and are not indicative of, nor intended to forecast, the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135890</wp:posOffset>
            </wp:positionV>
            <wp:extent cx="6232525" cy="22860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extLst>
                    </a:blip>
                    <a:srcRect/>
                    <a:stretch>
                      <a:fillRect/>
                    </a:stretch>
                  </pic:blipFill>
                  <pic:spPr bwMode="auto">
                    <a:xfrm>
                      <a:off x="0" y="0"/>
                      <a:ext cx="6232525" cy="228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firstLine="360"/>
        <w:spacing w:after="0" w:line="280" w:lineRule="auto"/>
        <w:rPr>
          <w:sz w:val="20"/>
          <w:szCs w:val="20"/>
          <w:color w:val="auto"/>
        </w:rPr>
      </w:pPr>
      <w:r>
        <w:rPr>
          <w:rFonts w:ascii="Times New Roman" w:cs="Times New Roman" w:eastAsia="Times New Roman" w:hAnsi="Times New Roman"/>
          <w:sz w:val="20"/>
          <w:szCs w:val="20"/>
          <w:color w:val="auto"/>
        </w:rPr>
        <w:t>*$100 invested at the closing price on the first day of trading on October 26, 2022 of Mobileye Class A common stock and in indices, including reinvestment of dividends.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Shares of Equity Securities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Proceeds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44" w:lineRule="exact"/>
        <w:rPr>
          <w:sz w:val="20"/>
          <w:szCs w:val="20"/>
          <w:color w:val="auto"/>
        </w:rPr>
      </w:pPr>
    </w:p>
    <w:p>
      <w:pPr>
        <w:jc w:val="both"/>
        <w:ind w:right="20" w:firstLine="360"/>
        <w:spacing w:after="0" w:line="248" w:lineRule="auto"/>
        <w:rPr>
          <w:sz w:val="20"/>
          <w:szCs w:val="20"/>
          <w:color w:val="auto"/>
        </w:rPr>
      </w:pPr>
      <w:r>
        <w:rPr>
          <w:rFonts w:ascii="Times New Roman" w:cs="Times New Roman" w:eastAsia="Times New Roman" w:hAnsi="Times New Roman"/>
          <w:sz w:val="20"/>
          <w:szCs w:val="20"/>
          <w:color w:val="auto"/>
        </w:rPr>
        <w:t>The following discussion and analysis of our financial condition and results of operations should be read in conjunction with our consolidated financial statements and related notes included elsewhere in this report. Some of the information contained in this discussion and analysis includes forward-looking statements that involve risks and uncertainties. You should review the sections titled “Cautionary Note Regarding Forward-Looking Statements” and “Risk Factors” included elsewhere in this report for a discussion of forward -looking statements and important factors that could cause actual results to differ materially from the results described in or implied by the forward-looking statements contained in the following discussion and analysis.</w:t>
      </w:r>
    </w:p>
    <w:p>
      <w:pPr>
        <w:spacing w:after="0" w:line="194" w:lineRule="exact"/>
        <w:rPr>
          <w:sz w:val="20"/>
          <w:szCs w:val="20"/>
          <w:color w:val="auto"/>
        </w:rPr>
      </w:pPr>
    </w:p>
    <w:p>
      <w:pPr>
        <w:jc w:val="both"/>
        <w:ind w:right="20" w:firstLine="360"/>
        <w:spacing w:after="0" w:line="250" w:lineRule="auto"/>
        <w:rPr>
          <w:sz w:val="20"/>
          <w:szCs w:val="20"/>
          <w:color w:val="auto"/>
        </w:rPr>
      </w:pPr>
      <w:r>
        <w:rPr>
          <w:rFonts w:ascii="Times New Roman" w:cs="Times New Roman" w:eastAsia="Times New Roman" w:hAnsi="Times New Roman"/>
          <w:sz w:val="20"/>
          <w:szCs w:val="20"/>
          <w:color w:val="auto"/>
        </w:rPr>
        <w:t>Our financial data for periods ending or as of dates prior to the completion of the Mobileye IPO have been derived from the consolidated financial statements and accounting records of Intel using the historical results of operations and the historical basis of assets and liabilities. The financial data herein includes costs of our business, which may not, however, reflect the expenses we would have incurred as a stand-alone company for the periods presented. Following the completion of the Mobileye IPO, the consolidated financial statements include the accounts of the Company and its wholly-owned subsidiaries.</w:t>
      </w:r>
    </w:p>
    <w:p>
      <w:pPr>
        <w:sectPr>
          <w:pgSz w:w="11880" w:h="15480" w:orient="portrait"/>
          <w:cols w:equalWidth="0" w:num="1">
            <w:col w:w="10820"/>
          </w:cols>
          <w:pgMar w:left="540" w:top="1347" w:right="5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10820"/>
          </w:cols>
          <w:pgMar w:left="540" w:top="1347" w:right="520" w:bottom="0" w:gutter="0" w:footer="0" w:header="0"/>
          <w:type w:val="continuous"/>
        </w:sectPr>
      </w:pPr>
    </w:p>
    <w:bookmarkStart w:id="78" w:name="page79"/>
    <w:bookmarkEnd w:id="78"/>
    <w:p>
      <w:pPr>
        <w:ind w:left="360"/>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Mobileye is a leader in the development and deployment of ADAS and autonomous driving technologies and solutions. We pioneered ADAS technology more than 20 years ago and have continuously expanded the scope of our ADAS offerings, while leading the evolution to autonomous driving solutions.</w:t>
      </w:r>
    </w:p>
    <w:p>
      <w:pPr>
        <w:spacing w:after="0" w:line="18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 -critical capabilities at the edge and in the cloud, advancing the safety of road users, and revolutionizing the driving experience and the movement of people and goods globally.</w:t>
      </w:r>
    </w:p>
    <w:p>
      <w:pPr>
        <w:spacing w:after="0" w:line="191"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As of December 28, 2024, our solutions had been installed in approximately 1200 vehicle models (including local country, year, and other vehicle model variations), and our SoCs had been deployed in over 200 million vehicles. We are actively working with more than 50 OEMs worldwide on the implementation of our ADAS solutions. For the year ended December 28, 2024, we shipped approximately 29.0 million of our systems, of which the substantial majority were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This represents a decrease from the approximately 37.4 million of our systems that we shipped in 2023 and approximately 33.7 million of our systems that we shipped in 2022, primarily due to a significant drawdown of excess inventory at our Tier 1 customers and a reduction in volumes shipped to China in 2024.</w:t>
      </w:r>
    </w:p>
    <w:p>
      <w:pPr>
        <w:spacing w:after="0" w:line="20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were founded in Israel in 1999. Our co-founder, Professor Amnon Shashua, is our President and Chief Executive Officer. In 2014, we completed an initial public offering as a foreign private issuer and traded under the symbol MBLY on the New York Stock Exchange. Intel acquired Mobileye for $15.3 billion in 2017, after which we became a wholly-owned subsidiary of Intel. We completed the Reorganization and Mobileye IPO in October 2022.</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Our Business Model</w:t>
      </w:r>
    </w:p>
    <w:p>
      <w:pPr>
        <w:spacing w:after="0" w:line="242" w:lineRule="exact"/>
        <w:rPr>
          <w:sz w:val="20"/>
          <w:szCs w:val="20"/>
          <w:color w:val="auto"/>
        </w:rPr>
      </w:pPr>
    </w:p>
    <w:p>
      <w:pPr>
        <w:jc w:val="both"/>
        <w:ind w:firstLine="360"/>
        <w:spacing w:after="0" w:line="225" w:lineRule="auto"/>
        <w:rPr>
          <w:sz w:val="20"/>
          <w:szCs w:val="20"/>
          <w:color w:val="auto"/>
        </w:rPr>
      </w:pPr>
      <w:r>
        <w:rPr>
          <w:rFonts w:ascii="Times New Roman" w:cs="Times New Roman" w:eastAsia="Times New Roman" w:hAnsi="Times New Roman"/>
          <w:sz w:val="20"/>
          <w:szCs w:val="20"/>
          <w:color w:val="auto"/>
        </w:rPr>
        <w:t>We currently derive substantially all of our revenue from our commercially deployed ADAS solutions, including our Premium ADAS solutions. In the future, propelled by our next generation of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including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6 SoC, our Compound AI system architecture, including True Redundancy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our surround computer vision Mobileye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solution, and our software-defined imaging radars, we believe that we will be positioned to deliver an autonomous driving solution that can enable the mass adoption of AV.</w:t>
      </w:r>
    </w:p>
    <w:p>
      <w:pPr>
        <w:spacing w:after="0" w:line="205" w:lineRule="exact"/>
        <w:rPr>
          <w:sz w:val="20"/>
          <w:szCs w:val="20"/>
          <w:color w:val="auto"/>
        </w:rPr>
      </w:pPr>
    </w:p>
    <w:p>
      <w:pPr>
        <w:jc w:val="both"/>
        <w:ind w:firstLine="360"/>
        <w:spacing w:after="0" w:line="233" w:lineRule="auto"/>
        <w:rPr>
          <w:sz w:val="20"/>
          <w:szCs w:val="20"/>
          <w:color w:val="auto"/>
        </w:rPr>
      </w:pPr>
      <w:r>
        <w:rPr>
          <w:rFonts w:ascii="Times New Roman" w:cs="Times New Roman" w:eastAsia="Times New Roman" w:hAnsi="Times New Roman"/>
          <w:sz w:val="20"/>
          <w:szCs w:val="20"/>
          <w:color w:val="auto"/>
        </w:rPr>
        <w:t>We generate the majority of our revenue from the sale of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to OEMs through sales to Tier 1 automotive suppliers. We typically sell our products with volume-based pricing and recognize the revenue and costs associated with our products upon shipment.</w:t>
      </w:r>
    </w:p>
    <w:p>
      <w:pPr>
        <w:spacing w:after="0" w:line="204"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spacing w:after="0" w:line="197" w:lineRule="exact"/>
        <w:rPr>
          <w:sz w:val="20"/>
          <w:szCs w:val="20"/>
          <w:color w:val="auto"/>
        </w:rPr>
      </w:pPr>
    </w:p>
    <w:p>
      <w:pPr>
        <w:jc w:val="both"/>
        <w:ind w:firstLine="360"/>
        <w:spacing w:after="0" w:line="225" w:lineRule="auto"/>
        <w:rPr>
          <w:sz w:val="20"/>
          <w:szCs w:val="20"/>
          <w:color w:val="auto"/>
        </w:rPr>
      </w:pPr>
      <w:r>
        <w:rPr>
          <w:rFonts w:ascii="Times New Roman" w:cs="Times New Roman" w:eastAsia="Times New Roman" w:hAnsi="Times New Roman"/>
          <w:sz w:val="20"/>
          <w:szCs w:val="20"/>
          <w:color w:val="auto"/>
        </w:rPr>
        <w:t>We partner with STMicroelectronics, a leading supplier and innovator of semiconductor devices for automotive applications, in manufacturing, design, and research and development. We have co-developed six generations of our automotive grade SoC,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with STMicroelectronics including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5 and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6. We have also established relationships with several suppliers, such as Quanta Computer, to develop and assemble our ECUs, including the design for our Mobileye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which includes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5 and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6 SoCs manufactured by STMicroelectronics.</w:t>
      </w:r>
    </w:p>
    <w:p>
      <w:pPr>
        <w:spacing w:after="0" w:line="96"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19"/>
          <w:szCs w:val="19"/>
          <w:color w:val="auto"/>
        </w:rPr>
        <w:t>Our close partnership with Intel exists on multiple fronts. As a result of our relationship with Intel, we have access to unique and differentiating technologies. For example, we may license certain technologies from Intel that support the design and development of our software-defined imaging radar, including Intel’s mmWave technologies. Additionally, we intend to explore a collaboration with Intel on a technology platform to integrate our EyeQ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SoC with Intel’s market 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0800"/>
          </w:cols>
          <w:pgMar w:left="540" w:top="1345" w:right="540" w:bottom="0" w:gutter="0" w:footer="0" w:header="0"/>
          <w:type w:val="continuous"/>
        </w:sectPr>
      </w:pPr>
    </w:p>
    <w:bookmarkStart w:id="79" w:name="page80"/>
    <w:bookmarkEnd w:id="79"/>
    <w:p>
      <w:pPr>
        <w:ind w:left="360"/>
        <w:spacing w:after="0"/>
        <w:rPr>
          <w:sz w:val="20"/>
          <w:szCs w:val="20"/>
          <w:color w:val="auto"/>
        </w:rPr>
      </w:pPr>
      <w:r>
        <w:rPr>
          <w:rFonts w:ascii="Times New Roman" w:cs="Times New Roman" w:eastAsia="Times New Roman" w:hAnsi="Times New Roman"/>
          <w:sz w:val="20"/>
          <w:szCs w:val="20"/>
          <w:b w:val="1"/>
          <w:bCs w:val="1"/>
          <w:color w:val="auto"/>
        </w:rPr>
        <w:t>Key Factors Affecting Our Performance</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believe there are several important factors that have affected and that we expect to continue to affect our results of operations:</w:t>
      </w:r>
    </w:p>
    <w:p>
      <w:pPr>
        <w:spacing w:after="0" w:line="240" w:lineRule="exact"/>
        <w:rPr>
          <w:sz w:val="20"/>
          <w:szCs w:val="20"/>
          <w:color w:val="auto"/>
        </w:rPr>
      </w:pPr>
    </w:p>
    <w:p>
      <w:pPr>
        <w:jc w:val="both"/>
        <w:ind w:firstLine="361"/>
        <w:spacing w:after="0" w:line="254" w:lineRule="auto"/>
        <w:rPr>
          <w:sz w:val="20"/>
          <w:szCs w:val="20"/>
          <w:color w:val="auto"/>
        </w:rPr>
      </w:pPr>
      <w:r>
        <w:rPr>
          <w:rFonts w:ascii="Times New Roman" w:cs="Times New Roman" w:eastAsia="Times New Roman" w:hAnsi="Times New Roman"/>
          <w:sz w:val="19"/>
          <w:szCs w:val="19"/>
          <w:b w:val="1"/>
          <w:bCs w:val="1"/>
          <w:i w:val="1"/>
          <w:iCs w:val="1"/>
          <w:color w:val="auto"/>
        </w:rPr>
        <w:t xml:space="preserve">Global demand for automotive vehicles. </w:t>
      </w:r>
      <w:r>
        <w:rPr>
          <w:rFonts w:ascii="Times New Roman" w:cs="Times New Roman" w:eastAsia="Times New Roman" w:hAnsi="Times New Roman"/>
          <w:sz w:val="19"/>
          <w:szCs w:val="19"/>
          <w:color w:val="auto"/>
        </w:rPr>
        <w:t>Our business performance is related to global automotive sales and automotive vehicle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geopolitical issues including trade restrictions and tariffs, as well as other factors. For example, towards the end of the first half of 2024, global automotive production forecasts weakened, which disproportionately impacted our core customers, primarily due to their continued market share losses in China. We cannot be certain of the severity and length of the continued volatility in the global automotive market, including macro factors impacting our sales to OEMs in China, and the extent of the adverse effect that such volatility could have on our results of operations, financial condition and business in the long term. While automotive production has now recovered to approximately 2019 levels, current uncertain economic conditions inflation may contribute to a reduction in consumer demand. In addition to economic conditions, in prior periods, including during the supply chain crisis and semi-conductor shortage of 2021 and 2022, certain Tier 1 customers increased their orders for components and parts, including our solutions, to counteract the impact of supply chain shortages for auto parts. As a result, some demand for our solutions and the corresponding revenue from these customers were shifted to earlier time periods than otherwise would have occurred absent a general supply chain shortage and inflationary environment. As a result of our standard planning process for 2024, including discussions with our Tier 1 customers, we became aware in late 2023 of significant excess inventory at our customers. This as well as lower than expected production at certain OEMs during 2023 led to the decision by our Tier 1 customers to prioritize in the first quarter of 2024 the utilization of excess inventory on hand before using new shipments to meet the demand of OEMs. We estimate our customers used the vast majority of this excess customer inventory in 2024 in accordance with our expectations, but there is no guarantee that orders will remain normalized or that our customers won’t build up excess inventory in the future. ADAS volumes have grown faster in recent years than the overall automotive market as ADAS penetration rates have increased, and we believe that we will continue to benefit from that trend. Our revenue of $1,654 million for the year ended December 28, 2024 was down 20% year-over-year, primarily due to the aforementioned utilization of excess inventory by our customers during the first half of 2024 and a reduction in volumes shipped to China OEMs in 2024. Continued or future constraints on global automotive production resulting from the effects of economic uncertainty, both global and in specific markets in which we operate, may be a limiting factor on our ability to increase revenue. We expect to continue to capitalize on our strong and collaborative relationships with OEMs and Tier 1s to expand our presence in key markets and capture the long-term growth opportunities in those markets.</w:t>
      </w:r>
    </w:p>
    <w:p>
      <w:pPr>
        <w:spacing w:after="0" w:line="200" w:lineRule="exact"/>
        <w:rPr>
          <w:sz w:val="20"/>
          <w:szCs w:val="20"/>
          <w:color w:val="auto"/>
        </w:rPr>
      </w:pPr>
    </w:p>
    <w:p>
      <w:pPr>
        <w:spacing w:after="0" w:line="241" w:lineRule="exact"/>
        <w:rPr>
          <w:sz w:val="20"/>
          <w:szCs w:val="20"/>
          <w:color w:val="auto"/>
        </w:rPr>
      </w:pPr>
    </w:p>
    <w:p>
      <w:pPr>
        <w:jc w:val="both"/>
        <w:ind w:firstLine="361"/>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Design wins with new and existing customers. </w:t>
      </w:r>
      <w:r>
        <w:rPr>
          <w:rFonts w:ascii="Times New Roman" w:cs="Times New Roman" w:eastAsia="Times New Roman" w:hAnsi="Times New Roman"/>
          <w:sz w:val="20"/>
          <w:szCs w:val="20"/>
          <w:color w:val="auto"/>
        </w:rPr>
        <w:t>Global OEMs are continuously looking for innovative ways to improve the customer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including in-house technologies developed by our customers, through investment in research and development. Together with Tier 1 automotive suppliers, we work closely with OEMs to understand their solution requirements and have built close long-term relationships with them extending across multiple generations of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though there is no guarantee that our customers will purchase our solutions in any certain quantity or at any certain price even after we achieve design wins. For example, in the third quarter of 2024 Zeekr announced their decision to utilize their in-house system instead of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for at least a major portion of product for their 001 model going forward.</w:t>
      </w:r>
    </w:p>
    <w:p>
      <w:pPr>
        <w:spacing w:after="0" w:line="204" w:lineRule="exact"/>
        <w:rPr>
          <w:sz w:val="20"/>
          <w:szCs w:val="20"/>
          <w:color w:val="auto"/>
        </w:rPr>
      </w:pPr>
    </w:p>
    <w:p>
      <w:pPr>
        <w:jc w:val="both"/>
        <w:ind w:firstLine="360"/>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Investment in technology leadership and product development</w:t>
      </w:r>
      <w:r>
        <w:rPr>
          <w:rFonts w:ascii="Times New Roman" w:cs="Times New Roman" w:eastAsia="Times New Roman" w:hAnsi="Times New Roman"/>
          <w:sz w:val="20"/>
          <w:szCs w:val="20"/>
          <w:color w:val="auto"/>
        </w:rPr>
        <w:t>. We believe our ability to continue to develop and design highly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advanced and cost-efficient ADAS and AV solutions will position us to extend our technology leadership and encourage greater adoption of our solutions by enabling greater levels of autonomy. We also believe that our roadmap for future generations of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and advanced systems will ultimately power autonomous driving solutions. The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family design further enables scalable ECU architectures, from supporting a variety of ADAS solution architectures to hosting the full workload of autonomous driving, while meeting stringent cost and power efficiency requirements. We expect that our development of software-defined imaging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10800"/>
          </w:cols>
          <w:pgMar w:left="540" w:top="1345" w:right="540" w:bottom="0" w:gutter="0" w:footer="0" w:header="0"/>
          <w:type w:val="continuous"/>
        </w:sectPr>
      </w:pPr>
    </w:p>
    <w:bookmarkStart w:id="80" w:name="page81"/>
    <w:bookmarkEnd w:id="80"/>
    <w:p>
      <w:pPr>
        <w:jc w:val="both"/>
        <w:ind w:firstLine="360"/>
        <w:spacing w:after="0" w:line="258" w:lineRule="auto"/>
        <w:rPr>
          <w:sz w:val="20"/>
          <w:szCs w:val="20"/>
          <w:color w:val="auto"/>
        </w:rPr>
      </w:pPr>
      <w:r>
        <w:rPr>
          <w:rFonts w:ascii="Times New Roman" w:cs="Times New Roman" w:eastAsia="Times New Roman" w:hAnsi="Times New Roman"/>
          <w:sz w:val="19"/>
          <w:szCs w:val="19"/>
          <w:b w:val="1"/>
          <w:bCs w:val="1"/>
          <w:i w:val="1"/>
          <w:iCs w:val="1"/>
          <w:color w:val="auto"/>
        </w:rPr>
        <w:t>Regulation for ADAS and autonomous driving solutions</w:t>
      </w:r>
      <w:r>
        <w:rPr>
          <w:rFonts w:ascii="Times New Roman" w:cs="Times New Roman" w:eastAsia="Times New Roman" w:hAnsi="Times New Roman"/>
          <w:sz w:val="19"/>
          <w:szCs w:val="19"/>
          <w:color w:val="auto"/>
        </w:rPr>
        <w:t>. Demand for our solutions is influenced by the impact of regulation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pacing w:after="0" w:line="192"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spacing w:after="0" w:line="203"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Consumer adoption of our ADAS and autonomous driving solutions</w:t>
      </w:r>
      <w:r>
        <w:rPr>
          <w:rFonts w:ascii="Times New Roman" w:cs="Times New Roman" w:eastAsia="Times New Roman" w:hAnsi="Times New Roman"/>
          <w:sz w:val="20"/>
          <w:szCs w:val="20"/>
          <w:color w:val="auto"/>
        </w:rPr>
        <w:t>. Our financial performance is in part driven by public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awareness and demand for ADAS solutions. Over time we expect autonomous driving solutions to contribute meaningfully to our revenue growth. As a result, consumers’ demand for, and willingness to adopt, ADAS and autonomous driving technologies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spacing w:after="0" w:line="194"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Solution mix, pricing, and product costs</w:t>
      </w:r>
      <w:r>
        <w:rPr>
          <w:rFonts w:ascii="Times New Roman" w:cs="Times New Roman" w:eastAsia="Times New Roman" w:hAnsi="Times New Roman"/>
          <w:sz w:val="20"/>
          <w:szCs w:val="20"/>
          <w:color w:val="auto"/>
        </w:rPr>
        <w:t>. Solution mix is among the most important factors affecting our revenue and gross margin,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 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we expect that our gross margin will decrease on a percentage basis because of the greater third-party hardware content. However, as a result of a higher expected selling price for such systems, we expect our gross profit per unit will increase on a dollar basis.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10800"/>
          </w:cols>
          <w:pgMar w:left="540" w:top="1347" w:right="540" w:bottom="0" w:gutter="0" w:footer="0" w:header="0"/>
          <w:type w:val="continuous"/>
        </w:sectPr>
      </w:pPr>
    </w:p>
    <w:bookmarkStart w:id="81" w:name="page82"/>
    <w:bookmarkEnd w:id="81"/>
    <w:p>
      <w:pPr>
        <w:jc w:val="both"/>
        <w:ind w:firstLine="361"/>
        <w:spacing w:after="0" w:line="249" w:lineRule="auto"/>
        <w:rPr>
          <w:sz w:val="20"/>
          <w:szCs w:val="20"/>
          <w:color w:val="auto"/>
        </w:rPr>
      </w:pPr>
      <w:r>
        <w:rPr>
          <w:rFonts w:ascii="Times New Roman" w:cs="Times New Roman" w:eastAsia="Times New Roman" w:hAnsi="Times New Roman"/>
          <w:sz w:val="19"/>
          <w:szCs w:val="19"/>
          <w:color w:val="auto"/>
        </w:rPr>
        <w:t>ASP varies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also are currently delivering full system solutions consisting of higher-function products such as SuperVision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which carry significantly higher prices as compared to our single EyeQ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SoC and cloud-enhanced ADAS products. We believe our differentiated and scalable solutions consistently enhanced by additional features can enable us to maintain or increase overall ASPs over time, as SuperVision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and other advanced solutions become a larger portion of our product mix.</w:t>
      </w:r>
    </w:p>
    <w:p>
      <w:pPr>
        <w:spacing w:after="0" w:line="88"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We experienced increases in input costs in 2022 and 2023 as a result of supply chain shortages, including the global semiconductor shortage, and inflationary pressures. While we were largely successful in increasing our ASPs to reflect these cost increases, we experienced a reduction in percentage gross margin as a result of these cost increases. Our gross margin has been and may continue to be affected by our ability to offset these and any future cost increases through realizing pricing increases on our solutions and achieving decreases in other production costs. We work closely with STMicroelectronics, Quanta Computer and other suppliers on a continuous basis to manage material costs, increase yields and improve manufacturing, assembly, and test costs.</w:t>
      </w:r>
    </w:p>
    <w:p>
      <w:pPr>
        <w:spacing w:after="0" w:line="196" w:lineRule="exact"/>
        <w:rPr>
          <w:sz w:val="20"/>
          <w:szCs w:val="20"/>
          <w:color w:val="auto"/>
        </w:rPr>
      </w:pPr>
    </w:p>
    <w:p>
      <w:pPr>
        <w:jc w:val="both"/>
        <w:ind w:firstLine="361"/>
        <w:spacing w:after="0" w:line="225" w:lineRule="auto"/>
        <w:rPr>
          <w:sz w:val="20"/>
          <w:szCs w:val="20"/>
          <w:color w:val="auto"/>
        </w:rPr>
      </w:pPr>
      <w:r>
        <w:rPr>
          <w:rFonts w:ascii="Times New Roman" w:cs="Times New Roman" w:eastAsia="Times New Roman" w:hAnsi="Times New Roman"/>
          <w:sz w:val="20"/>
          <w:szCs w:val="20"/>
          <w:b w:val="1"/>
          <w:bCs w:val="1"/>
          <w:i w:val="1"/>
          <w:iCs w:val="1"/>
          <w:color w:val="auto"/>
        </w:rPr>
        <w:t>Supply and manufacturing capacity</w:t>
      </w:r>
      <w:r>
        <w:rPr>
          <w:rFonts w:ascii="Times New Roman" w:cs="Times New Roman" w:eastAsia="Times New Roman" w:hAnsi="Times New Roman"/>
          <w:sz w:val="20"/>
          <w:szCs w:val="20"/>
          <w:color w:val="auto"/>
        </w:rPr>
        <w:t>. Our solutions are dependent on the global semiconductor supply chain. The continued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could limit our ability to meet customer demand and result in delayed, reduced, or canceled orders. During 2021 and 2022, the semiconductor industry experienced widespread shortages of substrates and other components and available foundry manufacturing capacity. We entered 2022 with significantly lower inventories of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on our balance sheet as a result of the limited supply during 2021. Further, STMicroelectronics, our sole supplier of EyeQ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was not able to meet our demand for EyeQ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during 2022, causing a further significant reduction in our company-owned inventory level. Starting in late 2022 and early 2023, such supply chain disruptions, raw material shortages and manufacturing limitations abated and during 2023, we successfully increased levels of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inventory on hand, mitigating the potential for future supply constraints to cause a shortfall of chips. However, in the event of a reoccurrence of supply chain constraints, and subject to the duration and severity thereof, we may be required to operate with minimal or no inventory of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or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ECUs on hand. As a result, we are substantially reliant on timely shipments of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from STMicroelectronics and ECUs from Quanta Computer (or other suppliers) to fulfill customer orders and if such a shortfall of chips or ECUs were to occur, we may be unable to offset future supply constraints through the use of inventory on hand. Our reliance on single or limited suppliers and vendors for certain components, equipment, and services and the aforementioned shortages of substrates and other components have led to increased supply chain risks and continue to stress our ability to meet the supply demands of our customers. To mitigate these supply chain constraints, management continues to monitor inventory levels on an ongoing basis.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 on a long-term basis.</w:t>
      </w:r>
    </w:p>
    <w:p>
      <w:pPr>
        <w:spacing w:after="0" w:line="204"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Public company expenses. </w:t>
      </w:r>
      <w:r>
        <w:rPr>
          <w:rFonts w:ascii="Times New Roman" w:cs="Times New Roman" w:eastAsia="Times New Roman" w:hAnsi="Times New Roman"/>
          <w:sz w:val="20"/>
          <w:szCs w:val="20"/>
          <w:color w:val="auto"/>
        </w:rPr>
        <w:t>As a recently public company, we have implemented and will continue to implement additional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procedures and processes for the purpose of addressing the standards and requirements applicable to public companies. In particular, we expect our accounting, legal and personnel-related expenses to increase as we continue to establish more comprehensive compliance and governance functions and hire additional personnel to support such functions, maintain and review internal controls over financial reporting in accordance with the Sarbanes-Oxley Act, and prepare and distribute periodic reports in accordance with SEC rules. Our financial statements will reflect the impact of these expenses. We also expect the costs of our insurance, including directors’ and officers’ insurance and insurance coverage for AV activity, to increase as a result of higher premiums.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10800"/>
          </w:cols>
          <w:pgMar w:left="540" w:top="1347" w:right="540" w:bottom="0" w:gutter="0" w:footer="0" w:header="0"/>
          <w:type w:val="continuous"/>
        </w:sectPr>
      </w:pPr>
    </w:p>
    <w:bookmarkStart w:id="82" w:name="page83"/>
    <w:bookmarkEnd w:id="82"/>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In addition, in connection with the Mobileye IPO, we established an equity incentive plan for purposes of granting share-based compensation awards to certain members of our senior management, to our non-employee directors and to employees, to incentivize their performance and align their interests with ours. Historically, grants of share-based compensation to our employees were made pursuant to Intel’s employee equity incentive plans, and such historical grants will continue based on their original vesting schedules. Equity compensation has been, and will continue to be, an important part of our future compensation strategy and a significant component of our future expenses, which we expect to increase over time.</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Intel Segment Reporting</w:t>
      </w:r>
    </w:p>
    <w:p>
      <w:pPr>
        <w:spacing w:after="0" w:line="24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39"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auto"/>
        </w:rPr>
        <w:t>We currently derive substantially all of our revenue from our commercially deployed ADAS solutions including our Premium ADAS solutions. We generate the majority of our revenue from the sale of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to OEMs primarily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pacing w:after="0" w:line="202" w:lineRule="exact"/>
        <w:rPr>
          <w:sz w:val="20"/>
          <w:szCs w:val="20"/>
          <w:color w:val="auto"/>
        </w:rPr>
      </w:pPr>
    </w:p>
    <w:p>
      <w:pPr>
        <w:jc w:val="both"/>
        <w:ind w:firstLine="360"/>
        <w:spacing w:after="0" w:line="215" w:lineRule="auto"/>
        <w:rPr>
          <w:sz w:val="20"/>
          <w:szCs w:val="20"/>
          <w:color w:val="auto"/>
        </w:rPr>
      </w:pPr>
      <w:r>
        <w:rPr>
          <w:rFonts w:ascii="Times New Roman" w:cs="Times New Roman" w:eastAsia="Times New Roman" w:hAnsi="Times New Roman"/>
          <w:sz w:val="20"/>
          <w:szCs w:val="20"/>
          <w:color w:val="auto"/>
        </w:rPr>
        <w:t>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sales represented approximately 86% and 89% of our revenue for the years 2024 and 2023, respectively. Sales of our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 represented the majority of the remainder of our revenue for both 2024 and 2023. Revenue from the sale of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and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products is recognized at the time of product shipment from our facilities, as determined by the agreed-upon shipping terms. Our sales to any single Tier 1 automotive supplier typically cover more than one OEM and more than one production program from any OEM.</w:t>
      </w:r>
    </w:p>
    <w:p>
      <w:pPr>
        <w:spacing w:after="0" w:line="2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238" w:lineRule="exact"/>
        <w:rPr>
          <w:sz w:val="20"/>
          <w:szCs w:val="20"/>
          <w:color w:val="auto"/>
        </w:rPr>
      </w:pPr>
    </w:p>
    <w:p>
      <w:pPr>
        <w:jc w:val="both"/>
        <w:ind w:firstLine="360"/>
        <w:spacing w:after="0" w:line="219" w:lineRule="auto"/>
        <w:rPr>
          <w:sz w:val="20"/>
          <w:szCs w:val="20"/>
          <w:color w:val="auto"/>
        </w:rPr>
      </w:pPr>
      <w:r>
        <w:rPr>
          <w:rFonts w:ascii="Times New Roman" w:cs="Times New Roman" w:eastAsia="Times New Roman" w:hAnsi="Times New Roman"/>
          <w:sz w:val="20"/>
          <w:szCs w:val="20"/>
          <w:color w:val="auto"/>
        </w:rPr>
        <w:t>Cost of revenue consists primarily of expenses associated with the manufacturing cost of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and our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 and amortization of acquired intangible assets, identified as developed technology. Additional costs are royalty fees for the intellectual property that is included in the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personnel-related expenses, logistics and insurance costs and allocated overhead costs. As we develop and sell full systems that include hardware beyond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we expect that our gross margin will decrease over time because of the greater hardware content included in our solutions. However, as a result of a higher expected selling price for such systems, we expect our gross profit per unit will increase on a dollar basis in future periods.</w:t>
      </w: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 net</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Research and development expenses primarily consist of expenses associated with personnel related expenses, facilities, equipment and supplies for research and development activities, materials, parts and other prototype development, cloud computing services, consulting and other professional services, quality assurance within the development programs, and allocated overhead costs.</w:t>
      </w:r>
    </w:p>
    <w:p>
      <w:pPr>
        <w:spacing w:after="0" w:line="18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We enter into best-efforts nonrefundable non-recurring engineering (“NRE”)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10800"/>
          </w:cols>
          <w:pgMar w:left="540" w:top="1347" w:right="540" w:bottom="0" w:gutter="0" w:footer="0" w:header="0"/>
          <w:type w:val="continuous"/>
        </w:sectPr>
      </w:pPr>
    </w:p>
    <w:bookmarkStart w:id="83" w:name="page84"/>
    <w:bookmarkEnd w:id="83"/>
    <w:p>
      <w:pPr>
        <w:jc w:val="both"/>
        <w:ind w:firstLine="360"/>
        <w:spacing w:after="0" w:line="228" w:lineRule="auto"/>
        <w:rPr>
          <w:sz w:val="20"/>
          <w:szCs w:val="20"/>
          <w:color w:val="auto"/>
        </w:rPr>
      </w:pPr>
      <w:r>
        <w:rPr>
          <w:rFonts w:ascii="Times New Roman" w:cs="Times New Roman" w:eastAsia="Times New Roman" w:hAnsi="Times New Roman"/>
          <w:sz w:val="20"/>
          <w:szCs w:val="20"/>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The expected increase is mainly due to additional research and development headcount and higher direct expenses that we expect to incur in connection with the development of our new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generations, Premium Driver-Assist offerings and the investment in software and hardware infrastructure for our AV solutions and active sensor suite.</w:t>
      </w:r>
    </w:p>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 Expenses</w:t>
      </w:r>
    </w:p>
    <w:p>
      <w:pPr>
        <w:spacing w:after="0" w:line="18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Sales and marketing expenses consist primarily of expenses associated with the amortization of acquired intangible assets, comprised of customer relationships and brands, personnel-related expenses, including share-based compensation of our sales force, as well as marketing expenses and allocated overhead costs.</w:t>
      </w:r>
    </w:p>
    <w:p>
      <w:pPr>
        <w:spacing w:after="0" w:line="145" w:lineRule="exact"/>
        <w:rPr>
          <w:sz w:val="20"/>
          <w:szCs w:val="20"/>
          <w:color w:val="auto"/>
        </w:rPr>
      </w:pPr>
    </w:p>
    <w:p>
      <w:pPr>
        <w:jc w:val="both"/>
        <w:ind w:firstLine="360"/>
        <w:spacing w:after="0" w:line="296" w:lineRule="auto"/>
        <w:rPr>
          <w:sz w:val="20"/>
          <w:szCs w:val="20"/>
          <w:color w:val="auto"/>
        </w:rPr>
      </w:pPr>
      <w:r>
        <w:rPr>
          <w:rFonts w:ascii="Times New Roman" w:cs="Times New Roman" w:eastAsia="Times New Roman" w:hAnsi="Times New Roman"/>
          <w:sz w:val="19"/>
          <w:szCs w:val="19"/>
          <w:color w:val="auto"/>
        </w:rPr>
        <w:t>We expect to increase our sales and marketing expenses over time, as we continue our efforts to increase market awareness of the benefits of our solutions, but we expect sales and marketing expenses to decrease as a percentage of total revenue as our business grows.</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8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General and administrative expenses consist of personnel-related expenses, including share-based compensation of our executive, insurance costs, expenses associated with finance and legal departments, including legal and accounting fees, litigation expenses, and fees for professional and contract services.</w:t>
      </w:r>
    </w:p>
    <w:p>
      <w:pPr>
        <w:spacing w:after="0" w:line="145"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auto"/>
        </w:rPr>
        <w:t>We expect our general and administrative expenses to moderately increase in absolute dollars but to decrease as a percentage of total revenue as our business grows. The expected increase is mainly associated with the costs related to being a public company, including the need to hire more personnel to support compliance with SEC rules and regulations and the applicable provisions of the Sarbanes-Oxley Act, as well as increased premiums for directors’ and officers’ insurance and the increased use of share-based compensation for general and administrative personnel.</w:t>
      </w:r>
    </w:p>
    <w:p>
      <w:pPr>
        <w:spacing w:after="0" w:line="1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Goodwill Impairment</w:t>
      </w:r>
    </w:p>
    <w:p>
      <w:pPr>
        <w:spacing w:after="0" w:line="188" w:lineRule="exact"/>
        <w:rPr>
          <w:sz w:val="20"/>
          <w:szCs w:val="20"/>
          <w:color w:val="auto"/>
        </w:rPr>
      </w:pPr>
    </w:p>
    <w:p>
      <w:pPr>
        <w:jc w:val="both"/>
        <w:ind w:firstLine="360"/>
        <w:spacing w:after="0" w:line="296" w:lineRule="auto"/>
        <w:rPr>
          <w:sz w:val="20"/>
          <w:szCs w:val="20"/>
          <w:color w:val="auto"/>
        </w:rPr>
      </w:pPr>
      <w:r>
        <w:rPr>
          <w:rFonts w:ascii="Times New Roman" w:cs="Times New Roman" w:eastAsia="Times New Roman" w:hAnsi="Times New Roman"/>
          <w:sz w:val="19"/>
          <w:szCs w:val="19"/>
          <w:color w:val="auto"/>
        </w:rPr>
        <w:t>Goodwill impairment expenses consist of a non-cash impairment loss recognized for the goodwill of the “Mobileye” reporting unit in the year ended December 28, 2024, as a result of the impairment analysis the Company performed during the third quarter of 2024.</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(Expense) with related party, net and Other Financial Income (Expense), net</w:t>
      </w:r>
    </w:p>
    <w:p>
      <w:pPr>
        <w:spacing w:after="0" w:line="188"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auto"/>
        </w:rPr>
        <w:t>On April 21, 2022, we and Intel entered into a loan agreement whereby we issued a promissory note to Intel in an aggregate principal amount of $3.5 billion (the “Dividend Note”). The Dividend Note accrues interest at a rate equal to 1.26% per annum. In November 2022, we used approximately $0.9 billion out of the net proceeds of the Mobileye IPO to repay a portion of the indebtedness under the Dividend Note and Intel contributed to Mobileye the remaining portion of the Dividend Note (plus related accrued interest) such that no amounts under the Dividend Note remain owed by us to Intel.</w:t>
      </w:r>
    </w:p>
    <w:p>
      <w:pPr>
        <w:spacing w:after="0" w:line="156"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In the years ended December 28, 2024 and December 30, 2023, we had no interest income (expense) with related party since the outstanding balance of both the Dividend Note and a loan to Intel were zero as of December 31, 2022. In the year ended December 31, 2022, we incurred a net interest expense with related party of $(6) million which mainly relates to accrued interest on the Dividend Note to Intel.</w:t>
      </w:r>
    </w:p>
    <w:p>
      <w:pPr>
        <w:spacing w:after="0" w:line="153"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Other financial income (expense), net, consists primarily of income related to investments in money market funds, as well as income from short term deposits, fair value revaluation of equity investments and fluctuations in value due to foreign exchange differences between our monetary assets and liabilities denominated in New Israeli Shekels and to a much lesser extent, the Euro, the Chinese Yuan, the Japanese Yen, and other currencies.</w:t>
      </w:r>
    </w:p>
    <w:p>
      <w:pPr>
        <w:sectPr>
          <w:pgSz w:w="11880" w:h="15480" w:orient="portrait"/>
          <w:cols w:equalWidth="0" w:num="1">
            <w:col w:w="10800"/>
          </w:cols>
          <w:pgMar w:left="540" w:top="133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10800"/>
          </w:cols>
          <w:pgMar w:left="540" w:top="1338" w:right="540" w:bottom="0" w:gutter="0" w:footer="0" w:header="0"/>
          <w:type w:val="continuous"/>
        </w:sectPr>
      </w:pPr>
    </w:p>
    <w:bookmarkStart w:id="84" w:name="page85"/>
    <w:bookmarkEnd w:id="84"/>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Benefit (provision) for income taxes</w:t>
      </w:r>
    </w:p>
    <w:p>
      <w:pPr>
        <w:spacing w:after="0" w:line="188" w:lineRule="exact"/>
        <w:rPr>
          <w:sz w:val="20"/>
          <w:szCs w:val="20"/>
          <w:color w:val="auto"/>
        </w:rPr>
      </w:pPr>
    </w:p>
    <w:p>
      <w:pPr>
        <w:jc w:val="both"/>
        <w:ind w:firstLine="361"/>
        <w:spacing w:after="0" w:line="234" w:lineRule="auto"/>
        <w:rPr>
          <w:sz w:val="20"/>
          <w:szCs w:val="20"/>
          <w:color w:val="auto"/>
        </w:rPr>
      </w:pPr>
      <w:r>
        <w:rPr>
          <w:rFonts w:ascii="Times New Roman" w:cs="Times New Roman" w:eastAsia="Times New Roman" w:hAnsi="Times New Roman"/>
          <w:sz w:val="20"/>
          <w:szCs w:val="20"/>
          <w:color w:val="auto"/>
        </w:rPr>
        <w:t>Benefit (provision) for income taxes consists primarily of income taxes related to the United States, Israel and other foreign jurisdictions in which we conduct business. We also have incurred deferred tax liabilities with respect to tax amortization of certain acquired intangible assets. We are eligible for certain tax benefits in Israel under the Investment Law, at a reduced tax rate, subject to specified terms. In addition, the OECD announced an Inclusive Framework on Base Erosion and Profit Shifting including Pillar Two Model Rules defining the global minimum tax in 2021, which calls for the taxation of large multinational corporations at a minimum rate of 15%. Subsequently, multiple sets of administrative guidance have been issued. Many non-US tax jurisdictions have either recently enacted legislation to adopt certain components of the Pillar Two Model Rules beginning in 2024 (including the European Union Member States), with the adoption of additional components in later years, or announced their plans to enact legislation in future years. We are continuing to evaluate the impacts of enacted legislation and pending legislation to enact Pillar Two Model Rules in the non-US tax jurisdictions in which we operate.</w:t>
      </w:r>
    </w:p>
    <w:p>
      <w:pPr>
        <w:spacing w:after="0" w:line="15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auto"/>
        </w:rPr>
        <w:t>During the years presented in our consolidated financial statements, certain components of our business operations were included in the consolidated U.S. tax return filed by Intel. We also file certain foreign income tax returns on a separate basis, distinct from Intel. The income tax provision included in our consolidated financial statements has been calculated using the separate return method as if we had filed our own tax returns. We present tax loss and tax credit carry-forward amounts that have not been utilized by Intel only to the extent such tax attributes can be claimed as a benefit consistent with our separate tax return method approach. The use of the separate return method may result in differences between our income tax provision compared to Intel’s consolidated income tax provision.</w:t>
      </w:r>
    </w:p>
    <w:p>
      <w:pPr>
        <w:spacing w:after="0" w:line="143"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auto"/>
        </w:rPr>
        <w:t>In 2021, Mobileye’s Israeli operations became taxable in the United States as a branch entity. In 2022, Moovit’s Israeli operations became taxable in the United States as a branch entity. As a result, these operations are taxed both in the United States and Israel. For U.S. tax purposes, there are favorable future tax deductions that we have not benefited due to a valuation allowance position. If warranted, based on the assessment of verifiable evidence in support of the realization of deferred tax assets, the valuation allowances may be released, resulting in a tax benefit.</w:t>
      </w:r>
    </w:p>
    <w:p>
      <w:pPr>
        <w:spacing w:after="0" w:line="156"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years presented in our consolidated financial statements primarily relates to U.S. branch deferred tax assets not currently expected to be realized given that we have sustained recent losses based on the separate return method.</w:t>
      </w:r>
    </w:p>
    <w:p>
      <w:pPr>
        <w:spacing w:after="0" w:line="153" w:lineRule="exact"/>
        <w:rPr>
          <w:sz w:val="20"/>
          <w:szCs w:val="20"/>
          <w:color w:val="auto"/>
        </w:rPr>
      </w:pPr>
    </w:p>
    <w:p>
      <w:pPr>
        <w:jc w:val="both"/>
        <w:ind w:firstLine="361"/>
        <w:spacing w:after="0" w:line="242" w:lineRule="auto"/>
        <w:rPr>
          <w:sz w:val="20"/>
          <w:szCs w:val="20"/>
          <w:color w:val="auto"/>
        </w:rPr>
      </w:pPr>
      <w:r>
        <w:rPr>
          <w:rFonts w:ascii="Times New Roman" w:cs="Times New Roman" w:eastAsia="Times New Roman" w:hAnsi="Times New Roman"/>
          <w:sz w:val="20"/>
          <w:szCs w:val="20"/>
          <w:color w:val="auto"/>
        </w:rPr>
        <w:t>Certain net operating losses and tax credit carry-forward tax attributes generated by the Company that have been utilized as part of Intel’s consolidated income tax return filings, but have not been utilized by the Company under the separate return method approach, have been reflected in the consolidated financial statements because the Company will recognize a benefit based on the separate return method when determined to be realizable.</w:t>
      </w:r>
    </w:p>
    <w:p>
      <w:pPr>
        <w:sectPr>
          <w:pgSz w:w="11880" w:h="15480" w:orient="portrait"/>
          <w:cols w:equalWidth="0" w:num="1">
            <w:col w:w="10800"/>
          </w:cols>
          <w:pgMar w:left="540" w:top="133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10800"/>
          </w:cols>
          <w:pgMar w:left="540" w:top="1339" w:right="540" w:bottom="0" w:gutter="0" w:footer="0" w:header="0"/>
          <w:type w:val="continuous"/>
        </w:sectPr>
      </w:pPr>
    </w:p>
    <w:bookmarkStart w:id="85" w:name="page86"/>
    <w:bookmarkEnd w:id="85"/>
    <w:p>
      <w:pPr>
        <w:ind w:left="360"/>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sets forth our results of operations in dollars and as a percentage of revenue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4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5"/>
          </w:tcPr>
          <w:p>
            <w:pPr>
              <w:jc w:val="center"/>
              <w:ind w:left="243"/>
              <w:spacing w:after="0" w:line="15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4"/>
          </w:tcPr>
          <w:p>
            <w:pPr>
              <w:jc w:val="center"/>
              <w:ind w:left="164"/>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30,</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5"/>
          </w:tcPr>
          <w:p>
            <w:pPr>
              <w:jc w:val="right"/>
              <w:ind w:right="340"/>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jc w:val="center"/>
              <w:ind w:left="16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4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520" w:type="dxa"/>
            <w:vAlign w:val="bottom"/>
            <w:gridSpan w:val="2"/>
            <w:vMerge w:val="continue"/>
          </w:tcPr>
          <w:p>
            <w:pPr>
              <w:spacing w:after="0"/>
              <w:rPr>
                <w:sz w:val="14"/>
                <w:szCs w:val="14"/>
                <w:color w:val="auto"/>
              </w:rPr>
            </w:pPr>
          </w:p>
        </w:tc>
        <w:tc>
          <w:tcPr>
            <w:tcW w:w="1860" w:type="dxa"/>
            <w:vAlign w:val="bottom"/>
            <w:gridSpan w:val="7"/>
          </w:tcPr>
          <w:p>
            <w:pPr>
              <w:jc w:val="right"/>
              <w:spacing w:after="0" w:line="163" w:lineRule="exact"/>
              <w:rPr>
                <w:sz w:val="20"/>
                <w:szCs w:val="20"/>
                <w:color w:val="auto"/>
              </w:rPr>
            </w:pPr>
            <w:r>
              <w:rPr>
                <w:rFonts w:ascii="Times New Roman" w:cs="Times New Roman" w:eastAsia="Times New Roman" w:hAnsi="Times New Roman"/>
                <w:sz w:val="16"/>
                <w:szCs w:val="16"/>
                <w:b w:val="1"/>
                <w:bCs w:val="1"/>
                <w:color w:val="auto"/>
              </w:rPr>
              <w:t>Amount   % of Revenue</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6"/>
          </w:tcPr>
          <w:p>
            <w:pPr>
              <w:jc w:val="center"/>
              <w:spacing w:after="0" w:line="163" w:lineRule="exact"/>
              <w:rPr>
                <w:sz w:val="20"/>
                <w:szCs w:val="20"/>
                <w:color w:val="auto"/>
              </w:rPr>
            </w:pPr>
            <w:r>
              <w:rPr>
                <w:rFonts w:ascii="Times New Roman" w:cs="Times New Roman" w:eastAsia="Times New Roman" w:hAnsi="Times New Roman"/>
                <w:sz w:val="16"/>
                <w:szCs w:val="16"/>
                <w:b w:val="1"/>
                <w:bCs w:val="1"/>
                <w:color w:val="auto"/>
              </w:rPr>
              <w:t>Amount   % of Revenue</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ind w:left="40"/>
              <w:spacing w:after="0" w:line="163" w:lineRule="exact"/>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4"/>
                <w:szCs w:val="14"/>
                <w:color w:val="auto"/>
              </w:rPr>
            </w:pPr>
          </w:p>
        </w:tc>
        <w:tc>
          <w:tcPr>
            <w:tcW w:w="9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6"/>
                <w:szCs w:val="16"/>
                <w:b w:val="1"/>
                <w:bCs w:val="1"/>
                <w:color w:val="auto"/>
                <w:w w:val="97"/>
              </w:rPr>
              <w:t>% of Revenue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520" w:type="dxa"/>
            <w:vAlign w:val="bottom"/>
            <w:gridSpan w:val="2"/>
          </w:tcPr>
          <w:p>
            <w:pPr>
              <w:jc w:val="right"/>
              <w:ind w:right="300"/>
              <w:spacing w:after="0" w:line="208" w:lineRule="exact"/>
              <w:rPr>
                <w:sz w:val="20"/>
                <w:szCs w:val="20"/>
                <w:color w:val="auto"/>
              </w:rPr>
            </w:pPr>
            <w:r>
              <w:rPr>
                <w:rFonts w:ascii="Times New Roman" w:cs="Times New Roman" w:eastAsia="Times New Roman" w:hAnsi="Times New Roman"/>
                <w:sz w:val="20"/>
                <w:szCs w:val="20"/>
                <w:color w:val="auto"/>
                <w:w w:val="96"/>
              </w:rPr>
              <w:t>. . . . . . . . . . . . . . . . . . . . . . . . . . . . . . . . . . . . .Revenue</w:t>
            </w:r>
          </w:p>
        </w:tc>
        <w:tc>
          <w:tcPr>
            <w:tcW w:w="12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1,654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100</w:t>
            </w:r>
          </w:p>
        </w:tc>
        <w:tc>
          <w:tcPr>
            <w:tcW w:w="280" w:type="dxa"/>
            <w:vAlign w:val="bottom"/>
          </w:tcPr>
          <w:p>
            <w:pPr>
              <w:spacing w:after="0" w:line="208"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2,079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100</w:t>
            </w:r>
          </w:p>
        </w:tc>
        <w:tc>
          <w:tcPr>
            <w:tcW w:w="280" w:type="dxa"/>
            <w:vAlign w:val="bottom"/>
          </w:tcPr>
          <w:p>
            <w:pPr>
              <w:jc w:val="right"/>
              <w:ind w:right="20"/>
              <w:spacing w:after="0" w:line="208" w:lineRule="exact"/>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1,869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100</w:t>
            </w:r>
          </w:p>
        </w:tc>
        <w:tc>
          <w:tcPr>
            <w:tcW w:w="2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241"/>
        </w:trPr>
        <w:tc>
          <w:tcPr>
            <w:tcW w:w="4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Cost of revenue . . . . . . . . . . . . . . . . . . . . . . . . . . . . . . .</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55 %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50 %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947</w:t>
            </w:r>
          </w:p>
        </w:tc>
        <w:tc>
          <w:tcPr>
            <w:tcW w:w="20" w:type="dxa"/>
            <w:vAlign w:val="bottom"/>
          </w:tcPr>
          <w:p>
            <w:pPr>
              <w:spacing w:after="0"/>
              <w:rPr>
                <w:sz w:val="20"/>
                <w:szCs w:val="20"/>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51 %</w:t>
            </w:r>
          </w:p>
        </w:tc>
        <w:tc>
          <w:tcPr>
            <w:tcW w:w="0" w:type="dxa"/>
            <w:vAlign w:val="bottom"/>
          </w:tcPr>
          <w:p>
            <w:pPr>
              <w:spacing w:after="0"/>
              <w:rPr>
                <w:sz w:val="1"/>
                <w:szCs w:val="1"/>
                <w:color w:val="auto"/>
              </w:rPr>
            </w:pPr>
          </w:p>
        </w:tc>
      </w:tr>
      <w:tr>
        <w:trPr>
          <w:trHeight w:val="220"/>
        </w:trPr>
        <w:tc>
          <w:tcPr>
            <w:tcW w:w="4520" w:type="dxa"/>
            <w:vAlign w:val="bottom"/>
            <w:gridSpan w:val="2"/>
          </w:tcPr>
          <w:p>
            <w:pPr>
              <w:jc w:val="right"/>
              <w:ind w:right="300"/>
              <w:spacing w:after="0" w:line="219" w:lineRule="exact"/>
              <w:rPr>
                <w:sz w:val="20"/>
                <w:szCs w:val="20"/>
                <w:color w:val="auto"/>
              </w:rPr>
            </w:pPr>
            <w:r>
              <w:rPr>
                <w:rFonts w:ascii="Times New Roman" w:cs="Times New Roman" w:eastAsia="Times New Roman" w:hAnsi="Times New Roman"/>
                <w:sz w:val="20"/>
                <w:szCs w:val="20"/>
                <w:color w:val="auto"/>
                <w:w w:val="99"/>
              </w:rPr>
              <w:t>. . . . . . . . . . . . . . . . . . . . . . . . . . . . . . . . .</w:t>
            </w:r>
            <w:r>
              <w:rPr>
                <w:rFonts w:ascii="Times New Roman" w:cs="Times New Roman" w:eastAsia="Times New Roman" w:hAnsi="Times New Roman"/>
                <w:sz w:val="20"/>
                <w:szCs w:val="20"/>
                <w:b w:val="1"/>
                <w:bCs w:val="1"/>
                <w:color w:val="auto"/>
                <w:w w:val="99"/>
              </w:rPr>
              <w:t>Grossprofit</w:t>
            </w: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741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45</w:t>
            </w:r>
          </w:p>
        </w:tc>
        <w:tc>
          <w:tcPr>
            <w:tcW w:w="280" w:type="dxa"/>
            <w:vAlign w:val="bottom"/>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1,047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50</w:t>
            </w:r>
          </w:p>
        </w:tc>
        <w:tc>
          <w:tcPr>
            <w:tcW w:w="2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w w:val="89"/>
              </w:rPr>
              <w:t>%</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922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49</w:t>
            </w:r>
          </w:p>
        </w:tc>
        <w:tc>
          <w:tcPr>
            <w:tcW w:w="2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w w:val="89"/>
              </w:rPr>
              <w:t>%</w:t>
            </w:r>
          </w:p>
        </w:tc>
        <w:tc>
          <w:tcPr>
            <w:tcW w:w="0" w:type="dxa"/>
            <w:vAlign w:val="bottom"/>
          </w:tcPr>
          <w:p>
            <w:pPr>
              <w:spacing w:after="0"/>
              <w:rPr>
                <w:sz w:val="1"/>
                <w:szCs w:val="1"/>
                <w:color w:val="auto"/>
              </w:rPr>
            </w:pPr>
          </w:p>
        </w:tc>
      </w:tr>
      <w:tr>
        <w:trPr>
          <w:trHeight w:val="209"/>
        </w:trPr>
        <w:tc>
          <w:tcPr>
            <w:tcW w:w="452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Operating expenses: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7"/>
              </w:rPr>
              <w:t>Research and development, net . . . . . . . . . . . . . . . . . .</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65 %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43 %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w:t>
            </w:r>
          </w:p>
        </w:tc>
        <w:tc>
          <w:tcPr>
            <w:tcW w:w="20" w:type="dxa"/>
            <w:vAlign w:val="bottom"/>
          </w:tcPr>
          <w:p>
            <w:pPr>
              <w:spacing w:after="0"/>
              <w:rPr>
                <w:sz w:val="19"/>
                <w:szCs w:val="19"/>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42 %</w:t>
            </w:r>
          </w:p>
        </w:tc>
        <w:tc>
          <w:tcPr>
            <w:tcW w:w="0" w:type="dxa"/>
            <w:vAlign w:val="bottom"/>
          </w:tcPr>
          <w:p>
            <w:pPr>
              <w:spacing w:after="0"/>
              <w:rPr>
                <w:sz w:val="1"/>
                <w:szCs w:val="1"/>
                <w:color w:val="auto"/>
              </w:rPr>
            </w:pPr>
          </w:p>
        </w:tc>
      </w:tr>
      <w:tr>
        <w:trPr>
          <w:trHeight w:val="230"/>
        </w:trPr>
        <w:tc>
          <w:tcPr>
            <w:tcW w:w="4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7"/>
              </w:rPr>
              <w:t>Sales and marketing . . . . . . . . . . . . . . . . . . . . . . . . . . .</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20" w:type="dxa"/>
            <w:vAlign w:val="bottom"/>
          </w:tcPr>
          <w:p>
            <w:pPr>
              <w:spacing w:after="0"/>
              <w:rPr>
                <w:sz w:val="20"/>
                <w:szCs w:val="20"/>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6 %</w:t>
            </w:r>
          </w:p>
        </w:tc>
        <w:tc>
          <w:tcPr>
            <w:tcW w:w="0" w:type="dxa"/>
            <w:vAlign w:val="bottom"/>
          </w:tcPr>
          <w:p>
            <w:pPr>
              <w:spacing w:after="0"/>
              <w:rPr>
                <w:sz w:val="1"/>
                <w:szCs w:val="1"/>
                <w:color w:val="auto"/>
              </w:rPr>
            </w:pPr>
          </w:p>
        </w:tc>
      </w:tr>
      <w:tr>
        <w:trPr>
          <w:trHeight w:val="230"/>
        </w:trPr>
        <w:tc>
          <w:tcPr>
            <w:tcW w:w="4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General and administrative . . . . . . . . . . . . . . . . . . . . .</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0"/>
                <w:szCs w:val="20"/>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3 %</w:t>
            </w:r>
          </w:p>
        </w:tc>
        <w:tc>
          <w:tcPr>
            <w:tcW w:w="0" w:type="dxa"/>
            <w:vAlign w:val="bottom"/>
          </w:tcPr>
          <w:p>
            <w:pPr>
              <w:spacing w:after="0"/>
              <w:rPr>
                <w:sz w:val="1"/>
                <w:szCs w:val="1"/>
                <w:color w:val="auto"/>
              </w:rPr>
            </w:pPr>
          </w:p>
        </w:tc>
      </w:tr>
      <w:tr>
        <w:trPr>
          <w:trHeight w:val="241"/>
        </w:trPr>
        <w:tc>
          <w:tcPr>
            <w:tcW w:w="4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7"/>
              </w:rPr>
              <w:t>Goodwill impairment . . . . . . . . . . . . . . . . . . . . . . . . . .</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163 %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4"/>
          </w:tcPr>
          <w:p>
            <w:pPr>
              <w:jc w:val="right"/>
              <w:ind w:right="78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 %</w:t>
            </w:r>
          </w:p>
        </w:tc>
        <w:tc>
          <w:tcPr>
            <w:tcW w:w="12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20"/>
        </w:trPr>
        <w:tc>
          <w:tcPr>
            <w:tcW w:w="4520" w:type="dxa"/>
            <w:vAlign w:val="bottom"/>
            <w:gridSpan w:val="2"/>
          </w:tcPr>
          <w:p>
            <w:pPr>
              <w:jc w:val="right"/>
              <w:ind w:right="300"/>
              <w:spacing w:after="0" w:line="215" w:lineRule="exact"/>
              <w:rPr>
                <w:sz w:val="20"/>
                <w:szCs w:val="20"/>
                <w:color w:val="auto"/>
              </w:rPr>
            </w:pPr>
            <w:r>
              <w:rPr>
                <w:rFonts w:ascii="Times New Roman" w:cs="Times New Roman" w:eastAsia="Times New Roman" w:hAnsi="Times New Roman"/>
                <w:sz w:val="20"/>
                <w:szCs w:val="20"/>
                <w:color w:val="auto"/>
              </w:rPr>
              <w:t>. . . . . . . . . . . . . . . . . . . . . . .Totaloperatingexpenses</w:t>
            </w: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3,966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240</w:t>
            </w:r>
          </w:p>
        </w:tc>
        <w:tc>
          <w:tcPr>
            <w:tcW w:w="28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1,080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52</w:t>
            </w:r>
          </w:p>
        </w:tc>
        <w:tc>
          <w:tcPr>
            <w:tcW w:w="280" w:type="dxa"/>
            <w:vAlign w:val="bottom"/>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959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51</w:t>
            </w:r>
          </w:p>
        </w:tc>
        <w:tc>
          <w:tcPr>
            <w:tcW w:w="2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239"/>
        </w:trPr>
        <w:tc>
          <w:tcPr>
            <w:tcW w:w="4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 . . . . . . . . . . . . . . . . . . . . . .</w:t>
            </w:r>
            <w:r>
              <w:rPr>
                <w:rFonts w:ascii="Times New Roman" w:cs="Times New Roman" w:eastAsia="Times New Roman" w:hAnsi="Times New Roman"/>
                <w:sz w:val="20"/>
                <w:szCs w:val="20"/>
                <w:b w:val="1"/>
                <w:bCs w:val="1"/>
                <w:color w:val="auto"/>
              </w:rPr>
              <w:t>Operatingincome(loss)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(3,225)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(195)</w:t>
            </w:r>
          </w:p>
        </w:tc>
        <w:tc>
          <w:tcPr>
            <w:tcW w:w="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0" w:type="dxa"/>
            <w:vAlign w:val="bottom"/>
          </w:tcPr>
          <w:p>
            <w:pPr>
              <w:spacing w:after="0"/>
              <w:rPr>
                <w:sz w:val="1"/>
                <w:szCs w:val="1"/>
                <w:color w:val="auto"/>
              </w:rPr>
            </w:pPr>
          </w:p>
        </w:tc>
      </w:tr>
      <w:tr>
        <w:trPr>
          <w:trHeight w:val="209"/>
        </w:trPr>
        <w:tc>
          <w:tcPr>
            <w:tcW w:w="452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Interest income (expense) with related party, net</w:t>
            </w: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4 %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2 %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41"/>
        </w:trPr>
        <w:tc>
          <w:tcPr>
            <w:tcW w:w="4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and other financial income (expense), net . . . . . . . .</w:t>
            </w:r>
          </w:p>
        </w:tc>
        <w:tc>
          <w:tcPr>
            <w:tcW w:w="1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20" w:type="dxa"/>
            <w:vAlign w:val="bottom"/>
            <w:gridSpan w:val="2"/>
          </w:tcPr>
          <w:p>
            <w:pPr>
              <w:jc w:val="right"/>
              <w:ind w:right="300"/>
              <w:spacing w:after="0" w:line="209" w:lineRule="exact"/>
              <w:rPr>
                <w:sz w:val="20"/>
                <w:szCs w:val="20"/>
                <w:color w:val="auto"/>
              </w:rPr>
            </w:pPr>
            <w:r>
              <w:rPr>
                <w:rFonts w:ascii="Times New Roman" w:cs="Times New Roman" w:eastAsia="Times New Roman" w:hAnsi="Times New Roman"/>
                <w:sz w:val="20"/>
                <w:szCs w:val="20"/>
                <w:color w:val="auto"/>
              </w:rPr>
              <w:t>. . . . . . . . . . . . . .</w:t>
            </w:r>
            <w:r>
              <w:rPr>
                <w:rFonts w:ascii="Times New Roman" w:cs="Times New Roman" w:eastAsia="Times New Roman" w:hAnsi="Times New Roman"/>
                <w:sz w:val="20"/>
                <w:szCs w:val="20"/>
                <w:b w:val="1"/>
                <w:bCs w:val="1"/>
                <w:color w:val="auto"/>
              </w:rPr>
              <w:t>Income(loss)beforeincometaxes</w:t>
            </w: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(3,163)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(191)</w:t>
            </w:r>
          </w:p>
        </w:tc>
        <w:tc>
          <w:tcPr>
            <w:tcW w:w="280" w:type="dxa"/>
            <w:vAlign w:val="bottom"/>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16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1</w:t>
            </w:r>
          </w:p>
        </w:tc>
        <w:tc>
          <w:tcPr>
            <w:tcW w:w="2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w w:val="89"/>
              </w:rPr>
              <w:t>%</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(2)</w:t>
            </w:r>
          </w:p>
        </w:tc>
        <w:tc>
          <w:tcPr>
            <w:tcW w:w="2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w w:val="89"/>
              </w:rPr>
              <w:t>%</w:t>
            </w:r>
          </w:p>
        </w:tc>
        <w:tc>
          <w:tcPr>
            <w:tcW w:w="0" w:type="dxa"/>
            <w:vAlign w:val="bottom"/>
          </w:tcPr>
          <w:p>
            <w:pPr>
              <w:spacing w:after="0"/>
              <w:rPr>
                <w:sz w:val="1"/>
                <w:szCs w:val="1"/>
                <w:color w:val="auto"/>
              </w:rPr>
            </w:pPr>
          </w:p>
        </w:tc>
      </w:tr>
      <w:tr>
        <w:trPr>
          <w:trHeight w:val="241"/>
        </w:trPr>
        <w:tc>
          <w:tcPr>
            <w:tcW w:w="4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7"/>
              </w:rPr>
              <w:t>Benefit (provision) for income taxes . . . . . . . . . . . . . .</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(43)</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(50)</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40"/>
        </w:trPr>
        <w:tc>
          <w:tcPr>
            <w:tcW w:w="4500" w:type="dxa"/>
            <w:vAlign w:val="bottom"/>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w w:val="96"/>
              </w:rPr>
              <w:t xml:space="preserve">Net income (loss) </w:t>
            </w:r>
            <w:r>
              <w:rPr>
                <w:rFonts w:ascii="Times New Roman" w:cs="Times New Roman" w:eastAsia="Times New Roman" w:hAnsi="Times New Roman"/>
                <w:sz w:val="20"/>
                <w:szCs w:val="20"/>
                <w:color w:val="auto"/>
                <w:w w:val="96"/>
              </w:rPr>
              <w:t>. . . . . . . . . . . . . . . . . . . . . . . . . . . . .</w:t>
            </w: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(3,090)</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(187)</w:t>
            </w:r>
          </w:p>
        </w:tc>
        <w:tc>
          <w:tcPr>
            <w:tcW w:w="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227330</wp:posOffset>
                </wp:positionH>
                <wp:positionV relativeFrom="paragraph">
                  <wp:posOffset>106045</wp:posOffset>
                </wp:positionV>
                <wp:extent cx="165735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9pt,8.35pt" to="148.4pt,8.35pt" o:allowincell="f" strokecolor="#000000" strokeweight="1.0199pt"/>
            </w:pict>
          </mc:Fallback>
        </mc:AlternateConten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(1)  Includes amortization of acquired intangible assets,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65"/>
        </w:trPr>
        <w:tc>
          <w:tcPr>
            <w:tcW w:w="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December 28,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December 30,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3"/>
        </w:trPr>
        <w:tc>
          <w:tcPr>
            <w:tcW w:w="73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09"/>
        </w:trPr>
        <w:tc>
          <w:tcPr>
            <w:tcW w:w="7300" w:type="dxa"/>
            <w:vAlign w:val="bottom"/>
            <w:gridSpan w:val="4"/>
          </w:tcPr>
          <w:p>
            <w:pPr>
              <w:jc w:val="right"/>
              <w:ind w:right="280"/>
              <w:spacing w:after="0" w:line="209"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 . .Costofrevenue</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27"/>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469</w:t>
            </w:r>
          </w:p>
        </w:tc>
      </w:tr>
      <w:tr>
        <w:trPr>
          <w:trHeight w:val="241"/>
        </w:trPr>
        <w:tc>
          <w:tcPr>
            <w:tcW w:w="7520" w:type="dxa"/>
            <w:vAlign w:val="bottom"/>
            <w:gridSpan w:val="5"/>
          </w:tcPr>
          <w:p>
            <w:pPr>
              <w:jc w:val="right"/>
              <w:ind w:right="417"/>
              <w:spacing w:after="0"/>
              <w:rPr>
                <w:sz w:val="20"/>
                <w:szCs w:val="20"/>
                <w:color w:val="auto"/>
              </w:rPr>
            </w:pPr>
            <w:r>
              <w:rPr>
                <w:rFonts w:ascii="Times New Roman" w:cs="Times New Roman" w:eastAsia="Times New Roman" w:hAnsi="Times New Roman"/>
                <w:sz w:val="20"/>
                <w:szCs w:val="20"/>
                <w:color w:val="auto"/>
                <w:w w:val="96"/>
              </w:rPr>
              <w:t>Sales and marketing . . . . . . . . . . . . . . . . . . . . . . . . . . . . . . . . . . . . .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40"/>
        </w:trPr>
        <w:tc>
          <w:tcPr>
            <w:tcW w:w="728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w w:val="98"/>
              </w:rPr>
              <w:t>Total amortization of acquired intangible assets</w:t>
            </w:r>
            <w:r>
              <w:rPr>
                <w:rFonts w:ascii="Times New Roman" w:cs="Times New Roman" w:eastAsia="Times New Roman" w:hAnsi="Times New Roman"/>
                <w:sz w:val="20"/>
                <w:szCs w:val="20"/>
                <w:color w:val="auto"/>
                <w:w w:val="98"/>
              </w:rPr>
              <w:t>. . . . . . . . . . . . . . . . . . . . . . . . . . . . . . .</w:t>
            </w: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444</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474</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544</w:t>
            </w:r>
          </w:p>
        </w:tc>
      </w:tr>
      <w:tr>
        <w:trPr>
          <w:trHeight w:val="159"/>
        </w:trPr>
        <w:tc>
          <w:tcPr>
            <w:tcW w:w="360" w:type="dxa"/>
            <w:vAlign w:val="bottom"/>
          </w:tcPr>
          <w:p>
            <w:pPr>
              <w:spacing w:after="0"/>
              <w:rPr>
                <w:sz w:val="13"/>
                <w:szCs w:val="13"/>
                <w:color w:val="auto"/>
              </w:rPr>
            </w:pPr>
          </w:p>
        </w:tc>
        <w:tc>
          <w:tcPr>
            <w:tcW w:w="2600" w:type="dxa"/>
            <w:vAlign w:val="bottom"/>
            <w:tcBorders>
              <w:bottom w:val="single" w:sz="8" w:color="auto"/>
            </w:tcBorders>
          </w:tcPr>
          <w:p>
            <w:pPr>
              <w:spacing w:after="0"/>
              <w:rPr>
                <w:sz w:val="13"/>
                <w:szCs w:val="13"/>
                <w:color w:val="auto"/>
              </w:rPr>
            </w:pPr>
          </w:p>
        </w:tc>
        <w:tc>
          <w:tcPr>
            <w:tcW w:w="43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99"/>
        </w:trPr>
        <w:tc>
          <w:tcPr>
            <w:tcW w:w="360" w:type="dxa"/>
            <w:vAlign w:val="bottom"/>
          </w:tcPr>
          <w:p>
            <w:pPr>
              <w:spacing w:after="0"/>
              <w:rPr>
                <w:sz w:val="24"/>
                <w:szCs w:val="24"/>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(2)  Includes share-based compensation expense, as follows: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26"/>
        </w:trPr>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65"/>
        </w:trPr>
        <w:tc>
          <w:tcPr>
            <w:tcW w:w="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December 28,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December 30,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4"/>
        </w:trPr>
        <w:tc>
          <w:tcPr>
            <w:tcW w:w="73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08"/>
        </w:trPr>
        <w:tc>
          <w:tcPr>
            <w:tcW w:w="7300" w:type="dxa"/>
            <w:vAlign w:val="bottom"/>
            <w:gridSpan w:val="4"/>
          </w:tcPr>
          <w:p>
            <w:pPr>
              <w:jc w:val="right"/>
              <w:ind w:right="280"/>
              <w:spacing w:after="0" w:line="208"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 . .Costofrevenue</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2</w:t>
            </w:r>
          </w:p>
        </w:tc>
        <w:tc>
          <w:tcPr>
            <w:tcW w:w="220" w:type="dxa"/>
            <w:vAlign w:val="bottom"/>
            <w:gridSpan w:val="2"/>
          </w:tcPr>
          <w:p>
            <w:pPr>
              <w:spacing w:after="0"/>
              <w:rPr>
                <w:sz w:val="18"/>
                <w:szCs w:val="18"/>
                <w:color w:val="auto"/>
              </w:rPr>
            </w:pPr>
          </w:p>
        </w:tc>
        <w:tc>
          <w:tcPr>
            <w:tcW w:w="1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2</w:t>
            </w:r>
          </w:p>
        </w:tc>
        <w:tc>
          <w:tcPr>
            <w:tcW w:w="220" w:type="dxa"/>
            <w:vAlign w:val="bottom"/>
            <w:gridSpan w:val="2"/>
          </w:tcPr>
          <w:p>
            <w:pPr>
              <w:spacing w:after="0"/>
              <w:rPr>
                <w:sz w:val="18"/>
                <w:szCs w:val="18"/>
                <w:color w:val="auto"/>
              </w:rPr>
            </w:pPr>
          </w:p>
        </w:tc>
        <w:tc>
          <w:tcPr>
            <w:tcW w:w="220" w:type="dxa"/>
            <w:vAlign w:val="bottom"/>
          </w:tcPr>
          <w:p>
            <w:pPr>
              <w:jc w:val="right"/>
              <w:ind w:right="27"/>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2</w:t>
            </w:r>
          </w:p>
        </w:tc>
      </w:tr>
      <w:tr>
        <w:trPr>
          <w:trHeight w:val="230"/>
        </w:trPr>
        <w:tc>
          <w:tcPr>
            <w:tcW w:w="7520" w:type="dxa"/>
            <w:vAlign w:val="bottom"/>
            <w:gridSpan w:val="5"/>
          </w:tcPr>
          <w:p>
            <w:pPr>
              <w:jc w:val="right"/>
              <w:ind w:right="417"/>
              <w:spacing w:after="0"/>
              <w:rPr>
                <w:sz w:val="20"/>
                <w:szCs w:val="20"/>
                <w:color w:val="auto"/>
              </w:rPr>
            </w:pPr>
            <w:r>
              <w:rPr>
                <w:rFonts w:ascii="Times New Roman" w:cs="Times New Roman" w:eastAsia="Times New Roman" w:hAnsi="Times New Roman"/>
                <w:sz w:val="20"/>
                <w:szCs w:val="20"/>
                <w:color w:val="auto"/>
                <w:w w:val="97"/>
              </w:rPr>
              <w:t>Research and development, net . . . . . . . . . . . . . . . . . . . . . . . . . . . .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230"/>
        </w:trPr>
        <w:tc>
          <w:tcPr>
            <w:tcW w:w="7520" w:type="dxa"/>
            <w:vAlign w:val="bottom"/>
            <w:gridSpan w:val="5"/>
          </w:tcPr>
          <w:p>
            <w:pPr>
              <w:jc w:val="right"/>
              <w:ind w:right="417"/>
              <w:spacing w:after="0"/>
              <w:rPr>
                <w:sz w:val="20"/>
                <w:szCs w:val="20"/>
                <w:color w:val="auto"/>
              </w:rPr>
            </w:pPr>
            <w:r>
              <w:rPr>
                <w:rFonts w:ascii="Times New Roman" w:cs="Times New Roman" w:eastAsia="Times New Roman" w:hAnsi="Times New Roman"/>
                <w:sz w:val="20"/>
                <w:szCs w:val="20"/>
                <w:color w:val="auto"/>
                <w:w w:val="96"/>
              </w:rPr>
              <w:t>Sales and marketing . . . . . . . . . . . . . . . . . . . . . . . . . . . . . . . . . . . . .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41"/>
        </w:trPr>
        <w:tc>
          <w:tcPr>
            <w:tcW w:w="7520" w:type="dxa"/>
            <w:vAlign w:val="bottom"/>
            <w:gridSpan w:val="5"/>
          </w:tcPr>
          <w:p>
            <w:pPr>
              <w:jc w:val="right"/>
              <w:ind w:right="417"/>
              <w:spacing w:after="0"/>
              <w:rPr>
                <w:sz w:val="20"/>
                <w:szCs w:val="20"/>
                <w:color w:val="auto"/>
              </w:rPr>
            </w:pPr>
            <w:r>
              <w:rPr>
                <w:rFonts w:ascii="Times New Roman" w:cs="Times New Roman" w:eastAsia="Times New Roman" w:hAnsi="Times New Roman"/>
                <w:sz w:val="20"/>
                <w:szCs w:val="20"/>
                <w:color w:val="auto"/>
                <w:w w:val="97"/>
              </w:rPr>
              <w:t>General and administrative . . . . . . . . . . . . . . . . . . . . . . . . . . . . . . . . .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40"/>
        </w:trPr>
        <w:tc>
          <w:tcPr>
            <w:tcW w:w="728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w w:val="97"/>
              </w:rPr>
              <w:t xml:space="preserve">Total share-based compensation </w:t>
            </w:r>
            <w:r>
              <w:rPr>
                <w:rFonts w:ascii="Times New Roman" w:cs="Times New Roman" w:eastAsia="Times New Roman" w:hAnsi="Times New Roman"/>
                <w:sz w:val="20"/>
                <w:szCs w:val="20"/>
                <w:color w:val="auto"/>
                <w:w w:val="97"/>
              </w:rPr>
              <w:t>. . . . . . . . . . . . . . . . . . . . . . . . . . . . . . . . . . . . . . . . . . . .</w:t>
            </w: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279</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252</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174</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28, 2024 and December 30, 2023</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38"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In 2024, revenue was $1,654 million, down $425 million, or 20%, compared to 2023. This decrease in revenue was primarily due to a decrease of $438 million, or 24%, in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revenue attributable mainly to a 23% decrease in volume, which was primarily related to the previously disclosed meaningful build-up of inventory at our Tier 1 customers, including in the fourth quarter of 2023. The vast majority of this excess inventory was consumed to satisfy demand in the first half of 2024. This was offset by a slight increase in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related revenue.</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10800"/>
          </w:cols>
          <w:pgMar w:left="540" w:top="1345" w:right="540" w:bottom="0" w:gutter="0" w:footer="0" w:header="0"/>
          <w:type w:val="continuous"/>
        </w:sectPr>
      </w:pPr>
    </w:p>
    <w:bookmarkStart w:id="86" w:name="page87"/>
    <w:bookmarkEnd w:id="86"/>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238" w:lineRule="exact"/>
        <w:rPr>
          <w:sz w:val="20"/>
          <w:szCs w:val="20"/>
          <w:color w:val="auto"/>
        </w:rPr>
      </w:pPr>
    </w:p>
    <w:p>
      <w:pPr>
        <w:jc w:val="both"/>
        <w:ind w:firstLine="360"/>
        <w:spacing w:after="0" w:line="234" w:lineRule="auto"/>
        <w:rPr>
          <w:sz w:val="20"/>
          <w:szCs w:val="20"/>
          <w:color w:val="auto"/>
        </w:rPr>
      </w:pPr>
      <w:r>
        <w:rPr>
          <w:rFonts w:ascii="Times New Roman" w:cs="Times New Roman" w:eastAsia="Times New Roman" w:hAnsi="Times New Roman"/>
          <w:sz w:val="20"/>
          <w:szCs w:val="20"/>
          <w:color w:val="auto"/>
        </w:rPr>
        <w:t>In 2024, our cost of revenue decreased by $119 million, or 12%, compared to 2023. This decrease was primarily due to a decrease of $87 million in manufacturing costs relating primarily due to the decrease in sales of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in addition to a $30 million decrease in amortization expenses of intangible assets.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Gross Profit and margin</w:t>
      </w:r>
    </w:p>
    <w:p>
      <w:pPr>
        <w:spacing w:after="0" w:line="239" w:lineRule="exact"/>
        <w:rPr>
          <w:sz w:val="20"/>
          <w:szCs w:val="20"/>
          <w:color w:val="auto"/>
        </w:rPr>
      </w:pPr>
    </w:p>
    <w:p>
      <w:pPr>
        <w:jc w:val="both"/>
        <w:ind w:firstLine="360"/>
        <w:spacing w:after="0" w:line="316" w:lineRule="auto"/>
        <w:rPr>
          <w:sz w:val="20"/>
          <w:szCs w:val="20"/>
          <w:color w:val="auto"/>
        </w:rPr>
      </w:pPr>
      <w:r>
        <w:rPr>
          <w:rFonts w:ascii="Times New Roman" w:cs="Times New Roman" w:eastAsia="Times New Roman" w:hAnsi="Times New Roman"/>
          <w:sz w:val="20"/>
          <w:szCs w:val="20"/>
          <w:color w:val="auto"/>
        </w:rPr>
        <w:t>In 2024, our gross profit decreased by $306 million, or 29%, compared to 2023. The decrease was mainly due to the decrease in revenue from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sales, partially offset by the decrease in amortization expenses of intangible assets.</w:t>
      </w:r>
    </w:p>
    <w:p>
      <w:pPr>
        <w:spacing w:after="0" w:line="1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Our gross margin decreased from 50% during 2023, to 45% during 2024. This decrease was mainly due to a higher impact of amortization of intangible assets as a percentage of revenues, as well as the impact of higher EyeQ-related costs per unit due to mix effects.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 net</w:t>
      </w:r>
    </w:p>
    <w:p>
      <w:pPr>
        <w:spacing w:after="0" w:line="23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Research and development expenses, net, in 2024, increased by $194 million, or 22%, compared to 2023. This increase was primarily due to an increase in payroll and related expenses, resulting from an increase in average research and development headcount of 348 employees, and an increase in share-based compensation, which was partially offset by military duty reserve refunds from the state of Israel. In addition, there was an increase related to investments attributable to new product development and also an increase in depreciation costs associated with the new campus and additional sites.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 Expenses</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Sales and marketing expenses in 2024 remained flat compared to 2023, mainly due to an increase in marketing expenses which was offset by a decrease in payroll and related expenses including share-based compensation which is mainly associated to the winding down of the Aftermarket Solutions Unit in 2024.</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3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General and administrative expenses in 2024 decreased by $3 million, or 4%, compared to 2023. This decrease was mainly due to a decrease in legal and corporate expenses.</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Goodwill Impairment</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Goodwill impairment expenses were $2,695 million in 2024 and zero in 2023. During the third quarter of 2024, the Company performed an interim quantitative goodwill impairment analysis for the “Mobileye” reporting unit, resulting in a non-cash impairment loss. For further details, refer to Note 10 to the Consolidated Financial Statements included in this report.</w:t>
      </w:r>
    </w:p>
    <w:p>
      <w:pPr>
        <w:spacing w:after="0" w:line="184" w:lineRule="exact"/>
        <w:rPr>
          <w:sz w:val="20"/>
          <w:szCs w:val="20"/>
          <w:color w:val="auto"/>
        </w:rPr>
      </w:pPr>
    </w:p>
    <w:p>
      <w:pPr>
        <w:ind w:left="360" w:right="2760"/>
        <w:spacing w:after="0" w:line="489"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Income (expense) with Related Party, net and Other Financial Income (expense), net </w:t>
      </w:r>
      <w:r>
        <w:rPr>
          <w:rFonts w:ascii="Times New Roman" w:cs="Times New Roman" w:eastAsia="Times New Roman" w:hAnsi="Times New Roman"/>
          <w:sz w:val="20"/>
          <w:szCs w:val="20"/>
          <w:color w:val="auto"/>
        </w:rPr>
        <w:t>Interest income (expense) with related party, net was zero in both 2024 and 2023.</w:t>
      </w:r>
    </w:p>
    <w:p>
      <w:pPr>
        <w:spacing w:after="0" w:line="1"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Other financial income (expense) net in 2024, was $62 million compared to $49 million in 2023. This increase was mainly due to an increase in interest earned on short term bank deposits, a decrease in exchange rate differences expense and income from fair value revaluation of equity investments executed during 2024.</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Benefit (Provision) for Income Tax</w:t>
      </w:r>
    </w:p>
    <w:p>
      <w:pPr>
        <w:spacing w:after="0" w:line="23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In 2024, benefit for income tax was $73 million, compared to a $(43) million provision for income tax in 2023. This change is mainly due to the deferred tax effects of goodwill impairment to the Mobileye reporting unit, as well as higher loss before income taxes in 2024.</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0800"/>
          </w:cols>
          <w:pgMar w:left="540" w:top="1350" w:right="54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30, 2023 and December 31, 2022</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3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In 2023, revenue was $2,079 million, up $210 million, or 11%, compared to 2022. This increase in revenue was primarily due to an increase of $189 million, or 11%, in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revenue, attributable to an 11% increase in volume, with ASP remaining consistent with prior year, some increase in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sales and initial sales of self-driving systems.</w:t>
      </w:r>
    </w:p>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238" w:lineRule="exact"/>
        <w:rPr>
          <w:sz w:val="20"/>
          <w:szCs w:val="20"/>
          <w:color w:val="auto"/>
        </w:rPr>
      </w:pPr>
    </w:p>
    <w:p>
      <w:pPr>
        <w:jc w:val="both"/>
        <w:ind w:firstLine="360"/>
        <w:spacing w:after="0" w:line="234" w:lineRule="auto"/>
        <w:rPr>
          <w:sz w:val="20"/>
          <w:szCs w:val="20"/>
          <w:color w:val="auto"/>
        </w:rPr>
      </w:pPr>
      <w:r>
        <w:rPr>
          <w:rFonts w:ascii="Times New Roman" w:cs="Times New Roman" w:eastAsia="Times New Roman" w:hAnsi="Times New Roman"/>
          <w:sz w:val="20"/>
          <w:szCs w:val="20"/>
          <w:color w:val="auto"/>
        </w:rPr>
        <w:t>In 2023, our cost of revenue increased by $85 million, or 9%, compared to 2022. This increase was primarily due to an increase of $138 million in manufacturing costs relating primarily to increased sales of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and our sales of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solution, offset by $63 million decrease in amortization expenses of intangible assets.</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Gross Profit and margin</w:t>
      </w:r>
    </w:p>
    <w:p>
      <w:pPr>
        <w:spacing w:after="0" w:line="238" w:lineRule="exact"/>
        <w:rPr>
          <w:sz w:val="20"/>
          <w:szCs w:val="20"/>
          <w:color w:val="auto"/>
        </w:rPr>
      </w:pPr>
    </w:p>
    <w:p>
      <w:pPr>
        <w:jc w:val="both"/>
        <w:ind w:firstLine="360"/>
        <w:spacing w:after="0" w:line="316" w:lineRule="auto"/>
        <w:rPr>
          <w:sz w:val="20"/>
          <w:szCs w:val="20"/>
          <w:color w:val="auto"/>
        </w:rPr>
      </w:pPr>
      <w:r>
        <w:rPr>
          <w:rFonts w:ascii="Times New Roman" w:cs="Times New Roman" w:eastAsia="Times New Roman" w:hAnsi="Times New Roman"/>
          <w:sz w:val="20"/>
          <w:szCs w:val="20"/>
          <w:color w:val="auto"/>
        </w:rPr>
        <w:t>In 2023, our gross profit increased by $125 million, or 14%, compared to 2022. The increase was mainly driven by the increase in revenue from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sales, as well as the decrease in amortization expenses of intangible assets.</w:t>
      </w:r>
    </w:p>
    <w:p>
      <w:pPr>
        <w:spacing w:after="0" w:line="18"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20"/>
          <w:szCs w:val="20"/>
          <w:color w:val="auto"/>
        </w:rPr>
        <w:t>Our gross margin increased from 49% during 2022, to 50% during 2023. This increase was mainly due to lower cost attributable to amortization of intangible assets as a percentage of revenues, which was partially offset by the downward impact of the increased cost of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(which was passed through as a price increase to our customers on a zero-margin basis).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 Net</w:t>
      </w:r>
    </w:p>
    <w:p>
      <w:pPr>
        <w:spacing w:after="0" w:line="239"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Research and development expenses, net, in 2023, increased by $100 million, or 13%, compared to 2022. This increase was primarily due to an increase of $59 million in share-based compensation expenses, an increase of $44 million in cloud computing services and investments attributable to new product development offset by $31 million of higher NRE reimbursements in 2023 and an increase of $32 million in facilities and related expenses due to the occupancy of new sites. Average research and development headcount increased by 367 employees, however the related payroll expenses were mainly offset by ILS/USD foreign exchange rate impact and military duty reserve refunds from the state of Israel.</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 Expenses</w:t>
      </w:r>
    </w:p>
    <w:p>
      <w:pPr>
        <w:spacing w:after="0" w:line="23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Sales and marketing expenses in 2023 decreased by $2 million, or 2%, compared to 2022. The decrease was mainly due to a decrease in amortization expenses of intangible assets, partially offset by an increase in marketing expenses.</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3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General and administrative expenses in 2023 increased by $23 million, or 46%, compared to 2022. This increase was mainly due to an increase of $17 million in share-based compensation, as well as costs related to being a public company.</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(Expenses) with related party, net and Other Financial Income (expense), net</w:t>
      </w:r>
    </w:p>
    <w:p>
      <w:pPr>
        <w:spacing w:after="0" w:line="23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Interest income (expense) with related party, net in 2023 was $0 million compared $(6) million in 2022. The decrease was due to zero outstanding balances of both the Dividend Note and the loans to Intel as of December 31, 2022.</w:t>
      </w:r>
    </w:p>
    <w:p>
      <w:pPr>
        <w:spacing w:after="0" w:line="16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Other financial income (expense), net in 2023, was $49 million compared to $11 million in 2022. This increase was mainly due to interest earned on investment in money market funds.</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10800"/>
          </w:cols>
          <w:pgMar w:left="540" w:top="1350" w:right="540" w:bottom="0" w:gutter="0" w:footer="0" w:header="0"/>
          <w:type w:val="continuous"/>
        </w:sectPr>
      </w:pPr>
    </w:p>
    <w:bookmarkStart w:id="88" w:name="page89"/>
    <w:bookmarkEnd w:id="88"/>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Benefit (provision) for income tax</w:t>
      </w:r>
    </w:p>
    <w:p>
      <w:pPr>
        <w:spacing w:after="0" w:line="23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2023, provision for income tax decreased by $7 million, compared to 2022. This decrease was driven by withholding tax expense of $14 million related to a dividend distribution between entities within the Mobileye Group in 2022, which was partially offset by an increase in tax expense related to changes in jurisdictional composition of our taxable income based on operational results and recognition of uncertain tax positions in 2023.</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16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primary uses of funds have been for funding increases in headcount in our research and development departments, investments attributable to new product development, as well as for funding our capital expenditures. Our capital expenditures have related mainly to data storage and other computer related equipment, expenditure related to research and development projects and to the construction of new sites and were $81 million and $98 million for 2024 and 2023, respectively.</w:t>
      </w:r>
    </w:p>
    <w:p>
      <w:pPr>
        <w:spacing w:after="0" w:line="190"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To fund our cash requirements in the ordinary course of business, we anticipate that we will continue to primarily rely on operating cash flows, supplemented by our total cash and cash equivalents. We expect our total capital expenditures for 2025 to be higher compared to our total capital expenditures in 2024. We continue to invest in equipment related to the development of our next generation products. Our future capital requirements will depend on many factors, including our growth rate and the timing and extent of operating expenses.</w:t>
      </w:r>
    </w:p>
    <w:p>
      <w:pPr>
        <w:spacing w:after="0" w:line="174"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We have lease obligations and other contractual obligations and commitments as part of our ordinary course of business.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sets forth certain consolidated statements of cash flow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65"/>
        </w:trPr>
        <w:tc>
          <w:tcPr>
            <w:tcW w:w="7280" w:type="dxa"/>
            <w:vAlign w:val="bottom"/>
          </w:tcPr>
          <w:p>
            <w:pPr>
              <w:spacing w:after="0"/>
              <w:rPr>
                <w:sz w:val="14"/>
                <w:szCs w:val="14"/>
                <w:color w:val="auto"/>
              </w:rPr>
            </w:pPr>
          </w:p>
        </w:tc>
        <w:tc>
          <w:tcPr>
            <w:tcW w:w="1260" w:type="dxa"/>
            <w:vAlign w:val="bottom"/>
            <w:gridSpan w:val="3"/>
          </w:tcPr>
          <w:p>
            <w:pPr>
              <w:ind w:left="60"/>
              <w:spacing w:after="0" w:line="16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240" w:type="dxa"/>
            <w:vAlign w:val="bottom"/>
            <w:gridSpan w:val="3"/>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w w:val="98"/>
              </w:rPr>
              <w:t>December 30,</w:t>
            </w:r>
          </w:p>
        </w:tc>
        <w:tc>
          <w:tcPr>
            <w:tcW w:w="102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4"/>
                <w:szCs w:val="14"/>
                <w:color w:val="auto"/>
              </w:rPr>
            </w:pPr>
          </w:p>
        </w:tc>
      </w:tr>
      <w:tr>
        <w:trPr>
          <w:trHeight w:val="193"/>
        </w:trPr>
        <w:tc>
          <w:tcPr>
            <w:tcW w:w="7280" w:type="dxa"/>
            <w:vAlign w:val="bottom"/>
          </w:tcPr>
          <w:p>
            <w:pPr>
              <w:jc w:val="right"/>
              <w:ind w:right="5643"/>
              <w:spacing w:after="0"/>
              <w:rPr>
                <w:sz w:val="20"/>
                <w:szCs w:val="20"/>
                <w:color w:val="auto"/>
              </w:rPr>
            </w:pPr>
            <w:r>
              <w:rPr>
                <w:rFonts w:ascii="Times New Roman" w:cs="Times New Roman" w:eastAsia="Times New Roman" w:hAnsi="Times New Roman"/>
                <w:sz w:val="16"/>
                <w:szCs w:val="16"/>
                <w:b w:val="1"/>
                <w:bCs w:val="1"/>
                <w:color w:val="auto"/>
                <w:w w:val="97"/>
              </w:rPr>
              <w:t>U.S. dollars in millions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6"/>
                <w:szCs w:val="16"/>
                <w:color w:val="auto"/>
              </w:rPr>
            </w:pPr>
          </w:p>
        </w:tc>
      </w:tr>
      <w:tr>
        <w:trPr>
          <w:trHeight w:val="209"/>
        </w:trPr>
        <w:tc>
          <w:tcPr>
            <w:tcW w:w="7280" w:type="dxa"/>
            <w:vAlign w:val="bottom"/>
          </w:tcPr>
          <w:p>
            <w:pPr>
              <w:jc w:val="right"/>
              <w:ind w:right="163"/>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.Netcashprovidedbyoperatingactivities</w:t>
            </w:r>
          </w:p>
        </w:tc>
        <w:tc>
          <w:tcPr>
            <w:tcW w:w="240" w:type="dxa"/>
            <w:vAlign w:val="bottom"/>
          </w:tcPr>
          <w:p>
            <w:pPr>
              <w:jc w:val="right"/>
              <w:ind w:right="47"/>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400</w:t>
            </w:r>
          </w:p>
        </w:tc>
        <w:tc>
          <w:tcPr>
            <w:tcW w:w="220" w:type="dxa"/>
            <w:vAlign w:val="bottom"/>
          </w:tcPr>
          <w:p>
            <w:pPr>
              <w:spacing w:after="0"/>
              <w:rPr>
                <w:sz w:val="18"/>
                <w:szCs w:val="18"/>
                <w:color w:val="auto"/>
              </w:rPr>
            </w:pPr>
          </w:p>
        </w:tc>
        <w:tc>
          <w:tcPr>
            <w:tcW w:w="1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394</w:t>
            </w:r>
          </w:p>
        </w:tc>
        <w:tc>
          <w:tcPr>
            <w:tcW w:w="220" w:type="dxa"/>
            <w:vAlign w:val="bottom"/>
          </w:tcPr>
          <w:p>
            <w:pPr>
              <w:spacing w:after="0"/>
              <w:rPr>
                <w:sz w:val="18"/>
                <w:szCs w:val="18"/>
                <w:color w:val="auto"/>
              </w:rPr>
            </w:pPr>
          </w:p>
        </w:tc>
        <w:tc>
          <w:tcPr>
            <w:tcW w:w="220" w:type="dxa"/>
            <w:vAlign w:val="bottom"/>
          </w:tcPr>
          <w:p>
            <w:pPr>
              <w:jc w:val="right"/>
              <w:ind w:right="27"/>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546</w:t>
            </w:r>
          </w:p>
        </w:tc>
        <w:tc>
          <w:tcPr>
            <w:tcW w:w="20" w:type="dxa"/>
            <w:vAlign w:val="bottom"/>
          </w:tcPr>
          <w:p>
            <w:pPr>
              <w:spacing w:after="0"/>
              <w:rPr>
                <w:sz w:val="18"/>
                <w:szCs w:val="18"/>
                <w:color w:val="auto"/>
              </w:rPr>
            </w:pPr>
          </w:p>
        </w:tc>
      </w:tr>
      <w:tr>
        <w:trPr>
          <w:trHeight w:val="229"/>
        </w:trPr>
        <w:tc>
          <w:tcPr>
            <w:tcW w:w="72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w w:val="98"/>
              </w:rPr>
              <w:t>Net cash provided by (used in) investing activities . . . . . . . . . . . . . . . . . . . . . . . . . . . . . . .</w:t>
            </w: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(120)</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(98)</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1,187</w:t>
            </w:r>
          </w:p>
        </w:tc>
        <w:tc>
          <w:tcPr>
            <w:tcW w:w="20" w:type="dxa"/>
            <w:vAlign w:val="bottom"/>
          </w:tcPr>
          <w:p>
            <w:pPr>
              <w:spacing w:after="0"/>
              <w:rPr>
                <w:sz w:val="19"/>
                <w:szCs w:val="19"/>
                <w:color w:val="auto"/>
              </w:rPr>
            </w:pPr>
          </w:p>
        </w:tc>
      </w:tr>
      <w:tr>
        <w:trPr>
          <w:trHeight w:val="230"/>
        </w:trPr>
        <w:tc>
          <w:tcPr>
            <w:tcW w:w="72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w w:val="98"/>
              </w:rPr>
              <w:t>Net cash provided by (used in) financing activities . . . . . . . . . . . . . . . . . . . . . . . . . . . . . . .</w:t>
            </w: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(66)</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(100)</w:t>
            </w:r>
          </w:p>
        </w:tc>
        <w:tc>
          <w:tcPr>
            <w:tcW w:w="2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(1,317)</w:t>
            </w:r>
          </w:p>
        </w:tc>
      </w:tr>
      <w:tr>
        <w:trPr>
          <w:trHeight w:val="241"/>
        </w:trPr>
        <w:tc>
          <w:tcPr>
            <w:tcW w:w="72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w w:val="99"/>
              </w:rPr>
              <w:t>Effect of foreign exchange rate changes on cash and cash equivalents . . . . . . . . . . . . . . .</w:t>
            </w: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(5)</w:t>
            </w:r>
          </w:p>
        </w:tc>
        <w:tc>
          <w:tcPr>
            <w:tcW w:w="2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r>
      <w:tr>
        <w:trPr>
          <w:trHeight w:val="276"/>
        </w:trPr>
        <w:tc>
          <w:tcPr>
            <w:tcW w:w="728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 . . . . . . . . . . . . . . . . . . . . . . . . .</w:t>
            </w:r>
            <w:r>
              <w:rPr>
                <w:rFonts w:ascii="Times New Roman" w:cs="Times New Roman" w:eastAsia="Times New Roman" w:hAnsi="Times New Roman"/>
                <w:sz w:val="20"/>
                <w:szCs w:val="20"/>
                <w:b w:val="1"/>
                <w:bCs w:val="1"/>
                <w:color w:val="auto"/>
              </w:rPr>
              <w:t>Increaseincash,cashequivalentsandrestrictedcash</w:t>
            </w:r>
          </w:p>
        </w:tc>
        <w:tc>
          <w:tcPr>
            <w:tcW w:w="24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212</w:t>
            </w:r>
          </w:p>
        </w:tc>
        <w:tc>
          <w:tcPr>
            <w:tcW w:w="220" w:type="dxa"/>
            <w:vAlign w:val="bottom"/>
          </w:tcPr>
          <w:p>
            <w:pPr>
              <w:spacing w:after="0"/>
              <w:rPr>
                <w:sz w:val="23"/>
                <w:szCs w:val="2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191</w:t>
            </w:r>
          </w:p>
        </w:tc>
        <w:tc>
          <w:tcPr>
            <w:tcW w:w="220" w:type="dxa"/>
            <w:vAlign w:val="bottom"/>
          </w:tcPr>
          <w:p>
            <w:pPr>
              <w:spacing w:after="0"/>
              <w:rPr>
                <w:sz w:val="23"/>
                <w:szCs w:val="23"/>
                <w:color w:val="auto"/>
              </w:rPr>
            </w:pPr>
          </w:p>
        </w:tc>
        <w:tc>
          <w:tcPr>
            <w:tcW w:w="22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410</w:t>
            </w:r>
          </w:p>
        </w:tc>
        <w:tc>
          <w:tcPr>
            <w:tcW w:w="20" w:type="dxa"/>
            <w:vAlign w:val="bottom"/>
          </w:tcPr>
          <w:p>
            <w:pPr>
              <w:spacing w:after="0"/>
              <w:rPr>
                <w:sz w:val="23"/>
                <w:szCs w:val="23"/>
                <w:color w:val="auto"/>
              </w:rPr>
            </w:pPr>
          </w:p>
        </w:tc>
      </w:tr>
    </w:tbl>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3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For 2024 compared to 2023, the $6 million increase in cash provided by operating activities was mainly due to a lower increase in inventories compared to prior year period during which the company rebuilt its strategic inventory of EyeQ chips and a decrease in accounts receivable due to reduction in revenue. This was mostly offset by an increase of $3,063 million in net loss, which was adjusted by $2,695 million of non-cash goodwill impairment loss.</w:t>
      </w:r>
    </w:p>
    <w:p>
      <w:pPr>
        <w:spacing w:after="0" w:line="190"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For 2023 compared to 2022, the $152 million decrease in cash provided by operating activities was mainly due to an increase in inventories, as part of a planned initiative to rebuild our strategic inventory of EyeQ chips that was largely consumed during the supply chain crisis in 2021 and 2022, which was partially offset by a change in employee related balances.</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10800"/>
          </w:cols>
          <w:pgMar w:left="540" w:top="1350" w:right="540" w:bottom="0" w:gutter="0" w:footer="0" w:header="0"/>
          <w:type w:val="continuous"/>
        </w:sectPr>
      </w:pPr>
    </w:p>
    <w:bookmarkStart w:id="89" w:name="page90"/>
    <w:bookmarkEnd w:id="89"/>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23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Net cash used in investing activities in 2024 was $120 million, consisting mostly of capital expenditures and purchases of debt and equity investments.</w:t>
      </w:r>
    </w:p>
    <w:p>
      <w:pPr>
        <w:spacing w:after="0" w:line="16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Net cash used in investing activities in 2023 was $98 million, consisting of capital expenditures in connection with the construction of our campus and electronic equipment.</w:t>
      </w:r>
    </w:p>
    <w:p>
      <w:pPr>
        <w:spacing w:after="0" w:line="16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Net cash provided by investing activities in 2022 was $1,187 million, consisting primarily of $1,299 million net repayment of a loan by Intel, partially offset by capital expenditures.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3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Net cash used in financing activities in 2024 and 2023 was $66 million and $100 million, respectively, consisting of share-based compensation recharge payments made to Intel.</w:t>
      </w:r>
    </w:p>
    <w:p>
      <w:pPr>
        <w:spacing w:after="0" w:line="163"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Net cash used in financing activities in 2022 was $1,317 million, consisting primarily of $900 million legal purchase of Moovit and $918 million repayment of the Dividend Note, as well as $280 million of share-based compensation recharge payments made to Intel and the $337 million dividend to Intel, partially offset by $1,034 million in net proceeds from the Mobileye IPO.</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Liability in respect of employee rights upon retirement</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spacing w:after="0" w:line="18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spacing w:after="0" w:line="191"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The majority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consolidated balance sheets.</w:t>
      </w:r>
    </w:p>
    <w:p>
      <w:pPr>
        <w:spacing w:after="0" w:line="19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Severance pay liability increased from $56 million as of December 30, 2023, to $62 million and as of December 28, 2024, reflecting mainly the impact of annual salary increases.</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Lease liabilities</w:t>
      </w:r>
    </w:p>
    <w:p>
      <w:pPr>
        <w:spacing w:after="0" w:line="23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We have lease agreements for vehicles and offices. We lease office space in various locations in Israel and around the world including USA, Germany and China. All leases are operating leases with fixed payment terms where some of the leases include annual increases to lease payments based on an index or a rate. Lease liabilities, representing the present value of future lease payments, have decreased from $51 million as of December 30, 2023 to $50 million as of December 28, 2024, reflecting mainly the progress in lease payments for existing arrangements partially offset by new lease contracts and amendments to existing agreements.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Indebtedness</w:t>
      </w:r>
    </w:p>
    <w:p>
      <w:pPr>
        <w:spacing w:after="0" w:line="23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We have several bank guarantees aggregating approximately $11 million as of December 28, 2024 (denominated in New Israeli Shekels) mainly in connection with lease agreements and import of vehicles.</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10800"/>
          </w:cols>
          <w:pgMar w:left="540" w:top="1350" w:right="540" w:bottom="0" w:gutter="0" w:footer="0" w:header="0"/>
          <w:type w:val="continuous"/>
        </w:sectPr>
      </w:pPr>
    </w:p>
    <w:bookmarkStart w:id="90" w:name="page91"/>
    <w:bookmarkEnd w:id="90"/>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addition, in connection with the Reorganization and the Mobileye IPO, on April 21, 2022, we distributed to Intel the Dividend Note, in the aggregate principal amount of $3.5 billion. In November 2022, we used approximately $0.9 billion out of the net proceeds to repay a portion of indebtedness under the Dividend Note and Intel has contributed to Mobileye the remaining portion of the Dividend Note such that no amounts under the Dividend Note remain owed by us to Intel.</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44"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Our management uses Adjusted Gross Profit and Margin, Adjusted Operating Income and Margin and Adjusted Net Income,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consolidated financial statements and related notes included elsewhere in this report.</w:t>
      </w:r>
    </w:p>
    <w:p>
      <w:pPr>
        <w:spacing w:after="0" w:line="203"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We believe excluding items that neither relate to the ordinary course of business nor reflect our underlying business performance, such as the amortization of intangible assets, enables management and our investors to compare our underlying business performance from period -to-period.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pacing w:after="0" w:line="194"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Our non-GAAP financial measures reflect adjustments for amortization charges for our acquisition-related intangible assets, share-based compensation expense, impairment of goodwill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 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 We believe that the exclusion of goodwill impairment is appropriate because it does not reflect our core operating performance, and excluding such non-cash impairment loss facilitates a useful evaluation of our performance and comparisons to past operating results.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Adjusted Gross Profit and Margin</w:t>
      </w:r>
    </w:p>
    <w:p>
      <w:pPr>
        <w:spacing w:after="0" w:line="23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10800"/>
          </w:cols>
          <w:pgMar w:left="540" w:top="1347" w:right="540" w:bottom="0" w:gutter="0" w:footer="0" w:header="0"/>
          <w:type w:val="continuous"/>
        </w:sectPr>
      </w:pPr>
    </w:p>
    <w:bookmarkStart w:id="91" w:name="page92"/>
    <w:bookmarkEnd w:id="91"/>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Set forth below is the reconciliation of gross profit to Adjusted Gross Profit and the calculations of gross margin and Adjusted Gross Margin: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6"/>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65"/>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7"/>
          </w:tcPr>
          <w:p>
            <w:pPr>
              <w:jc w:val="center"/>
              <w:ind w:right="460"/>
              <w:spacing w:after="0" w:line="16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60" w:type="dxa"/>
            <w:vAlign w:val="bottom"/>
          </w:tcPr>
          <w:p>
            <w:pPr>
              <w:spacing w:after="0"/>
              <w:rPr>
                <w:sz w:val="14"/>
                <w:szCs w:val="14"/>
                <w:color w:val="auto"/>
              </w:rPr>
            </w:pPr>
          </w:p>
        </w:tc>
        <w:tc>
          <w:tcPr>
            <w:tcW w:w="1660" w:type="dxa"/>
            <w:vAlign w:val="bottom"/>
            <w:gridSpan w:val="6"/>
          </w:tcPr>
          <w:p>
            <w:pPr>
              <w:jc w:val="center"/>
              <w:ind w:right="480"/>
              <w:spacing w:after="0" w:line="165"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40" w:type="dxa"/>
            <w:vAlign w:val="bottom"/>
          </w:tcPr>
          <w:p>
            <w:pPr>
              <w:spacing w:after="0"/>
              <w:rPr>
                <w:sz w:val="14"/>
                <w:szCs w:val="14"/>
                <w:color w:val="auto"/>
              </w:rPr>
            </w:pPr>
          </w:p>
        </w:tc>
        <w:tc>
          <w:tcPr>
            <w:tcW w:w="1360" w:type="dxa"/>
            <w:vAlign w:val="bottom"/>
            <w:gridSpan w:val="4"/>
          </w:tcPr>
          <w:p>
            <w:pPr>
              <w:jc w:val="center"/>
              <w:ind w:right="48"/>
              <w:spacing w:after="0" w:line="16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3"/>
        </w:trPr>
        <w:tc>
          <w:tcPr>
            <w:tcW w:w="5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5"/>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55"/>
        </w:trPr>
        <w:tc>
          <w:tcPr>
            <w:tcW w:w="5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 of</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 of</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93"/>
        </w:trPr>
        <w:tc>
          <w:tcPr>
            <w:tcW w:w="5480" w:type="dxa"/>
            <w:vAlign w:val="bottom"/>
          </w:tcPr>
          <w:p>
            <w:pPr>
              <w:jc w:val="right"/>
              <w:ind w:right="3844"/>
              <w:spacing w:after="0"/>
              <w:rPr>
                <w:sz w:val="20"/>
                <w:szCs w:val="20"/>
                <w:color w:val="auto"/>
              </w:rPr>
            </w:pPr>
            <w:r>
              <w:rPr>
                <w:rFonts w:ascii="Times New Roman" w:cs="Times New Roman" w:eastAsia="Times New Roman" w:hAnsi="Times New Roman"/>
                <w:sz w:val="16"/>
                <w:szCs w:val="16"/>
                <w:b w:val="1"/>
                <w:bCs w:val="1"/>
                <w:color w:val="auto"/>
                <w:w w:val="97"/>
              </w:rPr>
              <w:t>U.S. dollars in millions</w:t>
            </w:r>
          </w:p>
        </w:tc>
        <w:tc>
          <w:tcPr>
            <w:tcW w:w="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720" w:type="dxa"/>
            <w:vAlign w:val="bottom"/>
            <w:gridSpan w:val="2"/>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Revenue</w:t>
            </w:r>
          </w:p>
        </w:tc>
      </w:tr>
      <w:tr>
        <w:trPr>
          <w:trHeight w:val="209"/>
        </w:trPr>
        <w:tc>
          <w:tcPr>
            <w:tcW w:w="5480" w:type="dxa"/>
            <w:vAlign w:val="bottom"/>
          </w:tcPr>
          <w:p>
            <w:pPr>
              <w:jc w:val="right"/>
              <w:ind w:right="204"/>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.Grossprofitandmargin</w:t>
            </w: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741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ind w:left="360"/>
              <w:spacing w:after="0" w:line="209" w:lineRule="exact"/>
              <w:rPr>
                <w:sz w:val="20"/>
                <w:szCs w:val="20"/>
                <w:color w:val="auto"/>
              </w:rPr>
            </w:pPr>
            <w:r>
              <w:rPr>
                <w:rFonts w:ascii="Times New Roman" w:cs="Times New Roman" w:eastAsia="Times New Roman" w:hAnsi="Times New Roman"/>
                <w:sz w:val="20"/>
                <w:szCs w:val="20"/>
                <w:color w:val="auto"/>
              </w:rPr>
              <w:t>45</w:t>
            </w:r>
          </w:p>
        </w:tc>
        <w:tc>
          <w:tcPr>
            <w:tcW w:w="2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1,047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ind w:left="360"/>
              <w:spacing w:after="0" w:line="209" w:lineRule="exact"/>
              <w:rPr>
                <w:sz w:val="20"/>
                <w:szCs w:val="20"/>
                <w:color w:val="auto"/>
              </w:rPr>
            </w:pPr>
            <w:r>
              <w:rPr>
                <w:rFonts w:ascii="Times New Roman" w:cs="Times New Roman" w:eastAsia="Times New Roman" w:hAnsi="Times New Roman"/>
                <w:sz w:val="20"/>
                <w:szCs w:val="20"/>
                <w:color w:val="auto"/>
              </w:rPr>
              <w:t>50</w:t>
            </w:r>
          </w:p>
        </w:tc>
        <w:tc>
          <w:tcPr>
            <w:tcW w:w="3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922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tcBorders>
            <w:gridSpan w:val="2"/>
          </w:tcPr>
          <w:p>
            <w:pPr>
              <w:ind w:left="360"/>
              <w:spacing w:after="0" w:line="209" w:lineRule="exact"/>
              <w:rPr>
                <w:sz w:val="20"/>
                <w:szCs w:val="20"/>
                <w:color w:val="auto"/>
              </w:rPr>
            </w:pPr>
            <w:r>
              <w:rPr>
                <w:rFonts w:ascii="Times New Roman" w:cs="Times New Roman" w:eastAsia="Times New Roman" w:hAnsi="Times New Roman"/>
                <w:sz w:val="20"/>
                <w:szCs w:val="20"/>
                <w:color w:val="auto"/>
              </w:rPr>
              <w:t>49</w:t>
            </w:r>
          </w:p>
        </w:tc>
        <w:tc>
          <w:tcPr>
            <w:tcW w:w="18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w w:val="95"/>
              </w:rPr>
              <w:t>%</w:t>
            </w:r>
          </w:p>
        </w:tc>
      </w:tr>
      <w:tr>
        <w:trPr>
          <w:trHeight w:val="230"/>
        </w:trPr>
        <w:tc>
          <w:tcPr>
            <w:tcW w:w="5480" w:type="dxa"/>
            <w:vAlign w:val="bottom"/>
          </w:tcPr>
          <w:p>
            <w:pPr>
              <w:jc w:val="right"/>
              <w:ind w:right="204"/>
              <w:spacing w:after="0"/>
              <w:rPr>
                <w:sz w:val="20"/>
                <w:szCs w:val="20"/>
                <w:color w:val="auto"/>
              </w:rPr>
            </w:pPr>
            <w:r>
              <w:rPr>
                <w:rFonts w:ascii="Times New Roman" w:cs="Times New Roman" w:eastAsia="Times New Roman" w:hAnsi="Times New Roman"/>
                <w:sz w:val="20"/>
                <w:szCs w:val="20"/>
                <w:color w:val="auto"/>
                <w:w w:val="98"/>
              </w:rPr>
              <w:t>Add: Amortization of acquired intangible assets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w:t>
            </w:r>
          </w:p>
        </w:tc>
        <w:tc>
          <w:tcPr>
            <w:tcW w:w="1080" w:type="dxa"/>
            <w:vAlign w:val="bottom"/>
            <w:gridSpan w:val="5"/>
          </w:tcPr>
          <w:p>
            <w:pPr>
              <w:ind w:left="540"/>
              <w:spacing w:after="0"/>
              <w:rPr>
                <w:sz w:val="20"/>
                <w:szCs w:val="20"/>
                <w:color w:val="auto"/>
              </w:rPr>
            </w:pPr>
            <w:r>
              <w:rPr>
                <w:rFonts w:ascii="Times New Roman" w:cs="Times New Roman" w:eastAsia="Times New Roman" w:hAnsi="Times New Roman"/>
                <w:sz w:val="20"/>
                <w:szCs w:val="20"/>
                <w:color w:val="auto"/>
              </w:rPr>
              <w:t>23 %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w:t>
            </w:r>
          </w:p>
        </w:tc>
        <w:tc>
          <w:tcPr>
            <w:tcW w:w="1080" w:type="dxa"/>
            <w:vAlign w:val="bottom"/>
            <w:gridSpan w:val="4"/>
          </w:tcPr>
          <w:p>
            <w:pPr>
              <w:ind w:left="520"/>
              <w:spacing w:after="0"/>
              <w:rPr>
                <w:sz w:val="20"/>
                <w:szCs w:val="20"/>
                <w:color w:val="auto"/>
              </w:rPr>
            </w:pPr>
            <w:r>
              <w:rPr>
                <w:rFonts w:ascii="Times New Roman" w:cs="Times New Roman" w:eastAsia="Times New Roman" w:hAnsi="Times New Roman"/>
                <w:sz w:val="20"/>
                <w:szCs w:val="20"/>
                <w:color w:val="auto"/>
              </w:rPr>
              <w:t>20 %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w:t>
            </w:r>
          </w:p>
        </w:tc>
        <w:tc>
          <w:tcPr>
            <w:tcW w:w="980" w:type="dxa"/>
            <w:vAlign w:val="bottom"/>
            <w:gridSpan w:val="5"/>
          </w:tcPr>
          <w:p>
            <w:pPr>
              <w:ind w:left="520"/>
              <w:spacing w:after="0"/>
              <w:rPr>
                <w:sz w:val="20"/>
                <w:szCs w:val="20"/>
                <w:color w:val="auto"/>
              </w:rPr>
            </w:pPr>
            <w:r>
              <w:rPr>
                <w:rFonts w:ascii="Times New Roman" w:cs="Times New Roman" w:eastAsia="Times New Roman" w:hAnsi="Times New Roman"/>
                <w:sz w:val="20"/>
                <w:szCs w:val="20"/>
                <w:color w:val="auto"/>
              </w:rPr>
              <w:t>25 %</w:t>
            </w:r>
          </w:p>
        </w:tc>
      </w:tr>
      <w:tr>
        <w:trPr>
          <w:trHeight w:val="241"/>
        </w:trPr>
        <w:tc>
          <w:tcPr>
            <w:tcW w:w="5480" w:type="dxa"/>
            <w:vAlign w:val="bottom"/>
          </w:tcPr>
          <w:p>
            <w:pPr>
              <w:jc w:val="right"/>
              <w:ind w:right="204"/>
              <w:spacing w:after="0"/>
              <w:rPr>
                <w:sz w:val="20"/>
                <w:szCs w:val="20"/>
                <w:color w:val="auto"/>
              </w:rPr>
            </w:pPr>
            <w:r>
              <w:rPr>
                <w:rFonts w:ascii="Times New Roman" w:cs="Times New Roman" w:eastAsia="Times New Roman" w:hAnsi="Times New Roman"/>
                <w:sz w:val="20"/>
                <w:szCs w:val="20"/>
                <w:color w:val="auto"/>
                <w:w w:val="97"/>
              </w:rPr>
              <w:t>Add: Share-based compensation expense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 %</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 %</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 %</w:t>
            </w:r>
          </w:p>
        </w:tc>
      </w:tr>
      <w:tr>
        <w:trPr>
          <w:trHeight w:val="240"/>
        </w:trPr>
        <w:tc>
          <w:tcPr>
            <w:tcW w:w="5480" w:type="dxa"/>
            <w:vAlign w:val="bottom"/>
          </w:tcPr>
          <w:p>
            <w:pPr>
              <w:jc w:val="right"/>
              <w:ind w:right="204"/>
              <w:spacing w:after="0"/>
              <w:rPr>
                <w:sz w:val="20"/>
                <w:szCs w:val="20"/>
                <w:color w:val="auto"/>
              </w:rPr>
            </w:pPr>
            <w:r>
              <w:rPr>
                <w:rFonts w:ascii="Times New Roman" w:cs="Times New Roman" w:eastAsia="Times New Roman" w:hAnsi="Times New Roman"/>
                <w:sz w:val="20"/>
                <w:szCs w:val="20"/>
                <w:color w:val="auto"/>
              </w:rPr>
              <w:t>. . . . . . . . . . . . . . . . . . . . . . . .</w:t>
            </w:r>
            <w:r>
              <w:rPr>
                <w:rFonts w:ascii="Times New Roman" w:cs="Times New Roman" w:eastAsia="Times New Roman" w:hAnsi="Times New Roman"/>
                <w:sz w:val="20"/>
                <w:szCs w:val="20"/>
                <w:b w:val="1"/>
                <w:bCs w:val="1"/>
                <w:color w:val="auto"/>
              </w:rPr>
              <w:t>Adjustedgrossprofitandmargin</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1,119</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0"/>
                <w:szCs w:val="20"/>
                <w:b w:val="1"/>
                <w:bCs w:val="1"/>
                <w:color w:val="auto"/>
              </w:rPr>
              <w:t>68</w:t>
            </w:r>
          </w:p>
        </w:tc>
        <w:tc>
          <w:tcPr>
            <w:tcW w:w="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1,455</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20"/>
                <w:szCs w:val="20"/>
                <w:b w:val="1"/>
                <w:bCs w:val="1"/>
                <w:color w:val="auto"/>
              </w:rPr>
              <w:t>70</w:t>
            </w:r>
          </w:p>
        </w:tc>
        <w:tc>
          <w:tcPr>
            <w:tcW w:w="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1,393</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20"/>
                <w:szCs w:val="20"/>
                <w:b w:val="1"/>
                <w:bCs w:val="1"/>
                <w:color w:val="auto"/>
              </w:rPr>
              <w:t>75</w:t>
            </w:r>
          </w:p>
        </w:tc>
        <w:tc>
          <w:tcPr>
            <w:tcW w:w="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79"/>
              </w:rPr>
              <w:t>%</w:t>
            </w:r>
          </w:p>
        </w:tc>
      </w:tr>
    </w:tbl>
    <w:p>
      <w:pPr>
        <w:spacing w:after="0" w:line="208" w:lineRule="exact"/>
        <w:rPr>
          <w:sz w:val="20"/>
          <w:szCs w:val="20"/>
          <w:color w:val="auto"/>
        </w:rPr>
      </w:pPr>
    </w:p>
    <w:p>
      <w:pPr>
        <w:jc w:val="both"/>
        <w:ind w:firstLine="360"/>
        <w:spacing w:after="0" w:line="236" w:lineRule="auto"/>
        <w:rPr>
          <w:sz w:val="20"/>
          <w:szCs w:val="20"/>
          <w:color w:val="auto"/>
        </w:rPr>
      </w:pPr>
      <w:r>
        <w:rPr>
          <w:rFonts w:ascii="Times New Roman" w:cs="Times New Roman" w:eastAsia="Times New Roman" w:hAnsi="Times New Roman"/>
          <w:sz w:val="20"/>
          <w:szCs w:val="20"/>
          <w:color w:val="auto"/>
        </w:rPr>
        <w:t>Our Gross Margin (gross profit as a percentage of revenue) and Adjusted Gross Margin (adjusted gross profit as a percentage of revenue) reflect the high value-added nature of our solutions. As we develop and sell full systems that include hardware beyond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we expect that our Gross Margin and Adjusted Gross Margin will decrease because of the greater hardware content included in our solutions. However, as a result of a higher expected selling price for such systems, we expect our gross profit per unit will increase on a dollar basis.</w:t>
      </w:r>
    </w:p>
    <w:p>
      <w:pPr>
        <w:spacing w:after="0" w:line="202"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Our Adjusted Gross Margin decreased from 70% for 2023 to 68% for 2024. The decrease was primarily due to the downward impact of the increased cost per unit of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due to mix effects. The decrease was also related to higher percentage of revenue attributable to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w:t>
      </w:r>
    </w:p>
    <w:p>
      <w:pPr>
        <w:spacing w:after="0" w:line="71" w:lineRule="exact"/>
        <w:rPr>
          <w:sz w:val="20"/>
          <w:szCs w:val="20"/>
          <w:color w:val="auto"/>
        </w:rPr>
      </w:pPr>
    </w:p>
    <w:p>
      <w:pPr>
        <w:jc w:val="both"/>
        <w:ind w:firstLine="360"/>
        <w:spacing w:after="0" w:line="340" w:lineRule="auto"/>
        <w:rPr>
          <w:sz w:val="20"/>
          <w:szCs w:val="20"/>
          <w:color w:val="auto"/>
        </w:rPr>
      </w:pPr>
      <w:r>
        <w:rPr>
          <w:rFonts w:ascii="Times New Roman" w:cs="Times New Roman" w:eastAsia="Times New Roman" w:hAnsi="Times New Roman"/>
          <w:sz w:val="19"/>
          <w:szCs w:val="19"/>
          <w:color w:val="auto"/>
        </w:rPr>
        <w:t>Our Adjusted Gross Margin decreased from 75% for 2022 to 70% for 2023. The decrease was primarily due to the downward impact of the increased cost of our EyeQ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SoCs (which was passed through as a price increase to our customers on a zero-margin basis).</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Adjusted Operating Income and Margin</w:t>
      </w:r>
    </w:p>
    <w:p>
      <w:pPr>
        <w:spacing w:after="0" w:line="23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We define Adjusted Operating Income as operating income (loss) presented in accordance with GAAP, adjusted to exclude amortization of acquisition related intangibles, share-based compensation expenses and impairment of goodwill. Operating margin is calculated as operating income (loss) divided by total revenue, and Adjusted Operating Margin is calculated as Adjusted Operating Income divided by total revenue.</w:t>
      </w:r>
    </w:p>
    <w:p>
      <w:pPr>
        <w:spacing w:after="0" w:line="191"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Set forth below is the reconciliation of operating income (loss) to Adjusted Operating Income and the calculations of Operating Margin and Adjusted Operating Margin: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6"/>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165"/>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ind w:left="160"/>
              <w:spacing w:after="0" w:line="16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80" w:type="dxa"/>
            <w:vAlign w:val="bottom"/>
          </w:tcPr>
          <w:p>
            <w:pPr>
              <w:spacing w:after="0"/>
              <w:rPr>
                <w:sz w:val="14"/>
                <w:szCs w:val="14"/>
                <w:color w:val="auto"/>
              </w:rPr>
            </w:pPr>
          </w:p>
        </w:tc>
        <w:tc>
          <w:tcPr>
            <w:tcW w:w="1580" w:type="dxa"/>
            <w:vAlign w:val="bottom"/>
            <w:gridSpan w:val="6"/>
          </w:tcPr>
          <w:p>
            <w:pPr>
              <w:jc w:val="center"/>
              <w:ind w:right="480"/>
              <w:spacing w:after="0" w:line="165"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200" w:type="dxa"/>
            <w:vAlign w:val="bottom"/>
          </w:tcPr>
          <w:p>
            <w:pPr>
              <w:spacing w:after="0"/>
              <w:rPr>
                <w:sz w:val="14"/>
                <w:szCs w:val="14"/>
                <w:color w:val="auto"/>
              </w:rPr>
            </w:pPr>
          </w:p>
        </w:tc>
        <w:tc>
          <w:tcPr>
            <w:tcW w:w="1280" w:type="dxa"/>
            <w:vAlign w:val="bottom"/>
            <w:gridSpan w:val="5"/>
          </w:tcPr>
          <w:p>
            <w:pPr>
              <w:jc w:val="right"/>
              <w:ind w:right="185"/>
              <w:spacing w:after="0" w:line="16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4"/>
                <w:szCs w:val="14"/>
                <w:color w:val="auto"/>
              </w:rPr>
            </w:pPr>
          </w:p>
        </w:tc>
      </w:tr>
      <w:tr>
        <w:trPr>
          <w:trHeight w:val="205"/>
        </w:trPr>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4"/>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5"/>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7"/>
                <w:szCs w:val="17"/>
                <w:color w:val="auto"/>
              </w:rPr>
            </w:pPr>
          </w:p>
        </w:tc>
      </w:tr>
      <w:tr>
        <w:trPr>
          <w:trHeight w:val="153"/>
        </w:trPr>
        <w:tc>
          <w:tcPr>
            <w:tcW w:w="5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jc w:val="right"/>
              <w:ind w:right="45"/>
              <w:spacing w:after="0" w:line="154" w:lineRule="exact"/>
              <w:rPr>
                <w:sz w:val="20"/>
                <w:szCs w:val="20"/>
                <w:color w:val="auto"/>
              </w:rPr>
            </w:pPr>
            <w:r>
              <w:rPr>
                <w:rFonts w:ascii="Times New Roman" w:cs="Times New Roman" w:eastAsia="Times New Roman" w:hAnsi="Times New Roman"/>
                <w:sz w:val="16"/>
                <w:szCs w:val="16"/>
                <w:b w:val="1"/>
                <w:bCs w:val="1"/>
                <w:color w:val="auto"/>
              </w:rPr>
              <w:t>% of</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rPr>
              <w:t>% of</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ind w:right="65"/>
              <w:spacing w:after="0" w:line="154" w:lineRule="exact"/>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3"/>
                <w:szCs w:val="13"/>
                <w:color w:val="auto"/>
              </w:rPr>
            </w:pPr>
          </w:p>
        </w:tc>
      </w:tr>
      <w:tr>
        <w:trPr>
          <w:trHeight w:val="194"/>
        </w:trPr>
        <w:tc>
          <w:tcPr>
            <w:tcW w:w="5560" w:type="dxa"/>
            <w:vAlign w:val="bottom"/>
          </w:tcPr>
          <w:p>
            <w:pPr>
              <w:jc w:val="right"/>
              <w:ind w:right="3923"/>
              <w:spacing w:after="0"/>
              <w:rPr>
                <w:sz w:val="20"/>
                <w:szCs w:val="20"/>
                <w:color w:val="auto"/>
              </w:rPr>
            </w:pPr>
            <w:r>
              <w:rPr>
                <w:rFonts w:ascii="Times New Roman" w:cs="Times New Roman" w:eastAsia="Times New Roman" w:hAnsi="Times New Roman"/>
                <w:sz w:val="16"/>
                <w:szCs w:val="16"/>
                <w:b w:val="1"/>
                <w:bCs w:val="1"/>
                <w:color w:val="auto"/>
                <w:w w:val="97"/>
              </w:rPr>
              <w:t>U.S. dollars in millions</w:t>
            </w:r>
          </w:p>
        </w:tc>
        <w:tc>
          <w:tcPr>
            <w:tcW w:w="20" w:type="dxa"/>
            <w:vAlign w:val="bottom"/>
          </w:tcPr>
          <w:p>
            <w:pPr>
              <w:spacing w:after="0"/>
              <w:rPr>
                <w:sz w:val="16"/>
                <w:szCs w:val="16"/>
                <w:color w:val="auto"/>
              </w:rPr>
            </w:pPr>
          </w:p>
        </w:tc>
        <w:tc>
          <w:tcPr>
            <w:tcW w:w="90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5"/>
              </w:rPr>
              <w:t>Revenue</w:t>
            </w: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8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8"/>
              </w:rPr>
              <w:t>Revenue</w:t>
            </w:r>
          </w:p>
        </w:tc>
      </w:tr>
      <w:tr>
        <w:trPr>
          <w:trHeight w:val="208"/>
        </w:trPr>
        <w:tc>
          <w:tcPr>
            <w:tcW w:w="5560" w:type="dxa"/>
            <w:vAlign w:val="bottom"/>
          </w:tcPr>
          <w:p>
            <w:pPr>
              <w:jc w:val="right"/>
              <w:ind w:right="183"/>
              <w:spacing w:after="0" w:line="208" w:lineRule="exact"/>
              <w:rPr>
                <w:sz w:val="20"/>
                <w:szCs w:val="20"/>
                <w:color w:val="auto"/>
              </w:rPr>
            </w:pPr>
            <w:r>
              <w:rPr>
                <w:rFonts w:ascii="Times New Roman" w:cs="Times New Roman" w:eastAsia="Times New Roman" w:hAnsi="Times New Roman"/>
                <w:sz w:val="20"/>
                <w:szCs w:val="20"/>
                <w:color w:val="auto"/>
              </w:rPr>
              <w:t>. . . . . . . . . . . . . . . . .Operatingincome(loss)andoperatingmargin</w:t>
            </w: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60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w w:val="99"/>
              </w:rPr>
              <w:t>(3,225)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(195)</w:t>
            </w:r>
          </w:p>
        </w:tc>
        <w:tc>
          <w:tcPr>
            <w:tcW w:w="280" w:type="dxa"/>
            <w:vAlign w:val="bottom"/>
          </w:tcPr>
          <w:p>
            <w:pPr>
              <w:jc w:val="right"/>
              <w:ind w:right="20"/>
              <w:spacing w:after="0" w:line="208" w:lineRule="exact"/>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(33)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(2)</w:t>
            </w:r>
          </w:p>
        </w:tc>
        <w:tc>
          <w:tcPr>
            <w:tcW w:w="28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7"/>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(2)</w:t>
            </w:r>
          </w:p>
        </w:tc>
        <w:tc>
          <w:tcPr>
            <w:tcW w:w="2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w w:val="83"/>
              </w:rPr>
              <w:t>%</w:t>
            </w:r>
          </w:p>
        </w:tc>
      </w:tr>
      <w:tr>
        <w:trPr>
          <w:trHeight w:val="230"/>
        </w:trPr>
        <w:tc>
          <w:tcPr>
            <w:tcW w:w="556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w w:val="98"/>
              </w:rPr>
              <w:t>Add: Amortization of acquired intangible assets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27 %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29 %</w:t>
            </w:r>
          </w:p>
        </w:tc>
      </w:tr>
      <w:tr>
        <w:trPr>
          <w:trHeight w:val="230"/>
        </w:trPr>
        <w:tc>
          <w:tcPr>
            <w:tcW w:w="556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w w:val="97"/>
              </w:rPr>
              <w:t>Add: Share-based compensation expense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9 %</w:t>
            </w:r>
          </w:p>
        </w:tc>
      </w:tr>
      <w:tr>
        <w:trPr>
          <w:trHeight w:val="229"/>
        </w:trPr>
        <w:tc>
          <w:tcPr>
            <w:tcW w:w="556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w w:val="97"/>
              </w:rPr>
              <w:t>Add: Expenses related to the IPO . . . . . . .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 %</w:t>
            </w:r>
          </w:p>
        </w:tc>
        <w:tc>
          <w:tcPr>
            <w:tcW w:w="180" w:type="dxa"/>
            <w:vAlign w:val="bottom"/>
          </w:tcPr>
          <w:p>
            <w:pPr>
              <w:spacing w:after="0"/>
              <w:rPr>
                <w:sz w:val="19"/>
                <w:szCs w:val="19"/>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 %</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41"/>
        </w:trPr>
        <w:tc>
          <w:tcPr>
            <w:tcW w:w="556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w w:val="97"/>
              </w:rPr>
              <w:t>Add: Goodwill impairment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163 %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 %</w:t>
            </w:r>
          </w:p>
        </w:tc>
        <w:tc>
          <w:tcPr>
            <w:tcW w:w="200" w:type="dxa"/>
            <w:vAlign w:val="bottom"/>
          </w:tcPr>
          <w:p>
            <w:pPr>
              <w:spacing w:after="0"/>
              <w:rPr>
                <w:sz w:val="20"/>
                <w:szCs w:val="20"/>
                <w:color w:val="auto"/>
              </w:rPr>
            </w:pPr>
          </w:p>
        </w:tc>
        <w:tc>
          <w:tcPr>
            <w:tcW w:w="66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40"/>
        </w:trPr>
        <w:tc>
          <w:tcPr>
            <w:tcW w:w="556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rPr>
              <w:t>. . . . . . . . . . . . . . . . . . . .</w:t>
            </w:r>
            <w:r>
              <w:rPr>
                <w:rFonts w:ascii="Times New Roman" w:cs="Times New Roman" w:eastAsia="Times New Roman" w:hAnsi="Times New Roman"/>
                <w:sz w:val="20"/>
                <w:szCs w:val="20"/>
                <w:b w:val="1"/>
                <w:bCs w:val="1"/>
                <w:color w:val="auto"/>
              </w:rPr>
              <w:t>Adjustedoperatingincomeandmargin</w:t>
            </w: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693</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33</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685</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89"/>
              </w:rPr>
              <w:t>%</w:t>
            </w:r>
          </w:p>
        </w:tc>
      </w:tr>
    </w:tbl>
    <w:p>
      <w:pPr>
        <w:spacing w:after="0" w:line="200" w:lineRule="exact"/>
        <w:rPr>
          <w:sz w:val="20"/>
          <w:szCs w:val="20"/>
          <w:color w:val="auto"/>
        </w:rPr>
      </w:pP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10800"/>
          </w:cols>
          <w:pgMar w:left="540" w:top="1347" w:right="540" w:bottom="0" w:gutter="0" w:footer="0" w:header="0"/>
          <w:type w:val="continuous"/>
        </w:sectPr>
      </w:pPr>
    </w:p>
    <w:bookmarkStart w:id="92" w:name="page93"/>
    <w:bookmarkEnd w:id="92"/>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Our operating loss increased by $3,192 million in 2024 compared to 2023, mainly as a result of a goodwill impairment loss recognized during the third quarter of 2024.</w:t>
      </w:r>
    </w:p>
    <w:p>
      <w:pPr>
        <w:spacing w:after="0" w:line="164"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19"/>
          <w:szCs w:val="19"/>
          <w:color w:val="auto"/>
        </w:rPr>
        <w:t>Our Adjusted Operating Income decreased by $500 million in 2024 compared to 2023, primarily due to a reduction in revenue, and an increase in operating expenses. Our Adjusted Operating Income increased by $8 million in 2023 compared to 2022, primarily due to the growth in our overall business, partially offset by the increase in research and development and general and administrative expenses.</w:t>
      </w:r>
    </w:p>
    <w:p>
      <w:pPr>
        <w:spacing w:after="0" w:line="168"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Our Adjusted Operating Margin decreased from 33% in 2023 to 12% in 2024, primarily due to a higher operating expenses on a lower revenue base, in addition to lower adjusted gross margin. Our Adjusted Operating Margin decreased from 37% in 2022 to 33% in 2023, primarily due to a decrease in our Adjusted Gross Margin.</w:t>
      </w:r>
    </w:p>
    <w:p>
      <w:pPr>
        <w:spacing w:after="0" w:line="186" w:lineRule="exact"/>
        <w:rPr>
          <w:sz w:val="20"/>
          <w:szCs w:val="20"/>
          <w:color w:val="auto"/>
        </w:rPr>
      </w:pPr>
    </w:p>
    <w:p>
      <w:pPr>
        <w:jc w:val="both"/>
        <w:ind w:firstLine="361"/>
        <w:spacing w:after="0" w:line="253" w:lineRule="auto"/>
        <w:rPr>
          <w:sz w:val="20"/>
          <w:szCs w:val="20"/>
          <w:color w:val="auto"/>
        </w:rPr>
      </w:pPr>
      <w:r>
        <w:rPr>
          <w:rFonts w:ascii="Times New Roman" w:cs="Times New Roman" w:eastAsia="Times New Roman" w:hAnsi="Times New Roman"/>
          <w:sz w:val="20"/>
          <w:szCs w:val="20"/>
          <w:color w:val="auto"/>
        </w:rPr>
        <w:t>We expect that our Adjusted Operating Margin in the near-term future will increase compared to 2024, mainly due to a lower expected impact of operating expenses as a percentage of revenue. This is expected to be partially offset by an over time decrease in Adjusted Gross Margin as we develop and sell full systems solutions contributing higher gross profit dollars per unit but lower percentage gross margin given the greater hardware content included in these systems.</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Adjusted Net Income</w:t>
      </w:r>
    </w:p>
    <w:p>
      <w:pPr>
        <w:spacing w:after="0" w:line="239"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We define Adjusted Net Income as net income (loss) presented in accordance with GAAP, adjusted to exclude amortization of acquisition related intangibles, share-based compensation expenses and impairment of goodwill,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and impairment of goodwill.</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Set forth below is the reconciliation of net income (loss) to Adjusted Net Income: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7"/>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165"/>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7"/>
          </w:tcPr>
          <w:p>
            <w:pPr>
              <w:ind w:left="140"/>
              <w:spacing w:after="0" w:line="16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80" w:type="dxa"/>
            <w:vAlign w:val="bottom"/>
          </w:tcPr>
          <w:p>
            <w:pPr>
              <w:spacing w:after="0"/>
              <w:rPr>
                <w:sz w:val="14"/>
                <w:szCs w:val="14"/>
                <w:color w:val="auto"/>
              </w:rPr>
            </w:pPr>
          </w:p>
        </w:tc>
        <w:tc>
          <w:tcPr>
            <w:tcW w:w="1600" w:type="dxa"/>
            <w:vAlign w:val="bottom"/>
            <w:gridSpan w:val="7"/>
          </w:tcPr>
          <w:p>
            <w:pPr>
              <w:jc w:val="center"/>
              <w:ind w:right="480"/>
              <w:spacing w:after="0" w:line="165" w:lineRule="exact"/>
              <w:rPr>
                <w:sz w:val="20"/>
                <w:szCs w:val="20"/>
                <w:color w:val="auto"/>
              </w:rPr>
            </w:pPr>
            <w:r>
              <w:rPr>
                <w:rFonts w:ascii="Times New Roman" w:cs="Times New Roman" w:eastAsia="Times New Roman" w:hAnsi="Times New Roman"/>
                <w:sz w:val="16"/>
                <w:szCs w:val="16"/>
                <w:b w:val="1"/>
                <w:bCs w:val="1"/>
                <w:color w:val="auto"/>
                <w:w w:val="98"/>
              </w:rPr>
              <w:t>December 30,</w:t>
            </w:r>
          </w:p>
        </w:tc>
        <w:tc>
          <w:tcPr>
            <w:tcW w:w="180" w:type="dxa"/>
            <w:vAlign w:val="bottom"/>
          </w:tcPr>
          <w:p>
            <w:pPr>
              <w:spacing w:after="0"/>
              <w:rPr>
                <w:sz w:val="14"/>
                <w:szCs w:val="14"/>
                <w:color w:val="auto"/>
              </w:rPr>
            </w:pPr>
          </w:p>
        </w:tc>
        <w:tc>
          <w:tcPr>
            <w:tcW w:w="1300" w:type="dxa"/>
            <w:vAlign w:val="bottom"/>
            <w:gridSpan w:val="4"/>
          </w:tcPr>
          <w:p>
            <w:pPr>
              <w:jc w:val="right"/>
              <w:ind w:right="184"/>
              <w:spacing w:after="0" w:line="16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4"/>
                <w:szCs w:val="14"/>
                <w:color w:val="auto"/>
              </w:rPr>
            </w:pPr>
          </w:p>
        </w:tc>
      </w:tr>
      <w:tr>
        <w:trPr>
          <w:trHeight w:val="203"/>
        </w:trPr>
        <w:tc>
          <w:tcPr>
            <w:tcW w:w="5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right"/>
              <w:ind w:right="4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right"/>
              <w:ind w:right="48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7"/>
                <w:szCs w:val="17"/>
                <w:color w:val="auto"/>
              </w:rPr>
            </w:pPr>
          </w:p>
        </w:tc>
      </w:tr>
      <w:tr>
        <w:trPr>
          <w:trHeight w:val="155"/>
        </w:trPr>
        <w:tc>
          <w:tcPr>
            <w:tcW w:w="5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 of</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right"/>
              <w:ind w:right="64"/>
              <w:spacing w:after="0" w:line="155" w:lineRule="exact"/>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3"/>
                <w:szCs w:val="13"/>
                <w:color w:val="auto"/>
              </w:rPr>
            </w:pPr>
          </w:p>
        </w:tc>
      </w:tr>
      <w:tr>
        <w:trPr>
          <w:trHeight w:val="193"/>
        </w:trPr>
        <w:tc>
          <w:tcPr>
            <w:tcW w:w="5480" w:type="dxa"/>
            <w:vAlign w:val="bottom"/>
          </w:tcPr>
          <w:p>
            <w:pPr>
              <w:jc w:val="right"/>
              <w:ind w:right="3822"/>
              <w:spacing w:after="0"/>
              <w:rPr>
                <w:sz w:val="20"/>
                <w:szCs w:val="20"/>
                <w:color w:val="auto"/>
              </w:rPr>
            </w:pPr>
            <w:r>
              <w:rPr>
                <w:rFonts w:ascii="Times New Roman" w:cs="Times New Roman" w:eastAsia="Times New Roman" w:hAnsi="Times New Roman"/>
                <w:sz w:val="16"/>
                <w:szCs w:val="16"/>
                <w:b w:val="1"/>
                <w:bCs w:val="1"/>
                <w:color w:val="auto"/>
                <w:w w:val="99"/>
              </w:rPr>
              <w:t>U.S. dollars in millions</w:t>
            </w:r>
          </w:p>
        </w:tc>
        <w:tc>
          <w:tcPr>
            <w:tcW w:w="20" w:type="dxa"/>
            <w:vAlign w:val="bottom"/>
          </w:tcPr>
          <w:p>
            <w:pPr>
              <w:spacing w:after="0"/>
              <w:rPr>
                <w:sz w:val="16"/>
                <w:szCs w:val="16"/>
                <w:color w:val="auto"/>
              </w:rPr>
            </w:pPr>
          </w:p>
        </w:tc>
        <w:tc>
          <w:tcPr>
            <w:tcW w:w="8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2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8"/>
              </w:rPr>
              <w:t>Revenue</w:t>
            </w:r>
          </w:p>
        </w:tc>
      </w:tr>
      <w:tr>
        <w:trPr>
          <w:trHeight w:val="209"/>
        </w:trPr>
        <w:tc>
          <w:tcPr>
            <w:tcW w:w="5480" w:type="dxa"/>
            <w:vAlign w:val="bottom"/>
          </w:tcPr>
          <w:p>
            <w:pPr>
              <w:jc w:val="right"/>
              <w:ind w:right="202"/>
              <w:spacing w:after="0" w:line="209" w:lineRule="exact"/>
              <w:rPr>
                <w:sz w:val="20"/>
                <w:szCs w:val="20"/>
                <w:color w:val="auto"/>
              </w:rPr>
            </w:pPr>
            <w:r>
              <w:rPr>
                <w:rFonts w:ascii="Times New Roman" w:cs="Times New Roman" w:eastAsia="Times New Roman" w:hAnsi="Times New Roman"/>
                <w:sz w:val="20"/>
                <w:szCs w:val="20"/>
                <w:color w:val="auto"/>
                <w:w w:val="99"/>
              </w:rPr>
              <w:t>. . . . . . . . . . . . . . . . . . . . . . . . . . . . . . . . . . . . . . .Netincome(loss)</w:t>
            </w: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99"/>
              </w:rPr>
              <w:t>(3,090)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gridSpan w:val="2"/>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rPr>
              <w:t>(187)</w:t>
            </w:r>
          </w:p>
        </w:tc>
        <w:tc>
          <w:tcPr>
            <w:tcW w:w="2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w:t>
            </w:r>
          </w:p>
        </w:tc>
        <w:tc>
          <w:tcPr>
            <w:tcW w:w="280" w:type="dxa"/>
            <w:vAlign w:val="bottom"/>
            <w:gridSpan w:val="2"/>
          </w:tcPr>
          <w:p>
            <w:pPr>
              <w:jc w:val="right"/>
              <w:ind w:right="120"/>
              <w:spacing w:after="0" w:line="209" w:lineRule="exact"/>
              <w:rPr>
                <w:sz w:val="20"/>
                <w:szCs w:val="20"/>
                <w:color w:val="auto"/>
              </w:rPr>
            </w:pPr>
            <w:r>
              <w:rPr>
                <w:rFonts w:ascii="Times New Roman" w:cs="Times New Roman" w:eastAsia="Times New Roman" w:hAnsi="Times New Roman"/>
                <w:sz w:val="20"/>
                <w:szCs w:val="20"/>
                <w:color w:val="auto"/>
                <w:w w:val="83"/>
              </w:rPr>
              <w:t>%</w:t>
            </w: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(82)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(4)</w:t>
            </w:r>
          </w:p>
        </w:tc>
        <w:tc>
          <w:tcPr>
            <w:tcW w:w="2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83"/>
              </w:rPr>
              <w:t>%</w:t>
            </w:r>
          </w:p>
        </w:tc>
      </w:tr>
      <w:tr>
        <w:trPr>
          <w:trHeight w:val="230"/>
        </w:trPr>
        <w:tc>
          <w:tcPr>
            <w:tcW w:w="54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w w:val="98"/>
              </w:rPr>
              <w:t>Add: Amortization of acquired intangible assets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27 %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23 %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29 %</w:t>
            </w:r>
          </w:p>
        </w:tc>
      </w:tr>
      <w:tr>
        <w:trPr>
          <w:trHeight w:val="229"/>
        </w:trPr>
        <w:tc>
          <w:tcPr>
            <w:tcW w:w="54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w w:val="97"/>
              </w:rPr>
              <w:t>Add: Share-based compensation expense . . . . . . . . . . . .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17 %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12 %</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9 %</w:t>
            </w:r>
          </w:p>
        </w:tc>
      </w:tr>
      <w:tr>
        <w:trPr>
          <w:trHeight w:val="230"/>
        </w:trPr>
        <w:tc>
          <w:tcPr>
            <w:tcW w:w="54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w w:val="97"/>
              </w:rPr>
              <w:t>Add: Expenses related to the Mobileye IPO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 %</w:t>
            </w:r>
          </w:p>
        </w:tc>
        <w:tc>
          <w:tcPr>
            <w:tcW w:w="180" w:type="dxa"/>
            <w:vAlign w:val="bottom"/>
          </w:tcPr>
          <w:p>
            <w:pPr>
              <w:spacing w:after="0"/>
              <w:rPr>
                <w:sz w:val="20"/>
                <w:szCs w:val="20"/>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 %</w:t>
            </w: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30"/>
        </w:trPr>
        <w:tc>
          <w:tcPr>
            <w:tcW w:w="54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w w:val="97"/>
              </w:rPr>
              <w:t>Add: Goodwill impairment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163 %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color w:val="auto"/>
              </w:rPr>
              <w:t>— %</w:t>
            </w:r>
          </w:p>
        </w:tc>
        <w:tc>
          <w:tcPr>
            <w:tcW w:w="180" w:type="dxa"/>
            <w:vAlign w:val="bottom"/>
          </w:tcPr>
          <w:p>
            <w:pPr>
              <w:spacing w:after="0"/>
              <w:rPr>
                <w:sz w:val="20"/>
                <w:szCs w:val="20"/>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41"/>
        </w:trPr>
        <w:tc>
          <w:tcPr>
            <w:tcW w:w="54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w w:val="96"/>
              </w:rPr>
              <w:t>Less: Income tax effects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(123)</w:t>
            </w:r>
          </w:p>
        </w:tc>
        <w:tc>
          <w:tcPr>
            <w:tcW w:w="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(40)</w:t>
            </w:r>
          </w:p>
        </w:tc>
        <w:tc>
          <w:tcPr>
            <w:tcW w:w="2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(35)</w:t>
            </w:r>
          </w:p>
        </w:tc>
        <w:tc>
          <w:tcPr>
            <w:tcW w:w="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40"/>
        </w:trPr>
        <w:tc>
          <w:tcPr>
            <w:tcW w:w="548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w w:val="99"/>
              </w:rPr>
              <w:t>. . . . . . . . . . . . . . . . . . . . . . . . . . . . . . . . . . . .</w:t>
            </w:r>
            <w:r>
              <w:rPr>
                <w:rFonts w:ascii="Times New Roman" w:cs="Times New Roman" w:eastAsia="Times New Roman" w:hAnsi="Times New Roman"/>
                <w:sz w:val="20"/>
                <w:szCs w:val="20"/>
                <w:b w:val="1"/>
                <w:bCs w:val="1"/>
                <w:color w:val="auto"/>
                <w:w w:val="99"/>
              </w:rPr>
              <w:t>Adjustednetincome</w:t>
            </w: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205</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12</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659</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89"/>
              </w:rPr>
              <w:t>%</w:t>
            </w: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605</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89"/>
              </w:rPr>
              <w:t>%</w:t>
            </w:r>
          </w:p>
        </w:tc>
      </w:tr>
    </w:tbl>
    <w:p>
      <w:pPr>
        <w:spacing w:after="0" w:line="20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Net Loss increased by $3,063 million in 2024 compared to 2023, primarily due to a goodwill impairment loss recognized during the third quarter of 2024. Our Net Loss decreased by $55 million in 2023 compared to 2022, primarily due to increase in revenue in addition to a decrease in amortization expense of intangible assets, partially offset by an increase of share-based compensation and and increase in financial income in 2023.</w:t>
      </w:r>
    </w:p>
    <w:p>
      <w:pPr>
        <w:spacing w:after="0" w:line="19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Adjusted Net Income decreased by $454 million in 2024 compared to 2023, primarily due to a reduction in revenue, and an increase in research and development expenses. Our Adjusted Net Income increased by $54 million in 2023 compared to 2022, primarily due to increase in revenue, partially offset by the increase in our research and development and general and administrative expenses and an increase in financial income in 2023.</w:t>
      </w:r>
    </w:p>
    <w:p>
      <w:pPr>
        <w:spacing w:after="0" w:line="190"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We expect that our Adjusted Net Income Margin (which is the Adjusted Net Income divided by total revenue) in the near-term future will increase compared to 2024, mainly due to a lower expected impact of operating expenses as a percentage of revenue. This is expected to be partially offset by an over time decrease in Adjusted Gross Margin as we develop and sell full systems solutions contributing higher gross profit dollars per unit but lower percentage gross margin given the greater hardware content included in these systems.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10800"/>
          </w:cols>
          <w:pgMar w:left="540" w:top="1347" w:right="540" w:bottom="0" w:gutter="0" w:footer="0" w:header="0"/>
          <w:type w:val="continuous"/>
        </w:sectPr>
      </w:pPr>
    </w:p>
    <w:bookmarkStart w:id="93" w:name="page94"/>
    <w:bookmarkEnd w:id="93"/>
    <w:p>
      <w:pPr>
        <w:ind w:left="360"/>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42"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Our audited consolidated financial statements have been prepared in accordance with U.S. GAAP. The preparation of financial statements and related disclosures in conformity with U.S. GAAP and the Company’s discussion and analysis of its financial condition and operating results require the Company’s management to make judgements, assumptions and estimates that affect the amounts reported. We base our assumptions, estimates and judgments on historical experience, current trends and other factors that management believes to be relevant at the time the estimate was made.</w:t>
      </w:r>
    </w:p>
    <w:p>
      <w:pPr>
        <w:spacing w:after="0" w:line="19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consider an accounting policy to be a critical estimate if: (1) we must make assumptions that were uncertain when the judgment was made, and (2) changes in the relevant estimate or assumptions, or selection of a different estimate methodology, could have a significant impact on our financial position or the results that we report in our consolidated financial statements.</w:t>
      </w:r>
    </w:p>
    <w:p>
      <w:pPr>
        <w:spacing w:after="0" w:line="18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spacing w:after="0" w:line="183"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On an ongoing basis, management evaluates its estimates, including those related to intangible assets, goodwill and deferred taxes. We base our estimates, assumptions and judgments on historical experience and on various other factors that we believe to be reasonable under the circumstances, the results of which form the basis for making judgments about the carrying values of assets and liabilities that are not readily apparent from other sources. Actual results may materially differ from the results implied by these estimates and judgments under different assumptions or conditions.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38"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Our consolidated financial statements include acquisition-related intangible assets, consisting of developed technology and customer relationships and brands. The identification and recognition of those intangible assets involve significant judgments relating to, among other things, the projected cash flows attributable to these intangible assets and the estimated useful lives of these intangible assets. We amortize acquisition-related intangible assets that are subject to amortization over their estimated useful lives. The useful lives are determined by management at the time of acquisition, based on historical experience and the economic life of the underlying technology, and are regularly reviewed for appropriateness.</w:t>
      </w:r>
    </w:p>
    <w:p>
      <w:pPr>
        <w:spacing w:after="0" w:line="19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We perform an annual review of significant finite-lived identified intangible assets to make a judgment on whether facts and circumstances indicate that the carrying amount may not be recoverable and an impairment may be required.</w:t>
      </w:r>
    </w:p>
    <w:p>
      <w:pPr>
        <w:spacing w:after="0" w:line="16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These reviews can be affected by various factors, including external factors such as industry and economic trends, and internal factors such as changes in our business strategy and our forecasts for specific product lines.</w:t>
      </w:r>
    </w:p>
    <w:p>
      <w:pPr>
        <w:spacing w:after="0" w:line="16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During the third quarter of 2024, we performed an impairment assessment of intangible assets and concluded that the sum of the expected future undiscounted cash flows expected to be generated by the intangible assets is substantially above their carrying amount and therefore no impairment was identified. The Company did not record any impairment of intangible assets for any of the periods presented.</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39"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We perform an annual impairment assessment of goodwill at the reporting unit level in the fourth quarter of each year, or more frequently if indicators of potential impairment exist. The analysis may include both qualitative and quantitative factors to assess the likelihood of impairment. Additionally, in accordance with ASC 350, we first assess qualitative factors to determine the existence of events or circumstances which indicate that it is more likely than not that the fair value of a reporting unit is less than its carrying amount. A quantitative impairment test is only required if we determine, based on the qualitative assessment, that it is more likely than not that a reporting unit’s fair value is less than its carrying amount.</w:t>
      </w:r>
    </w:p>
    <w:p>
      <w:pPr>
        <w:spacing w:after="0" w:line="19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Qualitative factors include industry and market considerations, overall financial performance, and other relevant events and factors affecting the reporting unit.</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10800"/>
          </w:cols>
          <w:pgMar w:left="540" w:top="1345" w:right="540" w:bottom="0" w:gutter="0" w:footer="0" w:header="0"/>
          <w:type w:val="continuous"/>
        </w:sectPr>
      </w:pPr>
    </w:p>
    <w:bookmarkStart w:id="94" w:name="page95"/>
    <w:bookmarkEnd w:id="94"/>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Our quantitative impairment test considers both the income approach and the market approach to estimate a reporting unit’s fair value. Significant estimates include business projections, growth rates, and discount rates based on a reporting unit’s weighted average cost of capital. The estimated fair value using a market approach is based on a number of assumptions, including current market capitalization as corroboration of fair value.</w:t>
      </w:r>
    </w:p>
    <w:p>
      <w:pPr>
        <w:spacing w:after="0" w:line="191"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During the third quarter of 2024, the Company performed an interim quantitative goodwill impairment analysis for the “Mobileye” reporting unit due to the recent decline in the share price of the Company’s Class A common stock and the corresponding decline in market capitalization, as well as macroeconomic and industry factors. The quantitative impairment test estimates the fair value of the reporting unit using an income approach. Significant inputs and assumptions incorporated in the valuation include business projections, terminal growth rate, and discount rate based on the reporting unit’s weighted average cost of capital.</w:t>
      </w:r>
    </w:p>
    <w:p>
      <w:pPr>
        <w:spacing w:after="0" w:line="19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 also assesses the reasonableness of the estimated fair value of the reporting unit by comparison to its market capitalization, including consideration of expected acquirer synergies, control premium, and the current market.</w:t>
      </w:r>
    </w:p>
    <w:p>
      <w:pPr>
        <w:spacing w:after="0" w:line="163" w:lineRule="exact"/>
        <w:rPr>
          <w:sz w:val="20"/>
          <w:szCs w:val="20"/>
          <w:color w:val="auto"/>
        </w:rPr>
      </w:pPr>
    </w:p>
    <w:p>
      <w:pPr>
        <w:jc w:val="both"/>
        <w:ind w:firstLine="361"/>
        <w:spacing w:after="0" w:line="260" w:lineRule="auto"/>
        <w:rPr>
          <w:sz w:val="20"/>
          <w:szCs w:val="20"/>
          <w:color w:val="auto"/>
        </w:rPr>
      </w:pPr>
      <w:r>
        <w:rPr>
          <w:rFonts w:ascii="Times New Roman" w:cs="Times New Roman" w:eastAsia="Times New Roman" w:hAnsi="Times New Roman"/>
          <w:sz w:val="20"/>
          <w:szCs w:val="20"/>
          <w:color w:val="auto"/>
        </w:rPr>
        <w:t>The results of the impairment analysis indicated that the fair value of the Mobileye reporting unit was below its carrying amount and therefore a non-cash impairment loss of $2,695 million ($2,613 million, net of tax), was recognized in the Consolidated Statements of Operations.</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A 1% increase in the discount rate and a 0.5% decrease in terminal growth rate would result in an additional impairment of $1,493 million and $465 million, respectively.</w:t>
      </w:r>
    </w:p>
    <w:p>
      <w:pPr>
        <w:spacing w:after="0" w:line="16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During the fourth quarter of 2024, we completed our annual impairment assessment. Based on the assessment, the fair value of the “Mobileye” reporting unit exceeds its book value. We also performed a detailed quantitative analysis for the “Other” reporting unit which showed that no impairment was required. Fair value was estimated using the expected present value of future cash flows and is categorized as Level 3 within the fair value hierarchy due to the use of unobservable inputs.</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did not record any impairment of goodwill in 2023 and 2022.</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provision for income tax consists of income taxes in the various jurisdictions where the Company is subject to taxation, primarily the United States and Israel.</w:t>
      </w:r>
    </w:p>
    <w:p>
      <w:pPr>
        <w:spacing w:after="0" w:line="163"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Certain components of the Company’s business operations were included in the consolidated U.S. income tax return filed by Intel. The Company also files various foreign income tax returns on a separate basis, distinct from Intel. The income tax provision included in the Company’s consolidated financial statements has been calculated using the separate return method, as if the Company had filed its own tax returns. The Company has entered into the Tax Sharing Agreement with Intel that establishes the respective rights, responsibilities and obligations of the Company and Intel with respect to tax matters and, therefore, ultimately governs the amount payable to Intel with respect to income taxes.</w:t>
      </w:r>
    </w:p>
    <w:p>
      <w:pPr>
        <w:spacing w:after="0" w:line="194"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Any differences between taxes currently payable to Intel under the Tax Sharing Agreement and the current tax provision computed on a separate return basis, is reflected as adjustments to additional paid-in capital in the consolidated statement of shareholders’ equity and financing activities within the consolidated statement of cash flows. According to the terms of the Tax Sharing Agreement, the Company and Intel will calculate and agree to estimated amounts owed quarterly but final amounts will also be calculated and paid upon consolidated tax return filings. Amounts payable under the Tax Sharing Agreement will be recorded in the same manner as other contractual obligations entered into by the Company.</w:t>
      </w:r>
    </w:p>
    <w:p>
      <w:pPr>
        <w:spacing w:after="0" w:line="194"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Deferred tax assets and liabilities are recognized based on the future tax consequences attributable to temporary differences between the consolidated financial statement carrying amounts of existing assets and liabilities and their respective tax bases. We reduce the carrying amounts of deferred tax assets by a valuation allowance if, based on the available evidence, it is more likely than not that such assets will not be realized. Use of the term “more likely than not” indicates the likelihood of occurrence is greater than 50%.</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10800"/>
          </w:cols>
          <w:pgMar w:left="540" w:top="1347" w:right="540" w:bottom="0" w:gutter="0" w:footer="0" w:header="0"/>
          <w:type w:val="continuous"/>
        </w:sectPr>
      </w:pPr>
    </w:p>
    <w:bookmarkStart w:id="95" w:name="page96"/>
    <w:bookmarkEnd w:id="95"/>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Accordingly, the need to establish valuation allowances for deferred tax assets is continually assessed based on a more-likely-than-not realization threshold. This assessment considers, among other matters, the nature, frequency and severity of current and cumulative losses, forecasts of profitability and taxable income, the duration of statutory carryforward periods, our experience with the utilization of operating loss and tax credit carryforwards before expiration and tax planning strategies. In making such judgments, significant weight is given to evidence that can be objectively verified.</w:t>
      </w:r>
    </w:p>
    <w:p>
      <w:pPr>
        <w:spacing w:after="0" w:line="193"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The Company recognizes tax benefits from uncertain tax positions only if it is more likely than not that the tax positions will be sustained on examination by the tax authorities, based on the technical merits of the position. The tax benefits recognized in the financial statements from such positions are measured based on the largest amount that is more than 50% likely to be realized upon ultimate settlement. The Company recognizes interest and penalties related to unrecognized tax benefits within the provision for (benefit from) taxes on the Consolidated Statements of Income.</w:t>
      </w:r>
    </w:p>
    <w:p>
      <w:pPr>
        <w:spacing w:after="0" w:line="192" w:lineRule="exact"/>
        <w:rPr>
          <w:sz w:val="20"/>
          <w:szCs w:val="20"/>
          <w:color w:val="auto"/>
        </w:rPr>
      </w:pPr>
    </w:p>
    <w:p>
      <w:pPr>
        <w:ind w:left="360" w:right="1060"/>
        <w:spacing w:after="0" w:line="490" w:lineRule="auto"/>
        <w:rPr>
          <w:sz w:val="20"/>
          <w:szCs w:val="20"/>
          <w:color w:val="auto"/>
        </w:rPr>
      </w:pPr>
      <w:r>
        <w:rPr>
          <w:rFonts w:ascii="Times New Roman" w:cs="Times New Roman" w:eastAsia="Times New Roman" w:hAnsi="Times New Roman"/>
          <w:sz w:val="20"/>
          <w:szCs w:val="20"/>
          <w:color w:val="auto"/>
        </w:rPr>
        <w:t xml:space="preserve">For additional information regarding income taxes, see Note 8 of the Notes to the Consolidated Financial Statements. </w:t>
      </w:r>
      <w:r>
        <w:rPr>
          <w:rFonts w:ascii="Times New Roman" w:cs="Times New Roman" w:eastAsia="Times New Roman" w:hAnsi="Times New Roman"/>
          <w:sz w:val="20"/>
          <w:szCs w:val="20"/>
          <w:b w:val="1"/>
          <w:bCs w:val="1"/>
          <w:i w:val="1"/>
          <w:iCs w:val="1"/>
          <w:color w:val="auto"/>
        </w:rPr>
        <w:t>New Accounting Pronouncements</w:t>
      </w: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See “Note 2: Significant Accounting Policies” to our consolidated financial statements included elsewhere in this report for information on new accounting pronouncements.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 and interest rates.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239"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Our investments in money market funds, U.S. government bonds and short term deposits are subject to market risk due to changes in interest rates, which may affect our interest income and fair market value of our investments. To minimize this risk, we invest in institutional investors money market funds, which consist of high-grade securities. Our short term deposits are redeemable upon demand and held in banks domiciled in the U.S. and Europe, as well as in Israel. As of December 28, 2024 and December 30, 2023, our investment in money market funds was $951 million and $932 million, respectively; our U.S. government bonds were $33 million and zero, respectively; and our short term deposits were $419 million and $222 million, respectively.</w:t>
      </w:r>
    </w:p>
    <w:p>
      <w:pPr>
        <w:spacing w:after="0" w:line="19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primary objectives of our investments in money market funds, U.S. government bonds and short term deposits is to fund our cash requirements in the ordinary course of business and preserve principal. We do not enter into investments for trading or speculative purposes.</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Exchange Risk</w:t>
      </w:r>
    </w:p>
    <w:p>
      <w:pPr>
        <w:spacing w:after="0" w:line="238"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The U.S. dollar is our functional currency. Substantially all our revenue was denominated in U.S. dollars for all periods presented; however certain expenses comprising our cost of revenue and operating expenses were denominated in New Israeli Shekels, mainly payroll. As a result, our consolidated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w:t>
      </w:r>
    </w:p>
    <w:p>
      <w:pPr>
        <w:spacing w:after="0" w:line="192"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We have attempted to minimize foreign currency risk, primarily by entering into a hedging services agreement with Intel during 2021. Intel centrally hedges its forecast cash flow exposure to the U.S. dollar / New Israeli Shekel exchange rates, and according to the agreement, we have been entitled to a certain allocation of the gains and losses arising from the execution of the hedging contracts. During the fourth quarter of 2022, we de-designated the remaining cash flow hedges for forecasted operating expenses denominated in ILS and will no longer be participating in Intel’s corporate hedging program.</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10800"/>
          </w:cols>
          <w:pgMar w:left="540" w:top="1347" w:right="540" w:bottom="0" w:gutter="0" w:footer="0" w:header="0"/>
          <w:type w:val="continuous"/>
        </w:sectPr>
      </w:pPr>
    </w:p>
    <w:bookmarkStart w:id="96" w:name="page97"/>
    <w:bookmarkEnd w:id="96"/>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During the fourth quarter of 2024 we initiated a foreign currency cash flow hedging program, designed to hedge the Company’s foreign exchange rate risk, resulting mainly from ILS payroll expenses. The Company hedges portions of its forecasted payroll payments denominated in ILS using forward contracts that are designated as cash flow hedges, as defined by ASC 815.</w:t>
      </w:r>
    </w:p>
    <w:p>
      <w:pPr>
        <w:spacing w:after="0" w:line="183"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If the New Israeli Shekel had strengthened by 10% against the U.S. dollar, it would have decreased our cash flows by approximately $67 million in the year ended December 28, 2024. If the New Israeli Shekel had strengthened by 10% against the U.S. dollar, it would have decreased our cash flows by approximately $43 million in the year ended December 30, 2023. This exposure to U.S. dollar / New Israeli Shekel exchange rates in 2023 resulted from the nine months ended December 30, 2023, since in the first quarter of 2023 we were still affected by the hedging program with Intel and therefore the effect of the exchange rates would not have had a material impact on our cash flows. The effect of a 10% change in the U.S. dollar / New Israeli Shekel exchange rate would not have had a material impact on our cash flows in the year ended December 31, 2022 due to our hedging services agreement with Intel.</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10800"/>
          </w:cols>
          <w:pgMar w:left="540" w:top="1347" w:right="54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color w:val="auto"/>
        </w:rPr>
        <w:t>Item 8. Financial Statements</w:t>
      </w: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name: Kesselman &amp; Kesselman C.P.A.s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6343650</wp:posOffset>
                </wp:positionH>
                <wp:positionV relativeFrom="paragraph">
                  <wp:posOffset>-135255</wp:posOffset>
                </wp:positionV>
                <wp:extent cx="51435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435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5pt,-10.6499pt" to="540pt,-10.6499pt" o:allowincell="f" strokecolor="#000000" strokeweight="0.4809pt"/>
            </w:pict>
          </mc:Fallback>
        </mc:AlternateContent>
      </w:r>
    </w:p>
    <w:p>
      <w:pPr>
        <w:spacing w:after="0"/>
        <w:tabs>
          <w:tab w:leader="none" w:pos="10280" w:val="left"/>
        </w:tabs>
        <w:rPr>
          <w:sz w:val="20"/>
          <w:szCs w:val="20"/>
          <w:color w:val="auto"/>
        </w:rPr>
      </w:pPr>
      <w:r>
        <w:rPr>
          <w:rFonts w:ascii="Times New Roman" w:cs="Times New Roman" w:eastAsia="Times New Roman" w:hAnsi="Times New Roman"/>
          <w:sz w:val="20"/>
          <w:szCs w:val="20"/>
          <w:color w:val="auto"/>
        </w:rPr>
        <w:t>and PCAOB ID: 1309)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95</w:t>
      </w:r>
    </w:p>
    <w:p>
      <w:pPr>
        <w:spacing w:after="0"/>
        <w:tabs>
          <w:tab w:leader="none" w:pos="10280" w:val="left"/>
        </w:tabs>
        <w:rPr>
          <w:sz w:val="20"/>
          <w:szCs w:val="20"/>
          <w:color w:val="auto"/>
        </w:rPr>
      </w:pPr>
      <w:r>
        <w:rPr>
          <w:rFonts w:ascii="Times New Roman" w:cs="Times New Roman" w:eastAsia="Times New Roman" w:hAnsi="Times New Roman"/>
          <w:sz w:val="20"/>
          <w:szCs w:val="20"/>
          <w:color w:val="auto"/>
        </w:rPr>
        <w:t>Consolidated Balance Sheets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98</w:t>
      </w:r>
    </w:p>
    <w:p>
      <w:pPr>
        <w:spacing w:after="0"/>
        <w:tabs>
          <w:tab w:leader="none" w:pos="10280" w:val="left"/>
        </w:tabs>
        <w:rPr>
          <w:sz w:val="20"/>
          <w:szCs w:val="20"/>
          <w:color w:val="auto"/>
        </w:rPr>
      </w:pPr>
      <w:r>
        <w:rPr>
          <w:rFonts w:ascii="Times New Roman" w:cs="Times New Roman" w:eastAsia="Times New Roman" w:hAnsi="Times New Roman"/>
          <w:sz w:val="20"/>
          <w:szCs w:val="20"/>
          <w:color w:val="auto"/>
        </w:rPr>
        <w:t>Consolidated Statements of Operations and Comprehensive Income (Loss) . . . . . . . . . . . . . . . . . . . . . . . . . . . . . . . . . . . . . . . . .</w:t>
      </w:r>
      <w:r>
        <w:rPr>
          <w:sz w:val="20"/>
          <w:szCs w:val="20"/>
          <w:color w:val="auto"/>
        </w:rPr>
        <w:tab/>
      </w:r>
      <w:r>
        <w:rPr>
          <w:rFonts w:ascii="Times New Roman" w:cs="Times New Roman" w:eastAsia="Times New Roman" w:hAnsi="Times New Roman"/>
          <w:sz w:val="20"/>
          <w:szCs w:val="20"/>
          <w:color w:val="auto"/>
        </w:rPr>
        <w:t>99</w:t>
      </w:r>
    </w:p>
    <w:p>
      <w:pPr>
        <w:spacing w:after="0"/>
        <w:tabs>
          <w:tab w:leader="none" w:pos="10220" w:val="left"/>
        </w:tabs>
        <w:rPr>
          <w:sz w:val="20"/>
          <w:szCs w:val="20"/>
          <w:color w:val="auto"/>
        </w:rPr>
      </w:pPr>
      <w:r>
        <w:rPr>
          <w:rFonts w:ascii="Times New Roman" w:cs="Times New Roman" w:eastAsia="Times New Roman" w:hAnsi="Times New Roman"/>
          <w:sz w:val="20"/>
          <w:szCs w:val="20"/>
          <w:color w:val="auto"/>
        </w:rPr>
        <w:t>Consolidated Statements of Changes in Equity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100</w:t>
      </w:r>
    </w:p>
    <w:p>
      <w:pPr>
        <w:spacing w:after="0"/>
        <w:tabs>
          <w:tab w:leader="none" w:pos="10220" w:val="left"/>
        </w:tabs>
        <w:rPr>
          <w:sz w:val="20"/>
          <w:szCs w:val="20"/>
          <w:color w:val="auto"/>
        </w:rPr>
      </w:pPr>
      <w:r>
        <w:rPr>
          <w:rFonts w:ascii="Times New Roman" w:cs="Times New Roman" w:eastAsia="Times New Roman" w:hAnsi="Times New Roman"/>
          <w:sz w:val="20"/>
          <w:szCs w:val="20"/>
          <w:color w:val="auto"/>
        </w:rPr>
        <w:t>Consolidated Statements of Cash Flows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101</w:t>
      </w:r>
    </w:p>
    <w:p>
      <w:pPr>
        <w:spacing w:after="0"/>
        <w:tabs>
          <w:tab w:leader="none" w:pos="10220" w:val="left"/>
        </w:tabs>
        <w:rPr>
          <w:sz w:val="20"/>
          <w:szCs w:val="20"/>
          <w:color w:val="auto"/>
        </w:rPr>
      </w:pPr>
      <w:r>
        <w:rPr>
          <w:rFonts w:ascii="Times New Roman" w:cs="Times New Roman" w:eastAsia="Times New Roman" w:hAnsi="Times New Roman"/>
          <w:sz w:val="20"/>
          <w:szCs w:val="20"/>
          <w:color w:val="auto"/>
        </w:rPr>
        <w:t>Notes to Consolidated Financial Statements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102</w:t>
      </w:r>
    </w:p>
    <w:p>
      <w:pPr>
        <w:sectPr>
          <w:pgSz w:w="11880" w:h="15480" w:orient="portrait"/>
          <w:cols w:equalWidth="0" w:num="1">
            <w:col w:w="10600"/>
          </w:cols>
          <w:pgMar w:left="540" w:top="1345"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10600"/>
          </w:cols>
          <w:pgMar w:left="540" w:top="1345" w:right="740" w:bottom="0" w:gutter="0" w:footer="0" w:header="0"/>
          <w:type w:val="continuous"/>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539115</wp:posOffset>
            </wp:positionH>
            <wp:positionV relativeFrom="page">
              <wp:posOffset>1061085</wp:posOffset>
            </wp:positionV>
            <wp:extent cx="1101090" cy="776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01090" cy="77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900" w:firstLine="2904"/>
        <w:spacing w:after="0" w:line="409"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To the Board of Directors and Shareholders of Mobileye Global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238" w:lineRule="exact"/>
        <w:rPr>
          <w:sz w:val="20"/>
          <w:szCs w:val="20"/>
          <w:color w:val="auto"/>
        </w:rPr>
      </w:pPr>
    </w:p>
    <w:p>
      <w:pPr>
        <w:ind w:right="40" w:hanging="9"/>
        <w:spacing w:after="0" w:line="248"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Mobileye Global Inc. and its subsidiaries (the “Company”) as of December 28, 2024 and December 30, 2023, and the related consolidated statements of operations and comprehensive income (loss), of changes in equity and of cash flows for each of the three years in the period ended December 28, 2024, including the related notes (collectively referred to as the “consolidated financial statements”). We also have audited the Company's internal control over financial reporting as of December 28, 2024, based on criteria established in Internal Control - Integrated Framework (2013) issued by the Committee of Sponsoring Organizations of the Treadway Commission (COSO).</w:t>
      </w:r>
    </w:p>
    <w:p>
      <w:pPr>
        <w:spacing w:after="0" w:line="194" w:lineRule="exact"/>
        <w:rPr>
          <w:sz w:val="20"/>
          <w:szCs w:val="20"/>
          <w:color w:val="auto"/>
        </w:rPr>
      </w:pPr>
    </w:p>
    <w:p>
      <w:pPr>
        <w:ind w:hanging="8"/>
        <w:spacing w:after="0" w:line="250" w:lineRule="auto"/>
        <w:rPr>
          <w:sz w:val="20"/>
          <w:szCs w:val="20"/>
          <w:color w:val="auto"/>
        </w:rPr>
      </w:pPr>
      <w:r>
        <w:rPr>
          <w:rFonts w:ascii="Times New Roman" w:cs="Times New Roman" w:eastAsia="Times New Roman" w:hAnsi="Times New Roman"/>
          <w:sz w:val="20"/>
          <w:szCs w:val="20"/>
          <w:color w:val="auto"/>
        </w:rPr>
        <w:t>In our opinion, the consolidated financial statements referred to above present fairly, in all material respects, the financial position of the Company as of December 28, 2024 and December 30, 2023, and the results of its operations and its cash flows for each of the three years in the period ended December 28, 2024 in conformity with accounting principles generally accepted in the United States of America. Also in our opinion, the Company maintained, in all material respects, effective internal control over financial reporting as of December 28, 2024, based on criteria established in Internal Control - Integrated Framework (2013) issued by the COSO.</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239" w:lineRule="exact"/>
        <w:rPr>
          <w:sz w:val="20"/>
          <w:szCs w:val="20"/>
          <w:color w:val="auto"/>
        </w:rPr>
      </w:pPr>
    </w:p>
    <w:p>
      <w:pPr>
        <w:ind w:right="120" w:hanging="8"/>
        <w:spacing w:after="0" w:line="246"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ind w:right="60" w:hanging="9"/>
        <w:spacing w:after="0" w:line="260"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3" w:lineRule="exact"/>
        <w:rPr>
          <w:sz w:val="20"/>
          <w:szCs w:val="20"/>
          <w:color w:val="auto"/>
        </w:rPr>
      </w:pPr>
    </w:p>
    <w:p>
      <w:pPr>
        <w:ind w:right="60" w:hanging="8"/>
        <w:spacing w:after="0" w:line="245"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ectPr>
          <w:pgSz w:w="11880" w:h="15480" w:orient="portrait"/>
          <w:cols w:equalWidth="0" w:num="1">
            <w:col w:w="10800"/>
          </w:cols>
          <w:pgMar w:left="540" w:top="14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10800"/>
          </w:cols>
          <w:pgMar w:left="540" w:top="1440" w:right="54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238" w:lineRule="exact"/>
        <w:rPr>
          <w:sz w:val="20"/>
          <w:szCs w:val="20"/>
          <w:color w:val="auto"/>
        </w:rPr>
      </w:pPr>
    </w:p>
    <w:p>
      <w:pPr>
        <w:ind w:right="20" w:hanging="9"/>
        <w:spacing w:after="0" w:line="245"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ind w:right="80" w:hanging="8"/>
        <w:spacing w:after="0" w:line="259"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238" w:lineRule="exact"/>
        <w:rPr>
          <w:sz w:val="20"/>
          <w:szCs w:val="20"/>
          <w:color w:val="auto"/>
        </w:rPr>
      </w:pPr>
    </w:p>
    <w:p>
      <w:pPr>
        <w:ind w:right="60" w:hanging="8"/>
        <w:spacing w:after="0" w:line="248"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Goodwill Impairment Assessments – Mobileye and Moovit reporting units</w:t>
      </w:r>
    </w:p>
    <w:p>
      <w:pPr>
        <w:spacing w:after="0" w:line="236" w:lineRule="exact"/>
        <w:rPr>
          <w:sz w:val="20"/>
          <w:szCs w:val="20"/>
          <w:color w:val="auto"/>
        </w:rPr>
      </w:pPr>
    </w:p>
    <w:p>
      <w:pPr>
        <w:ind w:hanging="8"/>
        <w:spacing w:after="0" w:line="244" w:lineRule="auto"/>
        <w:rPr>
          <w:sz w:val="20"/>
          <w:szCs w:val="20"/>
          <w:color w:val="auto"/>
        </w:rPr>
      </w:pPr>
      <w:r>
        <w:rPr>
          <w:rFonts w:ascii="Times New Roman" w:cs="Times New Roman" w:eastAsia="Times New Roman" w:hAnsi="Times New Roman"/>
          <w:sz w:val="20"/>
          <w:szCs w:val="20"/>
          <w:color w:val="auto"/>
        </w:rPr>
        <w:t>As described in Note 10 to the consolidated financial statements, the Company’s goodwill balance was $8,200 million as of December 28, 2024, and the goodwill associated with the Mobileye and Moovit reporting units was $8,089 million and $111 million, respectively. Management conducts an impairment test as of the end of each year, or more frequently if events or circumstances indicate that the carrying value of goodwill may be impaired. Potential impairment is identified by comparing the fair value of a reporting unit to its carrying value, including goodwill. In 2024, the Company performed a detailed quantitative analysis for the Mobileye and Moovit reporting units. Based on the goodwill impairment assessment during the year ended December 28, 2024, a goodwill impairment charge of $2,695 million was recorded to the Mobileye reporting unit during the third quarter due to a decline in the price of the Company’s Class A common stock and corresponding market capitalization, as well as macroeconomic and industry factors. Fair value is estimated by management using a discounted cash flow model. Management’s cash flow projections for the Mobileye and Moovit reporting units included significant judgments and assumptions relating to financial projections, terminal growth rate and the discount rate.</w:t>
      </w:r>
    </w:p>
    <w:p>
      <w:pPr>
        <w:spacing w:after="0" w:line="198" w:lineRule="exact"/>
        <w:rPr>
          <w:sz w:val="20"/>
          <w:szCs w:val="20"/>
          <w:color w:val="auto"/>
        </w:rPr>
      </w:pPr>
    </w:p>
    <w:p>
      <w:pPr>
        <w:ind w:hanging="8"/>
        <w:spacing w:after="0" w:line="250"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the goodwill impairment assessment of the Mobileye and Moovit reporting units is a critical audit matter are (i) the significant judgment by management when developing the fair value estimate of the Mobileye and Moovit reporting units, and (ii) a high degree of auditor judgment, subjectivity, and effort in performing procedures and evaluating management’s significant assumptions related to financial projections, terminal growth rate and the discount rate. In addition, the audit effort involved the use of professionals with specialized skills and knowledge.</w:t>
      </w:r>
    </w:p>
    <w:p>
      <w:pPr>
        <w:sectPr>
          <w:pgSz w:w="11880" w:h="15480" w:orient="portrait"/>
          <w:cols w:equalWidth="0" w:num="1">
            <w:col w:w="10800"/>
          </w:cols>
          <w:pgMar w:left="540" w:top="13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10800"/>
          </w:cols>
          <w:pgMar w:left="540" w:top="1350" w:right="540" w:bottom="0" w:gutter="0" w:footer="0" w:header="0"/>
          <w:type w:val="continuous"/>
        </w:sectPr>
      </w:pPr>
    </w:p>
    <w:bookmarkStart w:id="100" w:name="page101"/>
    <w:bookmarkEnd w:id="100"/>
    <w:p>
      <w:pPr>
        <w:ind w:left="20" w:hanging="13"/>
        <w:spacing w:after="0"/>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assessments, including controls over the valuation of the Mobileye and Moovit reporting units. These procedures also included, among others, (i) testing management’s process for developing the fair value estimate; (ii) evaluating the appropriateness of the discounted cash flow model used by management; (iii) testing the completeness and accuracy of underlying data used in the discounted cash flow model; (iv) evaluating the reasonableness of the significant assumptions used by management related to financial projections, terminal growth rate and the discount rate. Evaluating management’s assumptions related to future cash flow projections involved evaluating whether the assumptions used by management were reasonable considering (i) the current and past performance of the Mobileye and Moovit reporting units, (ii) the consistency with external market and industry data,</w:t>
      </w:r>
    </w:p>
    <w:p>
      <w:pPr>
        <w:spacing w:after="0" w:line="1" w:lineRule="exact"/>
        <w:rPr>
          <w:sz w:val="20"/>
          <w:szCs w:val="20"/>
          <w:color w:val="auto"/>
        </w:rPr>
      </w:pPr>
    </w:p>
    <w:p>
      <w:pPr>
        <w:ind w:left="20" w:right="160"/>
        <w:spacing w:after="0" w:line="259" w:lineRule="auto"/>
        <w:tabs>
          <w:tab w:leader="none" w:pos="37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these assumptions were consistent with evidence obtained in other areas of the audit, and (iv) assessing the adequacy of disclosures in the consolidated financial statements. Professionals with specialized skill and knowledge were used to assist in evaluating the appropriateness of the discounted cash flow model and the reasonableness of the discount rate assumption.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Kesselman &amp; Kesselman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Certified Public Accountants (Isr.)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member firm of PricewaterhouseCoopers International Limited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 Aviv, Israel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13, 2025</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2022.</w:t>
      </w:r>
    </w:p>
    <w:p>
      <w:pPr>
        <w:sectPr>
          <w:pgSz w:w="11880" w:h="15480" w:orient="portrait"/>
          <w:cols w:equalWidth="0" w:num="1">
            <w:col w:w="10800"/>
          </w:cols>
          <w:pgMar w:left="520" w:top="134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10800"/>
          </w:cols>
          <w:pgMar w:left="520" w:top="1347" w:right="560" w:bottom="0"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6"/>
              </w:rPr>
              <w:t>December 30,</w:t>
            </w:r>
          </w:p>
        </w:tc>
      </w:tr>
      <w:tr>
        <w:trPr>
          <w:trHeight w:val="193"/>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8220" w:type="dxa"/>
            <w:vAlign w:val="bottom"/>
          </w:tcPr>
          <w:p>
            <w:pPr>
              <w:spacing w:after="0" w:line="206" w:lineRule="exact"/>
              <w:rPr>
                <w:sz w:val="20"/>
                <w:szCs w:val="20"/>
                <w:color w:val="auto"/>
              </w:rPr>
            </w:pPr>
            <w:r>
              <w:rPr>
                <w:rFonts w:ascii="Times New Roman" w:cs="Times New Roman" w:eastAsia="Times New Roman" w:hAnsi="Times New Roman"/>
                <w:sz w:val="20"/>
                <w:szCs w:val="20"/>
                <w:b w:val="1"/>
                <w:bCs w:val="1"/>
                <w:color w:val="auto"/>
              </w:rPr>
              <w:t>Assets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2"/>
        </w:trPr>
        <w:tc>
          <w:tcPr>
            <w:tcW w:w="8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 assets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 . . . . . . . . . . . . . . . . . . .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w:t>
            </w:r>
          </w:p>
        </w:tc>
        <w:tc>
          <w:tcPr>
            <w:tcW w:w="24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w:t>
            </w: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Trade accounts receivable, net . . . . . . . . . . . . . . . . . . . . . . . . . . . . . . . . . .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w w:val="99"/>
              </w:rPr>
              <w:t>Inventories . . . . . . . . . . . . . . . . . . . . . . . .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w:t>
            </w:r>
          </w:p>
        </w:tc>
      </w:tr>
      <w:tr>
        <w:trPr>
          <w:trHeight w:val="241"/>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Other current assets . . . . . . . . . . . . . . . . . . . . . . . . . . . . . . . . . . . . . . . . . . . . . . . . . . . . . . . . . . . . . . . . .</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06"/>
        </w:trPr>
        <w:tc>
          <w:tcPr>
            <w:tcW w:w="8220" w:type="dxa"/>
            <w:vAlign w:val="bottom"/>
          </w:tcPr>
          <w:p>
            <w:pPr>
              <w:jc w:val="right"/>
              <w:ind w:right="240"/>
              <w:spacing w:after="0" w:line="206"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 . . . . . . . .</w:t>
            </w:r>
            <w:r>
              <w:rPr>
                <w:rFonts w:ascii="Times New Roman" w:cs="Times New Roman" w:eastAsia="Times New Roman" w:hAnsi="Times New Roman"/>
                <w:sz w:val="20"/>
                <w:szCs w:val="20"/>
                <w:b w:val="1"/>
                <w:bCs w:val="1"/>
                <w:color w:val="auto"/>
                <w:w w:val="99"/>
              </w:rPr>
              <w:t>Totalcurrentassets</w:t>
            </w:r>
          </w:p>
        </w:tc>
        <w:tc>
          <w:tcPr>
            <w:tcW w:w="20" w:type="dxa"/>
            <w:vAlign w:val="bottom"/>
          </w:tcPr>
          <w:p>
            <w:pPr>
              <w:spacing w:after="0"/>
              <w:rPr>
                <w:sz w:val="17"/>
                <w:szCs w:val="17"/>
                <w:color w:val="auto"/>
              </w:rPr>
            </w:pPr>
          </w:p>
        </w:tc>
        <w:tc>
          <w:tcPr>
            <w:tcW w:w="1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0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auto"/>
              </w:rPr>
              <w:t>2,174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auto"/>
              </w:rPr>
              <w:t>2,066</w:t>
            </w:r>
          </w:p>
        </w:tc>
      </w:tr>
      <w:tr>
        <w:trPr>
          <w:trHeight w:val="232"/>
        </w:trPr>
        <w:tc>
          <w:tcPr>
            <w:tcW w:w="8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Non-current assets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 . . . . . . . . .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net . . . . . . . . . . . . . . . .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2,053</w:t>
            </w: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Goodwill . . . . . . . . . . . . . . . . . . . . . . . . . . . . . . . . . . . . . . . . . . . . . . . . . . .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10,895</w:t>
            </w:r>
          </w:p>
        </w:tc>
      </w:tr>
      <w:tr>
        <w:trPr>
          <w:trHeight w:val="241"/>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Other long-term assets . . . . . . . . . . . . . . . . . . . . . . . . . . . . . . . . . . . . . . . . . . . . . . . . . . . . . . . . . . . . . . .</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20"/>
        </w:trPr>
        <w:tc>
          <w:tcPr>
            <w:tcW w:w="8220" w:type="dxa"/>
            <w:vAlign w:val="bottom"/>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 . . . .</w:t>
            </w:r>
            <w:r>
              <w:rPr>
                <w:rFonts w:ascii="Times New Roman" w:cs="Times New Roman" w:eastAsia="Times New Roman" w:hAnsi="Times New Roman"/>
                <w:sz w:val="20"/>
                <w:szCs w:val="20"/>
                <w:b w:val="1"/>
                <w:bCs w:val="1"/>
                <w:color w:val="auto"/>
                <w:w w:val="99"/>
              </w:rPr>
              <w:t>Totalnon-currentassets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10,405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13,511</w:t>
            </w:r>
          </w:p>
        </w:tc>
      </w:tr>
      <w:tr>
        <w:trPr>
          <w:trHeight w:val="239"/>
        </w:trPr>
        <w:tc>
          <w:tcPr>
            <w:tcW w:w="822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8"/>
              </w:rPr>
              <w:t>. . . . . . . . . . . . . . . . . . . . . . . . . . . . . . . . . . . . . . . . . . . . . . . . . . . . . . . . . . . . . . . . . .</w:t>
            </w:r>
            <w:r>
              <w:rPr>
                <w:rFonts w:ascii="Times New Roman" w:cs="Times New Roman" w:eastAsia="Times New Roman" w:hAnsi="Times New Roman"/>
                <w:sz w:val="20"/>
                <w:szCs w:val="20"/>
                <w:b w:val="1"/>
                <w:bCs w:val="1"/>
                <w:color w:val="auto"/>
                <w:w w:val="98"/>
              </w:rPr>
              <w:t>TOTALASSETS</w:t>
            </w: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12,579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15,577</w:t>
            </w:r>
          </w:p>
        </w:tc>
      </w:tr>
      <w:tr>
        <w:trPr>
          <w:trHeight w:val="207"/>
        </w:trPr>
        <w:tc>
          <w:tcPr>
            <w:tcW w:w="822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Liabilities and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2"/>
        </w:trPr>
        <w:tc>
          <w:tcPr>
            <w:tcW w:w="8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 liabilities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 and accrued expenses . . . . . . . . . . . . . . . . . . . . . . . . . . . . . . . . . . . . . . . . . . . . . . . .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24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Employee related accrued expenses . . .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Related party payable  . . . . . . . . . . . . . . . . . . . . . . . . . . . . . . . . . . . . . . . .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41"/>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Other current liabilities . . . . . . . . . . . . . . . . . . . . . . . . . . . . . . . . . . . . . . . . . . . . . . . . . . . . . . . . . . . . . .</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06"/>
        </w:trPr>
        <w:tc>
          <w:tcPr>
            <w:tcW w:w="8220" w:type="dxa"/>
            <w:vAlign w:val="bottom"/>
          </w:tcPr>
          <w:p>
            <w:pPr>
              <w:jc w:val="right"/>
              <w:ind w:right="240"/>
              <w:spacing w:after="0" w:line="206"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 . . . . .</w:t>
            </w:r>
            <w:r>
              <w:rPr>
                <w:rFonts w:ascii="Times New Roman" w:cs="Times New Roman" w:eastAsia="Times New Roman" w:hAnsi="Times New Roman"/>
                <w:sz w:val="20"/>
                <w:szCs w:val="20"/>
                <w:b w:val="1"/>
                <w:bCs w:val="1"/>
                <w:color w:val="auto"/>
                <w:w w:val="99"/>
              </w:rPr>
              <w:t>Totalcurrentliabilities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auto"/>
              </w:rPr>
              <w:t>333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b w:val="1"/>
                <w:bCs w:val="1"/>
                <w:color w:val="auto"/>
              </w:rPr>
              <w:t>403</w:t>
            </w:r>
          </w:p>
        </w:tc>
      </w:t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Non-current liabilities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Long-term employee benefits . . . . . . . . . . . . . . . . . . . . . . . . . . . . . . . . . .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 . . . . . . . . . . . . . .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241"/>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Other long-term liabilities . . . . . . . . . . . . . . . . . . . . . . . . . . . . . . . . . . . . . . . . . . . . . . . . . . . . . . . . . . . .</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20"/>
        </w:trPr>
        <w:tc>
          <w:tcPr>
            <w:tcW w:w="8220" w:type="dxa"/>
            <w:vAlign w:val="bottom"/>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 .</w:t>
            </w:r>
            <w:r>
              <w:rPr>
                <w:rFonts w:ascii="Times New Roman" w:cs="Times New Roman" w:eastAsia="Times New Roman" w:hAnsi="Times New Roman"/>
                <w:sz w:val="20"/>
                <w:szCs w:val="20"/>
                <w:b w:val="1"/>
                <w:bCs w:val="1"/>
                <w:color w:val="auto"/>
                <w:w w:val="99"/>
              </w:rPr>
              <w:t>Totalnon-currentliabilities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159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250</w:t>
            </w:r>
          </w:p>
        </w:tc>
      </w:tr>
      <w:tr>
        <w:trPr>
          <w:trHeight w:val="205"/>
        </w:trPr>
        <w:tc>
          <w:tcPr>
            <w:tcW w:w="8220" w:type="dxa"/>
            <w:vAlign w:val="bottom"/>
          </w:tcPr>
          <w:p>
            <w:pPr>
              <w:spacing w:after="0" w:line="205" w:lineRule="exact"/>
              <w:rPr>
                <w:sz w:val="20"/>
                <w:szCs w:val="20"/>
                <w:color w:val="auto"/>
              </w:rPr>
            </w:pPr>
            <w:r>
              <w:rPr>
                <w:rFonts w:ascii="Times New Roman" w:cs="Times New Roman" w:eastAsia="Times New Roman" w:hAnsi="Times New Roman"/>
                <w:sz w:val="20"/>
                <w:szCs w:val="20"/>
                <w:b w:val="1"/>
                <w:bCs w:val="1"/>
                <w:color w:val="auto"/>
              </w:rPr>
              <w:t>Contingencies (see note 14)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64"/>
        </w:trPr>
        <w:tc>
          <w:tcPr>
            <w:tcW w:w="8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LIABILITIES </w:t>
            </w:r>
            <w:r>
              <w:rPr>
                <w:rFonts w:ascii="Times New Roman" w:cs="Times New Roman" w:eastAsia="Times New Roman" w:hAnsi="Times New Roman"/>
                <w:sz w:val="20"/>
                <w:szCs w:val="20"/>
                <w:color w:val="auto"/>
              </w:rPr>
              <w:t>. . . . . . . . . . . . . . . . . . . . . . . . . . . . . . . . . . . . . . . . . . . . . . . . . . . . . . . . . . . .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492</w:t>
            </w:r>
          </w:p>
        </w:tc>
        <w:tc>
          <w:tcPr>
            <w:tcW w:w="24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653</w:t>
            </w:r>
          </w:p>
        </w:tc>
      </w:tr>
      <w:tr>
        <w:trPr>
          <w:trHeight w:val="210"/>
        </w:trPr>
        <w:tc>
          <w:tcPr>
            <w:tcW w:w="8220" w:type="dxa"/>
            <w:vAlign w:val="bottom"/>
          </w:tcPr>
          <w:p>
            <w:pPr>
              <w:spacing w:after="0" w:line="210" w:lineRule="exact"/>
              <w:rPr>
                <w:sz w:val="20"/>
                <w:szCs w:val="20"/>
                <w:color w:val="auto"/>
              </w:rPr>
            </w:pPr>
            <w:r>
              <w:rPr>
                <w:rFonts w:ascii="Times New Roman" w:cs="Times New Roman" w:eastAsia="Times New Roman" w:hAnsi="Times New Roman"/>
                <w:sz w:val="20"/>
                <w:szCs w:val="20"/>
                <w:b w:val="1"/>
                <w:bCs w:val="1"/>
                <w:color w:val="auto"/>
              </w:rPr>
              <w:t>Equity</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Class A common stock: $0.01 par value; 4,000,000,000 shares authorized; shares issued and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22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outstanding: 100,226,477 as of December 28, 2024 and 94,652,348 as of December 30, 2023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Class B common stock: $0.01 par value; 1,500,000,000 shares authorized; shares issued and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9"/>
        </w:trPr>
        <w:tc>
          <w:tcPr>
            <w:tcW w:w="822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outstanding: 711,500,000 as of December 28, 2024 and December 30, 2023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Additional paid-in capital . . . . . . . . . . . .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15,137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14,886</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Accumulated other comprehensive income (loss)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Retained earnings (accumulated deficit) . . . . . .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(3,060)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20"/>
        </w:trPr>
        <w:tc>
          <w:tcPr>
            <w:tcW w:w="8220" w:type="dxa"/>
            <w:vAlign w:val="bottom"/>
          </w:tcPr>
          <w:p>
            <w:pPr>
              <w:jc w:val="right"/>
              <w:ind w:right="240"/>
              <w:spacing w:after="0" w:line="215"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 . . . . . . .</w:t>
            </w:r>
            <w:r>
              <w:rPr>
                <w:rFonts w:ascii="Times New Roman" w:cs="Times New Roman" w:eastAsia="Times New Roman" w:hAnsi="Times New Roman"/>
                <w:sz w:val="20"/>
                <w:szCs w:val="20"/>
                <w:b w:val="1"/>
                <w:bCs w:val="1"/>
                <w:color w:val="auto"/>
                <w:w w:val="98"/>
              </w:rPr>
              <w:t>TOTALEQUITY</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12,087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14,924</w:t>
            </w:r>
          </w:p>
        </w:tc>
      </w:tr>
      <w:tr>
        <w:trPr>
          <w:trHeight w:val="240"/>
        </w:trPr>
        <w:tc>
          <w:tcPr>
            <w:tcW w:w="822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9"/>
              </w:rPr>
              <w:t>. . . . . . . . . . . . . . . . . . . . . . . . . . . . . . . . . . . . . . . . . . . . . . . .</w:t>
            </w:r>
            <w:r>
              <w:rPr>
                <w:rFonts w:ascii="Times New Roman" w:cs="Times New Roman" w:eastAsia="Times New Roman" w:hAnsi="Times New Roman"/>
                <w:sz w:val="20"/>
                <w:szCs w:val="20"/>
                <w:b w:val="1"/>
                <w:bCs w:val="1"/>
                <w:color w:val="auto"/>
                <w:w w:val="99"/>
              </w:rPr>
              <w:t>TOTALLIABILITIESANDEQUITY</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12,579</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15,577</w:t>
            </w: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800"/>
          </w:cols>
          <w:pgMar w:left="540" w:top="134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10800"/>
          </w:cols>
          <w:pgMar w:left="540" w:top="1344" w:right="540" w:bottom="0"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INCOME (LOSS)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ind w:left="40"/>
              <w:spacing w:after="0" w:line="154"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4"/>
          </w:tcPr>
          <w:p>
            <w:pPr>
              <w:jc w:val="center"/>
              <w:ind w:right="240"/>
              <w:spacing w:after="0" w:line="154" w:lineRule="exact"/>
              <w:rPr>
                <w:sz w:val="20"/>
                <w:szCs w:val="20"/>
                <w:color w:val="auto"/>
              </w:rPr>
            </w:pPr>
            <w:r>
              <w:rPr>
                <w:rFonts w:ascii="Times New Roman" w:cs="Times New Roman" w:eastAsia="Times New Roman" w:hAnsi="Times New Roman"/>
                <w:sz w:val="16"/>
                <w:szCs w:val="16"/>
                <w:b w:val="1"/>
                <w:bCs w:val="1"/>
                <w:color w:val="auto"/>
                <w:w w:val="98"/>
              </w:rPr>
              <w:t>December 30,</w:t>
            </w:r>
          </w:p>
        </w:tc>
        <w:tc>
          <w:tcPr>
            <w:tcW w:w="102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 except share and per share amounts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300" w:type="dxa"/>
            <w:vAlign w:val="bottom"/>
            <w:gridSpan w:val="2"/>
          </w:tcPr>
          <w:p>
            <w:pPr>
              <w:jc w:val="right"/>
              <w:ind w:right="280"/>
              <w:spacing w:after="0" w:line="212"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 . . . . . . . .Revenue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1,654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2,079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24"/>
              <w:spacing w:after="0" w:line="212"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Cost of revenue . . . . . . . . . . . . . . . . . . . . . . . . . . . . . . . . . . . . . . . . . . . . . . . . . . . . . . . . . . . .</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00" w:type="dxa"/>
            <w:vAlign w:val="bottom"/>
            <w:gridSpan w:val="2"/>
          </w:tcPr>
          <w:p>
            <w:pPr>
              <w:jc w:val="right"/>
              <w:ind w:right="280"/>
              <w:spacing w:after="0" w:line="219"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 . . . .</w:t>
            </w:r>
            <w:r>
              <w:rPr>
                <w:rFonts w:ascii="Times New Roman" w:cs="Times New Roman" w:eastAsia="Times New Roman" w:hAnsi="Times New Roman"/>
                <w:sz w:val="20"/>
                <w:szCs w:val="20"/>
                <w:b w:val="1"/>
                <w:bCs w:val="1"/>
                <w:color w:val="auto"/>
                <w:w w:val="98"/>
              </w:rPr>
              <w:t>Grossprofit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741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1,047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00" w:type="dxa"/>
            <w:vAlign w:val="bottom"/>
            <w:gridSpan w:val="2"/>
          </w:tcPr>
          <w:p>
            <w:pPr>
              <w:jc w:val="right"/>
              <w:ind w:right="280"/>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 . . . . . . . .Researchanddevelopment,net</w:t>
            </w:r>
          </w:p>
        </w:tc>
        <w:tc>
          <w:tcPr>
            <w:tcW w:w="22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1,083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889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Sales and marketing . . . . . . . . . . . . . . . . . . . . . . . . . . . . . . . . . . . . . . . . . . . . . . . . . . . . . . . .</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General and administrative . . . . . . . . . . . . . . . . . . . . . . . . . . . . . . . . . . . . . . . . . . . . . . . . . .</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Goodwill impairment . . . . . . . . . . . . . . . . . . . . . . . . . . . . . . . . . . . . . . . . . . . . . . . . . . . . . . .</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7300" w:type="dxa"/>
            <w:vAlign w:val="bottom"/>
            <w:gridSpan w:val="2"/>
          </w:tcPr>
          <w:p>
            <w:pPr>
              <w:jc w:val="right"/>
              <w:ind w:right="280"/>
              <w:spacing w:after="0" w:line="215"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w:t>
            </w:r>
            <w:r>
              <w:rPr>
                <w:rFonts w:ascii="Times New Roman" w:cs="Times New Roman" w:eastAsia="Times New Roman" w:hAnsi="Times New Roman"/>
                <w:sz w:val="20"/>
                <w:szCs w:val="20"/>
                <w:b w:val="1"/>
                <w:bCs w:val="1"/>
                <w:color w:val="auto"/>
                <w:w w:val="98"/>
              </w:rPr>
              <w:t>Totaloperatingexpenses</w:t>
            </w: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3,966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1,080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959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00" w:type="dxa"/>
            <w:vAlign w:val="bottom"/>
            <w:gridSpan w:val="2"/>
          </w:tcPr>
          <w:p>
            <w:pPr>
              <w:jc w:val="right"/>
              <w:ind w:right="280"/>
              <w:spacing w:after="0" w:line="219"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w:t>
            </w:r>
            <w:r>
              <w:rPr>
                <w:rFonts w:ascii="Times New Roman" w:cs="Times New Roman" w:eastAsia="Times New Roman" w:hAnsi="Times New Roman"/>
                <w:sz w:val="20"/>
                <w:szCs w:val="20"/>
                <w:b w:val="1"/>
                <w:bCs w:val="1"/>
                <w:color w:val="auto"/>
                <w:w w:val="98"/>
              </w:rPr>
              <w:t>Operatingincome(loss)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(3,225)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00" w:type="dxa"/>
            <w:vAlign w:val="bottom"/>
            <w:gridSpan w:val="2"/>
          </w:tcPr>
          <w:p>
            <w:pPr>
              <w:jc w:val="right"/>
              <w:ind w:right="280"/>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 . . . . . .Interestincomewithrelatedparty</w:t>
            </w:r>
          </w:p>
        </w:tc>
        <w:tc>
          <w:tcPr>
            <w:tcW w:w="22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Interest expense with related party . . . . . . . . . . . . . . . . . . . . . . . . . . . . . . . . . . . . . . . . . . . .</w:t>
            </w:r>
          </w:p>
        </w:tc>
        <w:tc>
          <w:tcPr>
            <w:tcW w:w="2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41"/>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Other financial income (expense), net . . . . . . . . . . . . . . . . . . . . . . . . . . . . . . . . . . . . . . . . . .</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00" w:type="dxa"/>
            <w:vAlign w:val="bottom"/>
            <w:gridSpan w:val="2"/>
          </w:tcPr>
          <w:p>
            <w:pPr>
              <w:jc w:val="right"/>
              <w:ind w:right="280"/>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 . . . .</w:t>
            </w:r>
            <w:r>
              <w:rPr>
                <w:rFonts w:ascii="Times New Roman" w:cs="Times New Roman" w:eastAsia="Times New Roman" w:hAnsi="Times New Roman"/>
                <w:sz w:val="20"/>
                <w:szCs w:val="20"/>
                <w:b w:val="1"/>
                <w:bCs w:val="1"/>
                <w:color w:val="auto"/>
              </w:rPr>
              <w:t>Income(loss)beforeincometaxes</w:t>
            </w:r>
          </w:p>
        </w:tc>
        <w:tc>
          <w:tcPr>
            <w:tcW w:w="22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(3,163)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Benefit (provision) for income taxes . . . . . . . . . . . . . . . . . . . . . . . . . . . . . . . . . . . . . . . . . . .</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(43)</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54"/>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9"/>
              </w:rPr>
              <w:t>. . . . . . . . . . . . . . . . . . . . . . . . . . . . . . . . . . . . . . . . . . . . . . . . . . . . . . . . .</w:t>
            </w:r>
            <w:r>
              <w:rPr>
                <w:rFonts w:ascii="Times New Roman" w:cs="Times New Roman" w:eastAsia="Times New Roman" w:hAnsi="Times New Roman"/>
                <w:sz w:val="20"/>
                <w:szCs w:val="20"/>
                <w:b w:val="1"/>
                <w:bCs w:val="1"/>
                <w:color w:val="auto"/>
                <w:w w:val="99"/>
              </w:rPr>
              <w:t>Netincome(loss)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(3,090)</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300" w:type="dxa"/>
            <w:vAlign w:val="bottom"/>
            <w:gridSpan w:val="2"/>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Earnings (loss) per share attributed to Class A and Class B stockholders: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00" w:type="dxa"/>
            <w:vAlign w:val="bottom"/>
            <w:gridSpan w:val="2"/>
          </w:tcPr>
          <w:p>
            <w:pPr>
              <w:jc w:val="right"/>
              <w:ind w:right="280"/>
              <w:spacing w:after="0" w:line="228" w:lineRule="exact"/>
              <w:rPr>
                <w:sz w:val="20"/>
                <w:szCs w:val="20"/>
                <w:color w:val="auto"/>
              </w:rPr>
            </w:pPr>
            <w:r>
              <w:rPr>
                <w:rFonts w:ascii="Times New Roman" w:cs="Times New Roman" w:eastAsia="Times New Roman" w:hAnsi="Times New Roman"/>
                <w:sz w:val="20"/>
                <w:szCs w:val="20"/>
                <w:color w:val="auto"/>
                <w:w w:val="96"/>
              </w:rPr>
              <w:t>Basic and diluted . . . . . . . . . . . . . . . . . . . . . . . . . . . . . . . . . . . . . . . . . . . . . . . . . . . . . . . . . . .</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(3.82)</w:t>
            </w:r>
          </w:p>
        </w:tc>
        <w:tc>
          <w:tcPr>
            <w:tcW w:w="30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200"/>
              <w:spacing w:after="0" w:line="228" w:lineRule="exact"/>
              <w:rPr>
                <w:sz w:val="20"/>
                <w:szCs w:val="20"/>
                <w:color w:val="auto"/>
              </w:rPr>
            </w:pPr>
            <w:r>
              <w:rPr>
                <w:rFonts w:ascii="Times New Roman" w:cs="Times New Roman" w:eastAsia="Times New Roman" w:hAnsi="Times New Roman"/>
                <w:sz w:val="20"/>
                <w:szCs w:val="20"/>
                <w:color w:val="auto"/>
              </w:rPr>
              <w:t>(0.03)</w:t>
            </w:r>
          </w:p>
        </w:tc>
        <w:tc>
          <w:tcPr>
            <w:tcW w:w="20" w:type="dxa"/>
            <w:vAlign w:val="bottom"/>
          </w:tcPr>
          <w:p>
            <w:pPr>
              <w:spacing w:after="0"/>
              <w:rPr>
                <w:sz w:val="19"/>
                <w:szCs w:val="19"/>
                <w:color w:val="auto"/>
              </w:rPr>
            </w:pPr>
          </w:p>
        </w:tc>
        <w:tc>
          <w:tcPr>
            <w:tcW w:w="220" w:type="dxa"/>
            <w:vAlign w:val="bottom"/>
          </w:tcPr>
          <w:p>
            <w:pPr>
              <w:jc w:val="right"/>
              <w:ind w:right="24"/>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(0.11)</w:t>
            </w: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Weighted-average number of shares used in computation of earnings (loss) per</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share attributed to Class A and Class B stockholders (in millions):</w:t>
            </w: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809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805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Basic and diluted . . . . . . . . . . . . . . . . . . . . . . . . . . . . . . . . . . . . . . . . . . . . . . . . . . . . . . . . . . .</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00" w:type="dxa"/>
            <w:vAlign w:val="bottom"/>
            <w:gridSpan w:val="2"/>
          </w:tcPr>
          <w:p>
            <w:pPr>
              <w:jc w:val="right"/>
              <w:ind w:right="280"/>
              <w:spacing w:after="0" w:line="215"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w:t>
            </w:r>
            <w:r>
              <w:rPr>
                <w:rFonts w:ascii="Times New Roman" w:cs="Times New Roman" w:eastAsia="Times New Roman" w:hAnsi="Times New Roman"/>
                <w:sz w:val="20"/>
                <w:szCs w:val="20"/>
                <w:b w:val="1"/>
                <w:bCs w:val="1"/>
                <w:color w:val="auto"/>
                <w:w w:val="98"/>
              </w:rPr>
              <w:t>Netincome(loss)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(3,090)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00" w:type="dxa"/>
            <w:vAlign w:val="bottom"/>
            <w:gridSpan w:val="2"/>
          </w:tcPr>
          <w:p>
            <w:pPr>
              <w:jc w:val="right"/>
              <w:ind w:right="280"/>
              <w:spacing w:after="0" w:line="215" w:lineRule="exact"/>
              <w:rPr>
                <w:sz w:val="20"/>
                <w:szCs w:val="20"/>
                <w:color w:val="auto"/>
              </w:rPr>
            </w:pPr>
            <w:r>
              <w:rPr>
                <w:rFonts w:ascii="Times New Roman" w:cs="Times New Roman" w:eastAsia="Times New Roman" w:hAnsi="Times New Roman"/>
                <w:sz w:val="20"/>
                <w:szCs w:val="20"/>
                <w:color w:val="auto"/>
              </w:rPr>
              <w:t>. . . . . . . . . . . . . . . . . . . . . . . . . . . . .</w:t>
            </w:r>
            <w:r>
              <w:rPr>
                <w:rFonts w:ascii="Times New Roman" w:cs="Times New Roman" w:eastAsia="Times New Roman" w:hAnsi="Times New Roman"/>
                <w:sz w:val="20"/>
                <w:szCs w:val="20"/>
                <w:b w:val="1"/>
                <w:bCs w:val="1"/>
                <w:color w:val="auto"/>
              </w:rPr>
              <w:t>OTHERCOMPREHENSIVEINCOME(LOSS)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280" w:type="dxa"/>
            <w:vAlign w:val="bottom"/>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w w:val="98"/>
              </w:rPr>
              <w:t xml:space="preserve">TOTAL COMPREHENSIVE INCOME (LOSS)  </w:t>
            </w:r>
            <w:r>
              <w:rPr>
                <w:rFonts w:ascii="Times New Roman" w:cs="Times New Roman" w:eastAsia="Times New Roman" w:hAnsi="Times New Roman"/>
                <w:sz w:val="20"/>
                <w:szCs w:val="20"/>
                <w:color w:val="auto"/>
                <w:w w:val="98"/>
              </w:rPr>
              <w:t>. . . . . . . . . . . . . . . . . . . . . . . . . . . . .</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(3,088)</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800"/>
          </w:cols>
          <w:pgMar w:left="540" w:top="134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10800"/>
          </w:cols>
          <w:pgMar w:left="540" w:top="1344" w:right="540" w:bottom="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EQUITY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1"/>
        </w:trPr>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78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Parent Net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4"/>
          </w:tcPr>
          <w:p>
            <w:pPr>
              <w:ind w:left="160"/>
              <w:spacing w:after="0" w:line="141"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6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9"/>
              </w:rPr>
              <w:t>Shareholders’</w:t>
            </w:r>
          </w:p>
        </w:tc>
      </w:tr>
      <w:tr>
        <w:trPr>
          <w:trHeight w:val="170"/>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 except per share data</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4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154"/>
        </w:trPr>
        <w:tc>
          <w:tcPr>
            <w:tcW w:w="3940" w:type="dxa"/>
            <w:vAlign w:val="bottom"/>
            <w:gridSpan w:val="2"/>
          </w:tcPr>
          <w:p>
            <w:pPr>
              <w:jc w:val="right"/>
              <w:ind w:right="200"/>
              <w:spacing w:after="0" w:line="154" w:lineRule="exact"/>
              <w:rPr>
                <w:sz w:val="20"/>
                <w:szCs w:val="20"/>
                <w:color w:val="auto"/>
              </w:rPr>
            </w:pPr>
            <w:r>
              <w:rPr>
                <w:rFonts w:ascii="Times New Roman" w:cs="Times New Roman" w:eastAsia="Times New Roman" w:hAnsi="Times New Roman"/>
                <w:sz w:val="14"/>
                <w:szCs w:val="14"/>
                <w:color w:val="auto"/>
              </w:rPr>
              <w:t>. . . . . . . . . . . . . . . . . . . . . .</w:t>
            </w:r>
            <w:r>
              <w:rPr>
                <w:rFonts w:ascii="Times New Roman" w:cs="Times New Roman" w:eastAsia="Times New Roman" w:hAnsi="Times New Roman"/>
                <w:sz w:val="14"/>
                <w:szCs w:val="14"/>
                <w:b w:val="1"/>
                <w:bCs w:val="1"/>
                <w:color w:val="auto"/>
              </w:rPr>
              <w:t>BalanceasofDecember25,2021</w:t>
            </w: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15,884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gridSpan w:val="2"/>
          </w:tcPr>
          <w:p>
            <w:pPr>
              <w:jc w:val="right"/>
              <w:ind w:right="60"/>
              <w:spacing w:after="0" w:line="154"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15,889</w:t>
            </w:r>
          </w:p>
        </w:tc>
        <w:tc>
          <w:tcPr>
            <w:tcW w:w="20" w:type="dxa"/>
            <w:vAlign w:val="bottom"/>
          </w:tcPr>
          <w:p>
            <w:pPr>
              <w:spacing w:after="0"/>
              <w:rPr>
                <w:sz w:val="13"/>
                <w:szCs w:val="13"/>
                <w:color w:val="auto"/>
              </w:rPr>
            </w:pPr>
          </w:p>
        </w:tc>
      </w:tr>
      <w:tr>
        <w:trPr>
          <w:trHeight w:val="141"/>
        </w:trPr>
        <w:tc>
          <w:tcPr>
            <w:tcW w:w="394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 . . . . . . . . . . . . . . . . . . . . . . . . . . . . . . . .Netincome(loss)</w:t>
            </w:r>
          </w:p>
        </w:tc>
        <w:tc>
          <w:tcPr>
            <w:tcW w:w="6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(82)</w:t>
            </w:r>
          </w:p>
        </w:tc>
        <w:tc>
          <w:tcPr>
            <w:tcW w:w="20" w:type="dxa"/>
            <w:vAlign w:val="bottom"/>
          </w:tcPr>
          <w:p>
            <w:pPr>
              <w:spacing w:after="0"/>
              <w:rPr>
                <w:sz w:val="12"/>
                <w:szCs w:val="12"/>
                <w:color w:val="auto"/>
              </w:rPr>
            </w:pPr>
          </w:p>
        </w:tc>
      </w:tr>
      <w:tr>
        <w:trPr>
          <w:trHeight w:val="161"/>
        </w:trPr>
        <w:tc>
          <w:tcPr>
            <w:tcW w:w="3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Other comprehensive income (loss), net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r>
      <w:tr>
        <w:trPr>
          <w:trHeight w:val="161"/>
        </w:trPr>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Equity transaction in connection with the legal purchase of</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3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Moovit entities.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(900)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(900)</w:t>
            </w:r>
          </w:p>
        </w:tc>
      </w:tr>
      <w:tr>
        <w:trPr>
          <w:trHeight w:val="161"/>
        </w:trPr>
        <w:tc>
          <w:tcPr>
            <w:tcW w:w="3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Dividend Note with related party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(3,500)</w:t>
            </w:r>
          </w:p>
        </w:tc>
      </w:tr>
      <w:tr>
        <w:trPr>
          <w:trHeight w:val="161"/>
        </w:trPr>
        <w:tc>
          <w:tcPr>
            <w:tcW w:w="3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Dividend distribution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(337)</w:t>
            </w:r>
          </w:p>
        </w:tc>
      </w:tr>
      <w:tr>
        <w:trPr>
          <w:trHeight w:val="161"/>
        </w:trPr>
        <w:tc>
          <w:tcPr>
            <w:tcW w:w="3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Tax sharing agreement with Parent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w:t>
            </w:r>
          </w:p>
        </w:tc>
      </w:tr>
      <w:tr>
        <w:trPr>
          <w:trHeight w:val="161"/>
        </w:trPr>
        <w:tc>
          <w:tcPr>
            <w:tcW w:w="3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Share-based compensation expense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0" w:type="dxa"/>
            <w:vAlign w:val="bottom"/>
          </w:tcPr>
          <w:p>
            <w:pPr>
              <w:spacing w:after="0"/>
              <w:rPr>
                <w:sz w:val="13"/>
                <w:szCs w:val="13"/>
                <w:color w:val="auto"/>
              </w:rPr>
            </w:pPr>
          </w:p>
        </w:tc>
      </w:tr>
      <w:tr>
        <w:trPr>
          <w:trHeight w:val="161"/>
        </w:trPr>
        <w:tc>
          <w:tcPr>
            <w:tcW w:w="3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Recharge to Parent for Share-based compensation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(118)</w:t>
            </w:r>
          </w:p>
        </w:tc>
      </w:tr>
      <w:tr>
        <w:trPr>
          <w:trHeight w:val="161"/>
        </w:trPr>
        <w:tc>
          <w:tcPr>
            <w:tcW w:w="3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Net transfer from (to) Parent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0" w:type="dxa"/>
            <w:vAlign w:val="bottom"/>
          </w:tcPr>
          <w:p>
            <w:pPr>
              <w:spacing w:after="0"/>
              <w:rPr>
                <w:sz w:val="13"/>
                <w:szCs w:val="13"/>
                <w:color w:val="auto"/>
              </w:rPr>
            </w:pPr>
          </w:p>
        </w:tc>
      </w:tr>
      <w:tr>
        <w:trPr>
          <w:trHeight w:val="162"/>
        </w:trPr>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Issuance of Class B common stock and reclassification of</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Parent Net Investment in connection with the</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3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Initial Public Offering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61"/>
        </w:trPr>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Issuance of Class A common stock in Initial Public Offering,</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net of underwriting discounts, commissions and</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3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offering costs . . .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20" w:type="dxa"/>
            <w:vAlign w:val="bottom"/>
          </w:tcPr>
          <w:p>
            <w:pPr>
              <w:spacing w:after="0"/>
              <w:rPr>
                <w:sz w:val="13"/>
                <w:szCs w:val="13"/>
                <w:color w:val="auto"/>
              </w:rPr>
            </w:pPr>
          </w:p>
        </w:tc>
      </w:tr>
      <w:tr>
        <w:trPr>
          <w:trHeight w:val="169"/>
        </w:trPr>
        <w:tc>
          <w:tcPr>
            <w:tcW w:w="3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Dividend Note contribution from related party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20" w:type="dxa"/>
            <w:vAlign w:val="bottom"/>
          </w:tcPr>
          <w:p>
            <w:pPr>
              <w:spacing w:after="0"/>
              <w:rPr>
                <w:sz w:val="14"/>
                <w:szCs w:val="14"/>
                <w:color w:val="auto"/>
              </w:rPr>
            </w:pPr>
          </w:p>
        </w:tc>
      </w:tr>
      <w:tr>
        <w:trPr>
          <w:trHeight w:val="167"/>
        </w:trPr>
        <w:tc>
          <w:tcPr>
            <w:tcW w:w="3940" w:type="dxa"/>
            <w:vAlign w:val="bottom"/>
            <w:gridSpan w:val="2"/>
          </w:tcPr>
          <w:p>
            <w:pPr>
              <w:jc w:val="right"/>
              <w:ind w:right="200"/>
              <w:spacing w:after="0" w:line="158" w:lineRule="exact"/>
              <w:rPr>
                <w:sz w:val="20"/>
                <w:szCs w:val="20"/>
                <w:color w:val="auto"/>
              </w:rPr>
            </w:pPr>
            <w:r>
              <w:rPr>
                <w:rFonts w:ascii="Times New Roman" w:cs="Times New Roman" w:eastAsia="Times New Roman" w:hAnsi="Times New Roman"/>
                <w:sz w:val="14"/>
                <w:szCs w:val="14"/>
                <w:color w:val="auto"/>
              </w:rPr>
              <w:t>. . . . . . . . . . . . . . . . . . . . . .</w:t>
            </w:r>
            <w:r>
              <w:rPr>
                <w:rFonts w:ascii="Times New Roman" w:cs="Times New Roman" w:eastAsia="Times New Roman" w:hAnsi="Times New Roman"/>
                <w:sz w:val="14"/>
                <w:szCs w:val="14"/>
                <w:b w:val="1"/>
                <w:bCs w:val="1"/>
                <w:color w:val="auto"/>
              </w:rPr>
              <w:t>BalanceasofDecember31,2022</w:t>
            </w:r>
          </w:p>
        </w:tc>
        <w:tc>
          <w:tcPr>
            <w:tcW w:w="66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802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14,737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57</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14,794</w:t>
            </w:r>
          </w:p>
        </w:tc>
        <w:tc>
          <w:tcPr>
            <w:tcW w:w="20" w:type="dxa"/>
            <w:vAlign w:val="bottom"/>
          </w:tcPr>
          <w:p>
            <w:pPr>
              <w:spacing w:after="0"/>
              <w:rPr>
                <w:sz w:val="14"/>
                <w:szCs w:val="14"/>
                <w:color w:val="auto"/>
              </w:rPr>
            </w:pPr>
          </w:p>
        </w:tc>
      </w:tr>
      <w:tr>
        <w:trPr>
          <w:trHeight w:val="147"/>
        </w:trPr>
        <w:tc>
          <w:tcPr>
            <w:tcW w:w="394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 . . . . . . . . . . . . . . . . . . . . . . . . . . . . . . . .Netincome(loss)</w:t>
            </w: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2"/>
                <w:szCs w:val="12"/>
                <w:color w:val="auto"/>
              </w:rPr>
            </w:pPr>
          </w:p>
        </w:tc>
      </w:tr>
      <w:tr>
        <w:trPr>
          <w:trHeight w:val="161"/>
        </w:trPr>
        <w:tc>
          <w:tcPr>
            <w:tcW w:w="3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Other comprehensive income (loss), net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3"/>
                <w:szCs w:val="13"/>
                <w:color w:val="auto"/>
              </w:rPr>
            </w:pPr>
          </w:p>
        </w:tc>
      </w:tr>
      <w:tr>
        <w:trPr>
          <w:trHeight w:val="161"/>
        </w:trPr>
        <w:tc>
          <w:tcPr>
            <w:tcW w:w="3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Tax sharing agreement with Parent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r>
      <w:tr>
        <w:trPr>
          <w:trHeight w:val="162"/>
        </w:trPr>
        <w:tc>
          <w:tcPr>
            <w:tcW w:w="3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Share-based compensation expense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20" w:type="dxa"/>
            <w:vAlign w:val="bottom"/>
          </w:tcPr>
          <w:p>
            <w:pPr>
              <w:spacing w:after="0"/>
              <w:rPr>
                <w:sz w:val="14"/>
                <w:szCs w:val="14"/>
                <w:color w:val="auto"/>
              </w:rPr>
            </w:pPr>
          </w:p>
        </w:tc>
      </w:tr>
      <w:tr>
        <w:trPr>
          <w:trHeight w:val="161"/>
        </w:trPr>
        <w:tc>
          <w:tcPr>
            <w:tcW w:w="3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Recharge to Parent for Share-based compensation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r>
      <w:tr>
        <w:trPr>
          <w:trHeight w:val="161"/>
        </w:trPr>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Issuance of common stock under employee share-based</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3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compensation plans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3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Secondary offering.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r>
      <w:tr>
        <w:trPr>
          <w:trHeight w:val="167"/>
        </w:trPr>
        <w:tc>
          <w:tcPr>
            <w:tcW w:w="3940" w:type="dxa"/>
            <w:vAlign w:val="bottom"/>
            <w:gridSpan w:val="2"/>
          </w:tcPr>
          <w:p>
            <w:pPr>
              <w:jc w:val="right"/>
              <w:ind w:right="200"/>
              <w:spacing w:after="0" w:line="158" w:lineRule="exact"/>
              <w:rPr>
                <w:sz w:val="20"/>
                <w:szCs w:val="20"/>
                <w:color w:val="auto"/>
              </w:rPr>
            </w:pPr>
            <w:r>
              <w:rPr>
                <w:rFonts w:ascii="Times New Roman" w:cs="Times New Roman" w:eastAsia="Times New Roman" w:hAnsi="Times New Roman"/>
                <w:sz w:val="14"/>
                <w:szCs w:val="14"/>
                <w:color w:val="auto"/>
              </w:rPr>
              <w:t>. . . . . . . . . . . . . . . . . . . . . .</w:t>
            </w:r>
            <w:r>
              <w:rPr>
                <w:rFonts w:ascii="Times New Roman" w:cs="Times New Roman" w:eastAsia="Times New Roman" w:hAnsi="Times New Roman"/>
                <w:sz w:val="14"/>
                <w:szCs w:val="14"/>
                <w:b w:val="1"/>
                <w:bCs w:val="1"/>
                <w:color w:val="auto"/>
              </w:rPr>
              <w:t>BalanceasofDecember30,2023</w:t>
            </w:r>
          </w:p>
        </w:tc>
        <w:tc>
          <w:tcPr>
            <w:tcW w:w="66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806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14,886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30</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14,924</w:t>
            </w:r>
          </w:p>
        </w:tc>
        <w:tc>
          <w:tcPr>
            <w:tcW w:w="20" w:type="dxa"/>
            <w:vAlign w:val="bottom"/>
          </w:tcPr>
          <w:p>
            <w:pPr>
              <w:spacing w:after="0"/>
              <w:rPr>
                <w:sz w:val="14"/>
                <w:szCs w:val="14"/>
                <w:color w:val="auto"/>
              </w:rPr>
            </w:pPr>
          </w:p>
        </w:tc>
      </w:tr>
      <w:tr>
        <w:trPr>
          <w:trHeight w:val="147"/>
        </w:trPr>
        <w:tc>
          <w:tcPr>
            <w:tcW w:w="394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 . . . . . . . . . . . . . . . . . . . . . . . . . . . . . . . .Netincome(loss)</w:t>
            </w: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(3,090)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(3,090)</w:t>
            </w:r>
          </w:p>
        </w:tc>
        <w:tc>
          <w:tcPr>
            <w:tcW w:w="20" w:type="dxa"/>
            <w:vAlign w:val="bottom"/>
          </w:tcPr>
          <w:p>
            <w:pPr>
              <w:spacing w:after="0"/>
              <w:rPr>
                <w:sz w:val="12"/>
                <w:szCs w:val="12"/>
                <w:color w:val="auto"/>
              </w:rPr>
            </w:pPr>
          </w:p>
        </w:tc>
      </w:tr>
      <w:tr>
        <w:trPr>
          <w:trHeight w:val="161"/>
        </w:trPr>
        <w:tc>
          <w:tcPr>
            <w:tcW w:w="3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Other comprehensive income (loss), net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3"/>
                <w:szCs w:val="13"/>
                <w:color w:val="auto"/>
              </w:rPr>
            </w:pPr>
          </w:p>
        </w:tc>
      </w:tr>
      <w:tr>
        <w:trPr>
          <w:trHeight w:val="161"/>
        </w:trPr>
        <w:tc>
          <w:tcPr>
            <w:tcW w:w="3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Tax sharing agreement with Parent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3"/>
                <w:szCs w:val="13"/>
                <w:color w:val="auto"/>
              </w:rPr>
            </w:pPr>
          </w:p>
        </w:tc>
      </w:tr>
      <w:tr>
        <w:trPr>
          <w:trHeight w:val="161"/>
        </w:trPr>
        <w:tc>
          <w:tcPr>
            <w:tcW w:w="3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Share-based compensation expense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20" w:type="dxa"/>
            <w:vAlign w:val="bottom"/>
          </w:tcPr>
          <w:p>
            <w:pPr>
              <w:spacing w:after="0"/>
              <w:rPr>
                <w:sz w:val="13"/>
                <w:szCs w:val="13"/>
                <w:color w:val="auto"/>
              </w:rPr>
            </w:pPr>
          </w:p>
        </w:tc>
      </w:tr>
      <w:tr>
        <w:trPr>
          <w:trHeight w:val="162"/>
        </w:trPr>
        <w:tc>
          <w:tcPr>
            <w:tcW w:w="3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Recharge to Parent for Share-based compensation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(62)</w:t>
            </w:r>
          </w:p>
        </w:tc>
      </w:tr>
      <w:tr>
        <w:trPr>
          <w:trHeight w:val="161"/>
        </w:trPr>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Issuance of common stock under employee share-based</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3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compensation plans . . . . . . . . . . . . . . . . . . . . . . . . . .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3920" w:type="dxa"/>
            <w:vAlign w:val="bottom"/>
          </w:tcPr>
          <w:p>
            <w:pPr>
              <w:jc w:val="right"/>
              <w:ind w:right="110"/>
              <w:spacing w:after="0" w:line="159" w:lineRule="exact"/>
              <w:rPr>
                <w:sz w:val="20"/>
                <w:szCs w:val="20"/>
                <w:color w:val="auto"/>
              </w:rPr>
            </w:pPr>
            <w:r>
              <w:rPr>
                <w:rFonts w:ascii="Times New Roman" w:cs="Times New Roman" w:eastAsia="Times New Roman" w:hAnsi="Times New Roman"/>
                <w:sz w:val="14"/>
                <w:szCs w:val="14"/>
                <w:b w:val="1"/>
                <w:bCs w:val="1"/>
                <w:color w:val="auto"/>
              </w:rPr>
              <w:t xml:space="preserve">Balance as of December 28, 2024 </w:t>
            </w:r>
            <w:r>
              <w:rPr>
                <w:rFonts w:ascii="Times New Roman" w:cs="Times New Roman" w:eastAsia="Times New Roman" w:hAnsi="Times New Roman"/>
                <w:sz w:val="14"/>
                <w:szCs w:val="14"/>
                <w:color w:val="auto"/>
              </w:rPr>
              <w:t>. . . . . . . . . . . . . . . . . . . . . .</w:t>
            </w:r>
          </w:p>
        </w:tc>
        <w:tc>
          <w:tcPr>
            <w:tcW w:w="20" w:type="dxa"/>
            <w:vAlign w:val="bottom"/>
            <w:tcBorders>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812</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8</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15,137</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(3,060)</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12,087</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150495</wp:posOffset>
                </wp:positionV>
                <wp:extent cx="171386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1.85pt" to="134.9pt,11.85pt" o:allowincell="f" strokecolor="#000000" strokeweight="1.02pt"/>
            </w:pict>
          </mc:Fallback>
        </mc:AlternateConten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Rounding of Class A and Class B share amounts due to Secondary offering.</w:t>
      </w:r>
    </w:p>
    <w:p>
      <w:pPr>
        <w:spacing w:after="0" w:line="20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800"/>
          </w:cols>
          <w:pgMar w:left="540" w:top="134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1880" w:h="15480" w:orient="portrait"/>
          <w:cols w:equalWidth="0" w:num="1">
            <w:col w:w="10800"/>
          </w:cols>
          <w:pgMar w:left="540" w:top="1344" w:right="540" w:bottom="0"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34"/>
        </w:trPr>
        <w:tc>
          <w:tcPr>
            <w:tcW w:w="6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110"/>
              <w:spacing w:after="0" w:line="13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1"/>
                <w:szCs w:val="11"/>
                <w:color w:val="auto"/>
              </w:rPr>
            </w:pPr>
          </w:p>
        </w:tc>
      </w:tr>
      <w:tr>
        <w:trPr>
          <w:trHeight w:val="170"/>
        </w:trPr>
        <w:tc>
          <w:tcPr>
            <w:tcW w:w="6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r>
      <w:tr>
        <w:trPr>
          <w:trHeight w:val="144"/>
        </w:trPr>
        <w:tc>
          <w:tcPr>
            <w:tcW w:w="682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68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income (loss) . . . . . . . . . . . . . . . . . . . . . . . . . . . . . . . . . . . . . . . . . . . . . . . . . . . . . . . . . . . . . . . . . . . . .</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(3,090)</w:t>
            </w:r>
          </w:p>
        </w:tc>
        <w:tc>
          <w:tcPr>
            <w:tcW w:w="20" w:type="dxa"/>
            <w:vAlign w:val="bottom"/>
          </w:tcPr>
          <w:p>
            <w:pPr>
              <w:spacing w:after="0"/>
              <w:rPr>
                <w:sz w:val="13"/>
                <w:szCs w:val="13"/>
                <w:color w:val="auto"/>
              </w:rPr>
            </w:pPr>
          </w:p>
        </w:tc>
        <w:tc>
          <w:tcPr>
            <w:tcW w:w="320" w:type="dxa"/>
            <w:vAlign w:val="bottom"/>
            <w:gridSpan w:val="2"/>
          </w:tcPr>
          <w:p>
            <w:pPr>
              <w:jc w:val="right"/>
              <w:ind w:right="5"/>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3"/>
                <w:szCs w:val="13"/>
                <w:color w:val="auto"/>
              </w:rPr>
            </w:pPr>
          </w:p>
        </w:tc>
        <w:tc>
          <w:tcPr>
            <w:tcW w:w="24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(82)</w:t>
            </w:r>
          </w:p>
        </w:tc>
        <w:tc>
          <w:tcPr>
            <w:tcW w:w="20" w:type="dxa"/>
            <w:vAlign w:val="bottom"/>
          </w:tcPr>
          <w:p>
            <w:pPr>
              <w:spacing w:after="0"/>
              <w:rPr>
                <w:sz w:val="13"/>
                <w:szCs w:val="13"/>
                <w:color w:val="auto"/>
              </w:rPr>
            </w:pPr>
          </w:p>
        </w:tc>
      </w:tr>
      <w:tr>
        <w:trPr>
          <w:trHeight w:val="163"/>
        </w:trPr>
        <w:tc>
          <w:tcPr>
            <w:tcW w:w="6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Adjustments to reconcile net income (loss) to net cash provided by operating activities:</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of property and equipment . . . . . . . . . . . . . . . . . . . . . . . . . . . . . . . . . . . . . . . . . . . . . . . . . . . .</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3"/>
                <w:szCs w:val="13"/>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 . . . . . . . . . . . . . . . . . . . . . . . . . . . . . . . . . . . . . . . . . . . . . . . . . . . . . . . . . . . .</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0" w:type="dxa"/>
            <w:vAlign w:val="bottom"/>
          </w:tcPr>
          <w:p>
            <w:pPr>
              <w:spacing w:after="0"/>
              <w:rPr>
                <w:sz w:val="13"/>
                <w:szCs w:val="13"/>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intangible assets . . . . . . . . . . . . . . . . . . . . . . . . . . . . . . . . . . . . . . . . . . . . . . . . . . . . . . . . .</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20" w:type="dxa"/>
            <w:vAlign w:val="bottom"/>
          </w:tcPr>
          <w:p>
            <w:pPr>
              <w:spacing w:after="0"/>
              <w:rPr>
                <w:sz w:val="13"/>
                <w:szCs w:val="13"/>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Goodwill impairment . . . . . . . . . . . . . . . . . . . . . . . . . . . . . . . . . . . . . . . . . . . . . . . . . . . . . . . . . . . . . . . . .</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Exchange rate differences on cash and cash equivalents . . . . . . . . . . . . . . . . . . . . . . . . . . . . . . . . . . . . . . . . .</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4"/>
                <w:szCs w:val="14"/>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income taxes . . . . . . . . . . . . . . . . . . . . . . . . . . . . . . . . . . . . . . . . . . . . . . . . . . . . . . . . . . . . . . . .</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3"/>
                <w:szCs w:val="13"/>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on Dividend Note to related party, net . . . . . . . . . . . . . . . . . . . . . . . . . . . . . . . . . . . . . . . . . . . . . . . .</w:t>
            </w:r>
          </w:p>
        </w:tc>
        <w:tc>
          <w:tcPr>
            <w:tcW w:w="12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3"/>
                <w:szCs w:val="13"/>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with related party, net . . . . . . . . . . . . . . . . . . . . . . . . . . . . . . . . . . . . . . . . . . . . . . . . . . . . . . . . . . .</w:t>
            </w:r>
          </w:p>
        </w:tc>
        <w:tc>
          <w:tcPr>
            <w:tcW w:w="12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3"/>
                <w:szCs w:val="13"/>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(Gains) losses on equity and debt investments, net . . . . . . . . . . . . . . . . . . . . . . . . . . . . . . . . . . . . . . . . . . . . .</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59"/>
        </w:trPr>
        <w:tc>
          <w:tcPr>
            <w:tcW w:w="6820" w:type="dxa"/>
            <w:vAlign w:val="bottom"/>
          </w:tcPr>
          <w:p>
            <w:pPr>
              <w:ind w:left="120"/>
              <w:spacing w:after="0" w:line="159" w:lineRule="exact"/>
              <w:rPr>
                <w:sz w:val="20"/>
                <w:szCs w:val="20"/>
                <w:color w:val="auto"/>
              </w:rPr>
            </w:pPr>
            <w:r>
              <w:rPr>
                <w:rFonts w:ascii="Times New Roman" w:cs="Times New Roman" w:eastAsia="Times New Roman" w:hAnsi="Times New Roman"/>
                <w:sz w:val="14"/>
                <w:szCs w:val="14"/>
                <w:color w:val="auto"/>
              </w:rPr>
              <w:t>Other . . . . . . . . . . . . . . . . . . . . . . . . . . . . . . . . . . . . . . . . . . . . . . . . . . . . . . . . . . . . . . . . . . . . . . . . . . . .</w:t>
            </w:r>
          </w:p>
        </w:tc>
        <w:tc>
          <w:tcPr>
            <w:tcW w:w="120" w:type="dxa"/>
            <w:vAlign w:val="bottom"/>
          </w:tcPr>
          <w:p>
            <w:pPr>
              <w:spacing w:after="0"/>
              <w:rPr>
                <w:sz w:val="13"/>
                <w:szCs w:val="13"/>
                <w:color w:val="auto"/>
              </w:rPr>
            </w:pPr>
          </w:p>
        </w:tc>
        <w:tc>
          <w:tcPr>
            <w:tcW w:w="108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3"/>
                <w:szCs w:val="13"/>
                <w:color w:val="auto"/>
              </w:rPr>
            </w:pPr>
          </w:p>
        </w:tc>
      </w:tr>
      <w:tr>
        <w:trPr>
          <w:trHeight w:val="164"/>
        </w:trPr>
        <w:tc>
          <w:tcPr>
            <w:tcW w:w="6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Changes in operating assets and liabilities:</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Decrease (increase) in trade accounts receivable . . . . . . . . . . . . . . . . . . . . . . . . . . . . . . . . . . . . . . . . . . . . . . .</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0" w:type="dxa"/>
            <w:vAlign w:val="bottom"/>
          </w:tcPr>
          <w:p>
            <w:pPr>
              <w:spacing w:after="0"/>
              <w:rPr>
                <w:sz w:val="13"/>
                <w:szCs w:val="13"/>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Decrease (increase) in other current assets . . . . . . . . . . . . . . . . . . . . . . . . . . . . . . . . . . . . . . . . . . . . . . . . . . .</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3"/>
                <w:szCs w:val="13"/>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Decrease (increase) in inventories . . . . . . . . . . . . . . . . . . . . . . . . . . . . . . . . . . . . . . . . . . . . . . . . . . . . . . . .</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3"/>
                <w:szCs w:val="13"/>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Increase (decrease) in accounts payable, accrued expenses and related party payable. . . . . . . . . . . . . . . . . . . . . .</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 w:type="dxa"/>
            <w:vAlign w:val="bottom"/>
          </w:tcPr>
          <w:p>
            <w:pPr>
              <w:spacing w:after="0"/>
              <w:rPr>
                <w:sz w:val="13"/>
                <w:szCs w:val="13"/>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Increase (decrease) in employee-related accrued expenses and long term benefits . . . . . . . . . . . . . . . . . . . . . . . .</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0" w:type="dxa"/>
            <w:vAlign w:val="bottom"/>
          </w:tcPr>
          <w:p>
            <w:pPr>
              <w:spacing w:after="0"/>
              <w:rPr>
                <w:sz w:val="13"/>
                <w:szCs w:val="13"/>
                <w:color w:val="auto"/>
              </w:rPr>
            </w:pPr>
          </w:p>
        </w:tc>
      </w:tr>
      <w:tr>
        <w:trPr>
          <w:trHeight w:val="162"/>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Increase (decrease) in other current liabilities . . . . . . . . . . . . . . . . . . . . . . . . . . . . . . . . . . . . . . . . . . . . . . . . .</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w:t>
            </w: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Decrease (increase) in other long term assets . . . . . . . . . . . . . . . . . . . . . . . . . . . . . . . . . . . . . . . . . . . . . . . . .</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3"/>
                <w:szCs w:val="13"/>
                <w:color w:val="auto"/>
              </w:rPr>
            </w:pPr>
          </w:p>
        </w:tc>
      </w:tr>
      <w:tr>
        <w:trPr>
          <w:trHeight w:val="168"/>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Increase (decrease) in other long term liabilities . . . . . . . . . . . . . . . . . . . . . . . . . . . . . . . . . . . . . . . . . . . . . . .</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4"/>
                <w:szCs w:val="14"/>
                <w:color w:val="auto"/>
              </w:rPr>
            </w:pPr>
          </w:p>
        </w:tc>
      </w:tr>
      <w:tr>
        <w:trPr>
          <w:trHeight w:val="152"/>
        </w:trPr>
        <w:tc>
          <w:tcPr>
            <w:tcW w:w="6820" w:type="dxa"/>
            <w:vAlign w:val="bottom"/>
          </w:tcPr>
          <w:p>
            <w:pPr>
              <w:jc w:val="right"/>
              <w:ind w:right="190"/>
              <w:spacing w:after="0" w:line="152" w:lineRule="exact"/>
              <w:rPr>
                <w:sz w:val="20"/>
                <w:szCs w:val="20"/>
                <w:color w:val="auto"/>
              </w:rPr>
            </w:pPr>
            <w:r>
              <w:rPr>
                <w:rFonts w:ascii="Times New Roman" w:cs="Times New Roman" w:eastAsia="Times New Roman" w:hAnsi="Times New Roman"/>
                <w:sz w:val="14"/>
                <w:szCs w:val="14"/>
                <w:color w:val="auto"/>
              </w:rPr>
              <w:t>. . . . . . . . . . . . . . . . . . . . . . . . . . . . . . . . . . . . . . . . . . . . . . . . . . .</w:t>
            </w:r>
            <w:r>
              <w:rPr>
                <w:rFonts w:ascii="Times New Roman" w:cs="Times New Roman" w:eastAsia="Times New Roman" w:hAnsi="Times New Roman"/>
                <w:sz w:val="14"/>
                <w:szCs w:val="14"/>
                <w:b w:val="1"/>
                <w:bCs w:val="1"/>
                <w:color w:val="auto"/>
              </w:rPr>
              <w:t>Netcashprovidedbyoperatingactivities</w:t>
            </w: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400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394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546</w:t>
            </w:r>
          </w:p>
        </w:tc>
        <w:tc>
          <w:tcPr>
            <w:tcW w:w="20" w:type="dxa"/>
            <w:vAlign w:val="bottom"/>
          </w:tcPr>
          <w:p>
            <w:pPr>
              <w:spacing w:after="0"/>
              <w:rPr>
                <w:sz w:val="13"/>
                <w:szCs w:val="13"/>
                <w:color w:val="auto"/>
              </w:rPr>
            </w:pPr>
          </w:p>
        </w:tc>
      </w:tr>
      <w:tr>
        <w:trPr>
          <w:trHeight w:val="143"/>
        </w:trPr>
        <w:tc>
          <w:tcPr>
            <w:tcW w:w="6820" w:type="dxa"/>
            <w:vAlign w:val="bottom"/>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 of property and equipment . . . . . . . . . . . . . . . . . . . . . . . . . . . . . . . . . . . . . . . . . . . . . . . . . . . . . . .</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0" w:type="dxa"/>
            <w:vAlign w:val="bottom"/>
          </w:tcPr>
          <w:p>
            <w:pPr>
              <w:spacing w:after="0"/>
              <w:rPr>
                <w:sz w:val="13"/>
                <w:szCs w:val="13"/>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 of loan due from related party . . . . . . . . . . . . . . . . . . . . . . . . . . . . . . . . . . . . . . . . . . . . . . . . . . .</w:t>
            </w:r>
          </w:p>
        </w:tc>
        <w:tc>
          <w:tcPr>
            <w:tcW w:w="12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20" w:type="dxa"/>
            <w:vAlign w:val="bottom"/>
          </w:tcPr>
          <w:p>
            <w:pPr>
              <w:spacing w:after="0"/>
              <w:rPr>
                <w:sz w:val="13"/>
                <w:szCs w:val="13"/>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loan to related party . . . . . . . . . . . . . . . . . . . . . . . . . . . . . . . . . . . . . . . . . . . . . . . . . . . . . . . . . .</w:t>
            </w:r>
          </w:p>
        </w:tc>
        <w:tc>
          <w:tcPr>
            <w:tcW w:w="12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0" w:type="dxa"/>
            <w:vAlign w:val="bottom"/>
          </w:tcPr>
          <w:p>
            <w:pPr>
              <w:spacing w:after="0"/>
              <w:rPr>
                <w:sz w:val="13"/>
                <w:szCs w:val="13"/>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debt and equity investments . . . . . . . . . . . . . . . . . . . . . . . . . . . . . . . . . . . . . . . . . . . . . . . . . . .</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Maturities and sales of debt and equity investments . . . . . . . . . . . . . . . . . . . . . . . . . . . . . . . . . . . . . . . . . . . .</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 . . . . . . . . . . . . . . . . . . . . . . . . . . . . . . . . . . . . . . . . . . . . . . . . . . . . . . . . . . . . . . . . . . . . . . . . . . .</w:t>
            </w:r>
          </w:p>
        </w:tc>
        <w:tc>
          <w:tcPr>
            <w:tcW w:w="12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4"/>
                <w:szCs w:val="14"/>
                <w:color w:val="auto"/>
              </w:rPr>
            </w:pPr>
          </w:p>
        </w:tc>
      </w:tr>
      <w:tr>
        <w:trPr>
          <w:trHeight w:val="152"/>
        </w:trPr>
        <w:tc>
          <w:tcPr>
            <w:tcW w:w="6820" w:type="dxa"/>
            <w:vAlign w:val="bottom"/>
          </w:tcPr>
          <w:p>
            <w:pPr>
              <w:jc w:val="right"/>
              <w:ind w:right="190"/>
              <w:spacing w:after="0" w:line="152" w:lineRule="exact"/>
              <w:rPr>
                <w:sz w:val="20"/>
                <w:szCs w:val="20"/>
                <w:color w:val="auto"/>
              </w:rPr>
            </w:pPr>
            <w:r>
              <w:rPr>
                <w:rFonts w:ascii="Times New Roman" w:cs="Times New Roman" w:eastAsia="Times New Roman" w:hAnsi="Times New Roman"/>
                <w:sz w:val="14"/>
                <w:szCs w:val="14"/>
                <w:color w:val="auto"/>
              </w:rPr>
              <w:t>. . . . . . . . . . . . . . . . . . . . . . . . . . . . . . . . . . . . . . . . . . . . .</w:t>
            </w:r>
            <w:r>
              <w:rPr>
                <w:rFonts w:ascii="Times New Roman" w:cs="Times New Roman" w:eastAsia="Times New Roman" w:hAnsi="Times New Roman"/>
                <w:sz w:val="14"/>
                <w:szCs w:val="14"/>
                <w:b w:val="1"/>
                <w:bCs w:val="1"/>
                <w:color w:val="auto"/>
              </w:rPr>
              <w:t>Netcashprovidedby(usedin)investingactivities</w:t>
            </w:r>
          </w:p>
        </w:tc>
        <w:tc>
          <w:tcPr>
            <w:tcW w:w="1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(120)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(98)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1,187</w:t>
            </w:r>
          </w:p>
        </w:tc>
        <w:tc>
          <w:tcPr>
            <w:tcW w:w="20" w:type="dxa"/>
            <w:vAlign w:val="bottom"/>
          </w:tcPr>
          <w:p>
            <w:pPr>
              <w:spacing w:after="0"/>
              <w:rPr>
                <w:sz w:val="13"/>
                <w:szCs w:val="13"/>
                <w:color w:val="auto"/>
              </w:rPr>
            </w:pPr>
          </w:p>
        </w:tc>
      </w:tr>
      <w:tr>
        <w:trPr>
          <w:trHeight w:val="143"/>
        </w:trPr>
        <w:tc>
          <w:tcPr>
            <w:tcW w:w="682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transfers from Parent . . . . . . . . . . . . . . . . . . . . . . . . . . . . . . . . . . . . . . . . . . . . . . . . . . . . . . . . . . . . . .</w:t>
            </w:r>
          </w:p>
        </w:tc>
        <w:tc>
          <w:tcPr>
            <w:tcW w:w="12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0" w:type="dxa"/>
            <w:vAlign w:val="bottom"/>
          </w:tcPr>
          <w:p>
            <w:pPr>
              <w:spacing w:after="0"/>
              <w:rPr>
                <w:sz w:val="13"/>
                <w:szCs w:val="13"/>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 paid . . . . . . . . . . . . . . . . . . . . . . . . . . . . . . . . . . . . . . . . . . . . . . . . . . . . . . . . . . . . . . . . . . . . . .</w:t>
            </w:r>
          </w:p>
        </w:tc>
        <w:tc>
          <w:tcPr>
            <w:tcW w:w="12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20" w:type="dxa"/>
            <w:vAlign w:val="bottom"/>
          </w:tcPr>
          <w:p>
            <w:pPr>
              <w:spacing w:after="0"/>
              <w:rPr>
                <w:sz w:val="13"/>
                <w:szCs w:val="13"/>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recharge . . . . . . . . . . . . . . . . . . . . . . . . . . . . . . . . . . . . . . . . . . . . . . . . . . . . . . .</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20" w:type="dxa"/>
            <w:vAlign w:val="bottom"/>
          </w:tcPr>
          <w:p>
            <w:pPr>
              <w:spacing w:after="0"/>
              <w:rPr>
                <w:sz w:val="13"/>
                <w:szCs w:val="13"/>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initial public offering, net of offering costs . . . . . . . . . . . . . . . . . . . . . . . . . . . . . . . . . . . . . . . .</w:t>
            </w:r>
          </w:p>
        </w:tc>
        <w:tc>
          <w:tcPr>
            <w:tcW w:w="12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20" w:type="dxa"/>
            <w:vAlign w:val="bottom"/>
          </w:tcPr>
          <w:p>
            <w:pPr>
              <w:spacing w:after="0"/>
              <w:rPr>
                <w:sz w:val="13"/>
                <w:szCs w:val="13"/>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transaction in connection with the legal purchase of Moovit entities . . . . . . . . . . . . . . . . . . . . . . . . . . . .</w:t>
            </w:r>
          </w:p>
        </w:tc>
        <w:tc>
          <w:tcPr>
            <w:tcW w:w="12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0" w:type="dxa"/>
            <w:vAlign w:val="bottom"/>
          </w:tcPr>
          <w:p>
            <w:pPr>
              <w:spacing w:after="0"/>
              <w:rPr>
                <w:sz w:val="13"/>
                <w:szCs w:val="13"/>
                <w:color w:val="auto"/>
              </w:rPr>
            </w:pPr>
          </w:p>
        </w:tc>
      </w:tr>
      <w:tr>
        <w:trPr>
          <w:trHeight w:val="169"/>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 of Dividend Note with related party . . . . . . . . . . . . . . . . . . . . . . . . . . . . . . . . . . . . . . . . . . . . . . .</w:t>
            </w:r>
          </w:p>
        </w:tc>
        <w:tc>
          <w:tcPr>
            <w:tcW w:w="12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(918)</w:t>
            </w:r>
          </w:p>
        </w:tc>
      </w:tr>
      <w:tr>
        <w:trPr>
          <w:trHeight w:val="153"/>
        </w:trPr>
        <w:tc>
          <w:tcPr>
            <w:tcW w:w="6820" w:type="dxa"/>
            <w:vAlign w:val="bottom"/>
          </w:tcPr>
          <w:p>
            <w:pPr>
              <w:jc w:val="right"/>
              <w:ind w:right="190"/>
              <w:spacing w:after="0" w:line="153" w:lineRule="exact"/>
              <w:rPr>
                <w:sz w:val="20"/>
                <w:szCs w:val="20"/>
                <w:color w:val="auto"/>
              </w:rPr>
            </w:pPr>
            <w:r>
              <w:rPr>
                <w:rFonts w:ascii="Times New Roman" w:cs="Times New Roman" w:eastAsia="Times New Roman" w:hAnsi="Times New Roman"/>
                <w:sz w:val="14"/>
                <w:szCs w:val="14"/>
                <w:color w:val="auto"/>
              </w:rPr>
              <w:t>. . . . . . . . . . . . . . . . . . . . . . . . . . . . . . . . . . . . . . . . . . . . .</w:t>
            </w:r>
            <w:r>
              <w:rPr>
                <w:rFonts w:ascii="Times New Roman" w:cs="Times New Roman" w:eastAsia="Times New Roman" w:hAnsi="Times New Roman"/>
                <w:sz w:val="14"/>
                <w:szCs w:val="14"/>
                <w:b w:val="1"/>
                <w:bCs w:val="1"/>
                <w:color w:val="auto"/>
              </w:rPr>
              <w:t>Netcashprovidedby(usedin)financingactivities</w:t>
            </w:r>
          </w:p>
        </w:tc>
        <w:tc>
          <w:tcPr>
            <w:tcW w:w="1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(66)</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(100)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(1,317)</w:t>
            </w:r>
          </w:p>
        </w:tc>
        <w:tc>
          <w:tcPr>
            <w:tcW w:w="20" w:type="dxa"/>
            <w:vAlign w:val="bottom"/>
          </w:tcPr>
          <w:p>
            <w:pPr>
              <w:spacing w:after="0"/>
              <w:rPr>
                <w:sz w:val="13"/>
                <w:szCs w:val="13"/>
                <w:color w:val="auto"/>
              </w:rPr>
            </w:pPr>
          </w:p>
        </w:tc>
      </w:tr>
      <w:tr>
        <w:trPr>
          <w:trHeight w:val="142"/>
        </w:trPr>
        <w:tc>
          <w:tcPr>
            <w:tcW w:w="6820" w:type="dxa"/>
            <w:vAlign w:val="bottom"/>
          </w:tcPr>
          <w:p>
            <w:pPr>
              <w:jc w:val="right"/>
              <w:ind w:right="190"/>
              <w:spacing w:after="0" w:line="142" w:lineRule="exact"/>
              <w:rPr>
                <w:sz w:val="20"/>
                <w:szCs w:val="20"/>
                <w:color w:val="auto"/>
              </w:rPr>
            </w:pPr>
            <w:r>
              <w:rPr>
                <w:rFonts w:ascii="Times New Roman" w:cs="Times New Roman" w:eastAsia="Times New Roman" w:hAnsi="Times New Roman"/>
                <w:sz w:val="14"/>
                <w:szCs w:val="14"/>
                <w:color w:val="auto"/>
              </w:rPr>
              <w:t>. . . . . . . . . . . . . . . . . . . . . . . . . . . . . . . .Effectofforeignexchangeratechangesoncashandcashequivalents</w:t>
            </w:r>
          </w:p>
        </w:tc>
        <w:tc>
          <w:tcPr>
            <w:tcW w:w="120" w:type="dxa"/>
            <w:vAlign w:val="bottom"/>
          </w:tcPr>
          <w:p>
            <w:pPr>
              <w:spacing w:after="0"/>
              <w:rPr>
                <w:sz w:val="12"/>
                <w:szCs w:val="12"/>
                <w:color w:val="auto"/>
              </w:rPr>
            </w:pPr>
          </w:p>
        </w:tc>
        <w:tc>
          <w:tcPr>
            <w:tcW w:w="10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2"/>
                <w:szCs w:val="12"/>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Increase in cash, cash equivalents and restricted cash . . . . . . . . . . . . . . . . . . . . . . . . . . . . . . . . . . . . . . . . . . .</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20" w:type="dxa"/>
            <w:vAlign w:val="bottom"/>
          </w:tcPr>
          <w:p>
            <w:pPr>
              <w:spacing w:after="0"/>
              <w:rPr>
                <w:sz w:val="13"/>
                <w:szCs w:val="13"/>
                <w:color w:val="auto"/>
              </w:rPr>
            </w:pPr>
          </w:p>
        </w:tc>
      </w:tr>
      <w:tr>
        <w:trPr>
          <w:trHeight w:val="168"/>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of cash, cash equivalents and restricted cash, at beginning of year . . . . . . . . . . . . . . . . . . . . . . . . . . . .</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20" w:type="dxa"/>
            <w:vAlign w:val="bottom"/>
          </w:tcPr>
          <w:p>
            <w:pPr>
              <w:spacing w:after="0"/>
              <w:rPr>
                <w:sz w:val="14"/>
                <w:szCs w:val="14"/>
                <w:color w:val="auto"/>
              </w:rPr>
            </w:pPr>
          </w:p>
        </w:tc>
      </w:tr>
      <w:tr>
        <w:trPr>
          <w:trHeight w:val="152"/>
        </w:trPr>
        <w:tc>
          <w:tcPr>
            <w:tcW w:w="6820" w:type="dxa"/>
            <w:vAlign w:val="bottom"/>
          </w:tcPr>
          <w:p>
            <w:pPr>
              <w:jc w:val="right"/>
              <w:ind w:right="190"/>
              <w:spacing w:after="0" w:line="152" w:lineRule="exact"/>
              <w:rPr>
                <w:sz w:val="20"/>
                <w:szCs w:val="20"/>
                <w:color w:val="auto"/>
              </w:rPr>
            </w:pPr>
            <w:r>
              <w:rPr>
                <w:rFonts w:ascii="Times New Roman" w:cs="Times New Roman" w:eastAsia="Times New Roman" w:hAnsi="Times New Roman"/>
                <w:sz w:val="14"/>
                <w:szCs w:val="14"/>
                <w:color w:val="auto"/>
              </w:rPr>
              <w:t>. . . . . . . . . . . . . . . . . . . . . . . . . . . . . . .</w:t>
            </w:r>
            <w:r>
              <w:rPr>
                <w:rFonts w:ascii="Times New Roman" w:cs="Times New Roman" w:eastAsia="Times New Roman" w:hAnsi="Times New Roman"/>
                <w:sz w:val="14"/>
                <w:szCs w:val="14"/>
                <w:b w:val="1"/>
                <w:bCs w:val="1"/>
                <w:color w:val="auto"/>
              </w:rPr>
              <w:t>Balanceofcash,cashequivalentsandrestrictedcash,atendofyear</w:t>
            </w: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1,438</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1,226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1,035</w:t>
            </w:r>
          </w:p>
        </w:tc>
        <w:tc>
          <w:tcPr>
            <w:tcW w:w="20" w:type="dxa"/>
            <w:vAlign w:val="bottom"/>
          </w:tcPr>
          <w:p>
            <w:pPr>
              <w:spacing w:after="0"/>
              <w:rPr>
                <w:sz w:val="13"/>
                <w:szCs w:val="13"/>
                <w:color w:val="auto"/>
              </w:rPr>
            </w:pPr>
          </w:p>
        </w:tc>
      </w:tr>
      <w:tr>
        <w:trPr>
          <w:trHeight w:val="143"/>
        </w:trPr>
        <w:tc>
          <w:tcPr>
            <w:tcW w:w="6820" w:type="dxa"/>
            <w:vAlign w:val="bottom"/>
          </w:tcPr>
          <w:p>
            <w:pPr>
              <w:ind w:left="120"/>
              <w:spacing w:after="0" w:line="143" w:lineRule="exact"/>
              <w:rPr>
                <w:sz w:val="20"/>
                <w:szCs w:val="20"/>
                <w:color w:val="auto"/>
              </w:rPr>
            </w:pPr>
            <w:r>
              <w:rPr>
                <w:rFonts w:ascii="Times New Roman" w:cs="Times New Roman" w:eastAsia="Times New Roman" w:hAnsi="Times New Roman"/>
                <w:sz w:val="14"/>
                <w:szCs w:val="14"/>
                <w:b w:val="1"/>
                <w:bCs w:val="1"/>
                <w:color w:val="auto"/>
              </w:rPr>
              <w:t>Supplementary non-cash investing and financing activities:</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purchase of property and equipment . . . . . . . . . . . . . . . . . . . . . . . . . . . . . . . . . . . . . . . . . . . . . . . .</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3"/>
                <w:szCs w:val="13"/>
                <w:color w:val="auto"/>
              </w:rPr>
            </w:pPr>
          </w:p>
        </w:tc>
        <w:tc>
          <w:tcPr>
            <w:tcW w:w="32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3"/>
                <w:szCs w:val="13"/>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 Note with related party . . . . . . . . . . . . . . . . . . . . . . . . . . . . . . . . . . . . . . . . . . . . . . . . . . . . . . . . .</w:t>
            </w:r>
          </w:p>
        </w:tc>
        <w:tc>
          <w:tcPr>
            <w:tcW w:w="12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20" w:type="dxa"/>
            <w:vAlign w:val="bottom"/>
          </w:tcPr>
          <w:p>
            <w:pPr>
              <w:spacing w:after="0"/>
              <w:rPr>
                <w:sz w:val="13"/>
                <w:szCs w:val="13"/>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 Note contribution from related party . . . . . . . . . . . . . . . . . . . . . . . . . . . . . . . . . . . . . . . . . . . . . . . .</w:t>
            </w:r>
          </w:p>
        </w:tc>
        <w:tc>
          <w:tcPr>
            <w:tcW w:w="12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20" w:type="dxa"/>
            <w:vAlign w:val="bottom"/>
          </w:tcPr>
          <w:p>
            <w:pPr>
              <w:spacing w:after="0"/>
              <w:rPr>
                <w:sz w:val="13"/>
                <w:szCs w:val="13"/>
                <w:color w:val="auto"/>
              </w:rPr>
            </w:pPr>
          </w:p>
        </w:tc>
      </w:tr>
      <w:tr>
        <w:trPr>
          <w:trHeight w:val="162"/>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Unpaid offering costs . . . . . . . . . . . . . . . . . . . . . . . . . . . . . . . . . . . . . . . . . . . . . . . . . . . . . . . . . . . . . . . . .</w:t>
            </w:r>
          </w:p>
        </w:tc>
        <w:tc>
          <w:tcPr>
            <w:tcW w:w="12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4"/>
                <w:szCs w:val="14"/>
                <w:color w:val="auto"/>
              </w:rPr>
            </w:pPr>
          </w:p>
        </w:tc>
      </w:tr>
      <w:tr>
        <w:trPr>
          <w:trHeight w:val="159"/>
        </w:trPr>
        <w:tc>
          <w:tcPr>
            <w:tcW w:w="6820" w:type="dxa"/>
            <w:vAlign w:val="bottom"/>
          </w:tcPr>
          <w:p>
            <w:pPr>
              <w:ind w:left="120"/>
              <w:spacing w:after="0" w:line="159" w:lineRule="exact"/>
              <w:rPr>
                <w:sz w:val="20"/>
                <w:szCs w:val="20"/>
                <w:color w:val="auto"/>
              </w:rPr>
            </w:pPr>
            <w:r>
              <w:rPr>
                <w:rFonts w:ascii="Times New Roman" w:cs="Times New Roman" w:eastAsia="Times New Roman" w:hAnsi="Times New Roman"/>
                <w:sz w:val="14"/>
                <w:szCs w:val="14"/>
                <w:color w:val="auto"/>
              </w:rPr>
              <w:t>Tax sharing agreement with Parent. . . . . . . . . . . . . . . . . . . . . . . . . . . . . . . . . . . . . . . . . . . . . . . . . . . . . . . .</w:t>
            </w:r>
          </w:p>
        </w:tc>
        <w:tc>
          <w:tcPr>
            <w:tcW w:w="12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3"/>
                <w:szCs w:val="13"/>
                <w:color w:val="auto"/>
              </w:rPr>
            </w:pPr>
          </w:p>
        </w:tc>
      </w:tr>
      <w:tr>
        <w:trPr>
          <w:trHeight w:val="163"/>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received (paid) for income taxes, net of refunds . . . . . . . . . . . . . . . . . . . . . . . . . . . . . . . . . . . . . . . . . . .</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13"/>
                <w:szCs w:val="13"/>
                <w:color w:val="auto"/>
              </w:rPr>
            </w:pPr>
          </w:p>
        </w:tc>
        <w:tc>
          <w:tcPr>
            <w:tcW w:w="32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3"/>
                <w:szCs w:val="13"/>
                <w:color w:val="auto"/>
              </w:rPr>
            </w:pPr>
          </w:p>
        </w:tc>
      </w:tr>
      <w:tr>
        <w:trPr>
          <w:trHeight w:val="170"/>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paid to related party . . . . . . . . . . . . . . . . . . . . . . . . . . . . . . . . . . . . . . . . . . . . . . . . . . . . . . . . . . . .</w:t>
            </w:r>
          </w:p>
        </w:tc>
        <w:tc>
          <w:tcPr>
            <w:tcW w:w="12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4"/>
                <w:szCs w:val="14"/>
                <w:color w:val="auto"/>
              </w:rPr>
            </w:pPr>
          </w:p>
        </w:tc>
      </w:tr>
      <w:tr>
        <w:trPr>
          <w:trHeight w:val="188"/>
        </w:trPr>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received from related party. . . . . . . . . . . . . . . . . . . . . . . . . . . . . . . . . . . . . . . . . . . . . . . . . . . . . . . .</w:t>
            </w:r>
          </w:p>
        </w:tc>
        <w:tc>
          <w:tcPr>
            <w:tcW w:w="12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800"/>
          </w:cols>
          <w:pgMar w:left="540" w:top="134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1880" w:h="15480" w:orient="portrait"/>
          <w:cols w:equalWidth="0" w:num="1">
            <w:col w:w="10800"/>
          </w:cols>
          <w:pgMar w:left="540" w:top="1344" w:right="540" w:bottom="0"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1" w:lineRule="exact"/>
        <w:rPr>
          <w:sz w:val="20"/>
          <w:szCs w:val="20"/>
          <w:color w:val="auto"/>
        </w:rPr>
      </w:pPr>
    </w:p>
    <w:p>
      <w:pPr>
        <w:jc w:val="center"/>
        <w:ind w:right="9000"/>
        <w:spacing w:after="0"/>
        <w:rPr>
          <w:sz w:val="20"/>
          <w:szCs w:val="20"/>
          <w:color w:val="auto"/>
        </w:rPr>
      </w:pPr>
      <w:r>
        <w:rPr>
          <w:rFonts w:ascii="Times New Roman" w:cs="Times New Roman" w:eastAsia="Times New Roman" w:hAnsi="Times New Roman"/>
          <w:sz w:val="20"/>
          <w:szCs w:val="20"/>
          <w:b w:val="1"/>
          <w:bCs w:val="1"/>
          <w:color w:val="auto"/>
        </w:rPr>
        <w:t>NOTE 1 GENERAL</w:t>
      </w:r>
    </w:p>
    <w:p>
      <w:pPr>
        <w:spacing w:after="0" w:line="240" w:lineRule="exact"/>
        <w:rPr>
          <w:sz w:val="20"/>
          <w:szCs w:val="20"/>
          <w:color w:val="auto"/>
        </w:rPr>
      </w:pPr>
    </w:p>
    <w:p>
      <w:pPr>
        <w:jc w:val="center"/>
        <w:ind w:right="9020"/>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242"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Mobileye Global Inc. (“Mobileye”, “the Company” or “we”) is a leader in the development and deployment of advanced driver assistance systems (“ADAS”) and autonomous driving technologies and solutions, aimed to provide the capabilities required for the future of autonomous driving, leveraging a comprehensive suite of purpose-built software and hardware technologies. Mobileye combines the operations of its consolidated subsidiaries, which include the Mobileye Group, as defined below. Before the completion of the Mobileye IPO and the reorganization in October 2022, the Company consisted of the “Mobileye Group”, which combined the operations of Cyclops Holdings Corporation (“Cyclops”), Mobileye B.V. and its subsidiaries, GG Acquisition Ltd. and Moovit App Global Ltd. and its subsidiaries (“Moovit”) and certain Intel employees mainly in research and development (the “Intel Aligned Groups”).</w:t>
      </w:r>
    </w:p>
    <w:p>
      <w:pPr>
        <w:spacing w:after="0" w:line="20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Mobileye operates as a subsidiary of Intel Corporation (“Intel” or the “Parent”), which acquired a majority stake in Mobileye in August 2017 (the “Mobileye Acquisition”). The remaining issued and outstanding shares of Mobileye were acquired by Intel in 2018.</w:t>
      </w:r>
    </w:p>
    <w:p>
      <w:pPr>
        <w:spacing w:after="0" w:line="16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Intel directly or indirectly holds all of the Class B common stock of Mobileye, which as of December 28, 2024, represents approximately 87.7% of our outstanding common stock and 98.6% of the voting power of our common stock. Mobileye’s Class A common stock are traded on the Nasdaq Global Select Market since October 26, 2022 under the ticker symbol “MBLY”.</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Secondary Offering</w:t>
      </w:r>
    </w:p>
    <w:p>
      <w:pPr>
        <w:spacing w:after="0" w:line="23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On June 7, 2023, the Company announced the pricing of a public secondary offering of 38,500,000 shares of its Class A common stock (which shares were received upon the conversion of 38,500,000 shares of Class B common stock into Class A common stock) by Intel at a public offering price of $42.00 per share, which closed on June 12, 2023 (the “Secondary Offering”). The Company did not receive any proceeds from this offering. The Company paid the costs associated with the registration of shares in connection with the Secondary Offering in the amount of $1 million, other than underwriting discounts, fees and commissions. These costs were expensed as incurred within general and administrative expenses. Upon the completion of the Secondary Offering, Intel continues to directly or indirectly hold all of the Class B common stock of Mobileye.</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Operations in Israel</w:t>
      </w:r>
    </w:p>
    <w:p>
      <w:pPr>
        <w:spacing w:after="0" w:line="238"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On October 7, 2023, Hamas launched a series of attacks on civilian and military targets in Southern and Central Israel, to which the Israel Defense Forces have responded. In addition, both Hezbollah and the Houthi movement have attacked military and civilian targets in Israel, to which Israel has responded, including through increased air and ground operations in Lebanon. In addition, the Houthi movement has attacked international shipping lanes in the Red Sea. Further, on April 13, 2024 and on October 1, 2024, Iran launched a series of drone and missile strikes against Israel, to which Israel has responded. How long and how severe the current conflict in Gaza, Northern Israel, Lebanon or the broader region becomes is unknown at this time and any continued clash among Israel, Hamas or Hezbollah, Iran or other countries or militant groups in the region may escalate in the future into a greater regional conflict. To date our operations and financial results have not been materially affected, although as of January 31, 2025 approximately 3.7% of our employees have been called to reserve duty in the Israel Defense Forces. We expect that the current conflict in the Gaza Strip, Lebanon and the security escalation in Israel will not have a material impact on our business results in the short term. However, since this is an event beyond our control, its continuation or cessation may impact our expectations. We continue to monitor political and military developments closely and examine the consequences for our business, results of operations and financial condition.</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1880" w:h="15480" w:orient="portrait"/>
          <w:cols w:equalWidth="0" w:num="1">
            <w:col w:w="10800"/>
          </w:cols>
          <w:pgMar w:left="540" w:top="984" w:right="540" w:bottom="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Other events during the current reporting period</w:t>
      </w:r>
    </w:p>
    <w:p>
      <w:pPr>
        <w:spacing w:after="0" w:line="19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On March 18, 2024, the Company announced the winding down of the Aftermarket Solutions Unit that provides retrofitted advanced driver assistance technology. This decision was made following a thorough review of this unit’s business prospects and investment needs showing that since automakers and other vehicle manufacturers have steadily increased the rate at which integrated ADAS solutions are installed on new vehicles, the demand and future addressable market for retrofitted ADAS solutions has declined. As a result, this division has seen its revenues decline meaningfully, and in recent years has not positively contributed to Mobileye’s profitability. The plan for winding down of the Aftermarket Solutions Unit resulted in a reduction in workforce of approximately 100 employees worldwide. The termination costs are in the amount of approximately $4 million, which was recognized as an expense in the year ended December 28, 2024.</w:t>
      </w:r>
    </w:p>
    <w:p>
      <w:pPr>
        <w:spacing w:after="0" w:line="202"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20"/>
          <w:szCs w:val="20"/>
          <w:color w:val="auto"/>
        </w:rPr>
        <w:t>On September 9, 2024, the Company announced the winding down of the Lidar R&amp;D Unit by the end of 2024 and the cessation of internal development of next-generation frequency modulated continuous wave (FMCW) lidars for use in autonomous and highly automated driving systems. The decision was based on a variety of factors, including substantial progress on the Company’s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6-based computer vision perception, increased clarity on the performance of the Company’s internally developed imaging radar, and continued better-than-expected cost reductions in third-party time-of-flight lidar units. The plan for winding down of the Lidar R&amp;D Unit includes a reduction in workforce of approximately 90 employees worldwide. The affected employees are entitled to additional termination costs in the amount of approximately $4.6 million which was recognized as an R&amp;D expense in the year ended December 28,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SIGNIFICANT ACCOUNTING POLICIES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2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 operates on a 52 -week or 53-week fiscal year that ends on the last Saturday in December. Fiscal years 2024 and 2023 were a 52-week fiscal years. Fiscal year 2022 was a 53-week fiscal year.</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Prior to the Mobileye IPO</w:t>
      </w:r>
    </w:p>
    <w:p>
      <w:pPr>
        <w:spacing w:after="0" w:line="21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financial statements and accompanying notes that include periods ending or as of dates prior to the completion of the Mobileye IPO in October 2022, have been derived from the consolidated financial statements and accounting records of Intel and are presented as if the Company had been operating as a stand-alone company. The assets, liabilities, revenue, and expenses directly attributable to the Company’s operations, including the acquired goodwill and intangible assets, have been reflected in these consolidated financial statements on a historical cost basis, as included in the consolidated financial statements of Intel.</w:t>
      </w:r>
    </w:p>
    <w:p>
      <w:pPr>
        <w:spacing w:after="0" w:line="172"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Company utilized the Intel Aligned Groups mainly in research and development activities. The associated costs of the Intel Aligned Groups are reflected on a specific attribution basis in the consolidated statements of operations and comprehensive income (loss). Intel Aligned Groups also participated in various Intel compensation and benefit plans. Portions of those plans’ costs were based on actual headcount and included in these consolidated financial statements. These costs are not necessarily indicative of costs that would have been incurred had the Company operated on a stand-alone basis.</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1880" w:h="15480" w:orient="portrait"/>
          <w:cols w:equalWidth="0" w:num="1">
            <w:col w:w="10800"/>
          </w:cols>
          <w:pgMar w:left="540" w:top="984" w:right="540" w:bottom="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statements of operations and comprehensive income (loss) include allocations of general corporate expenses from Intel. These expenses have been allocated to the Company on the basis of direct usage when identifiable or allocated on the basis of headcount. Management of the Company and Parent considered the basis on which the expenses have been allocated to be a reasonable reflection of the utilization of the services provided to or the benefit received by the Company during the periods presented. Mobileye largely continued to operate as a standalone operation and had not been fully integrated into Intel, with limited use of corporate overhead functions. The allocated costs for the periods presented in the statement of operations and comprehensive income (loss) were not material. The allocations may not be reflective of the expenses that would have incurred had the Company operated as a stand-alone company for the periods presented. These costs also may not be indicative of the expenses that the Company will incur in the future or would have incurred if the Company had obtained these services from a third party. Actual costs that may have been incurred if the Company had operated as a stand-alone company would depend on a number of factors, including the chosen organizational structure, the outsourcing of certain functions, and other strategic decisions.</w:t>
      </w:r>
    </w:p>
    <w:p>
      <w:pPr>
        <w:spacing w:after="0" w:line="17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As Mobileye Group was not historically held by a single legal entity, total parent net investment is shown in lieu of equity in the periods prior to the completion of the Mobileye IPO and represents Intel’s total interest in the recorded net assets of Mobileye Group. All intercompany transactions within the previously combined businesses of the Company have been eliminated. Transactions between the Company and Intel, arising from arrangements with Intel and other similar related-party transactions, were considered to be effectively settled at the time the transactions were recorded, unless otherwise noted. The total net effect of the settlement of these transactions was reflected within parent net investment as a component of equity and within net transfers from Parent as a financing activity in the periods prior to the completion of the Mobileye IPO, unless otherwise noted.</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Following the Mobileye IPO</w:t>
      </w:r>
    </w:p>
    <w:p>
      <w:pPr>
        <w:spacing w:after="0" w:line="218"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Following the completion of the Mobileye IPO, the consolidated financial statements include the accounts of the Company and its wholly-owned subsidiaries.</w:t>
      </w:r>
    </w:p>
    <w:p>
      <w:pPr>
        <w:spacing w:after="0" w:line="144" w:lineRule="exact"/>
        <w:rPr>
          <w:sz w:val="20"/>
          <w:szCs w:val="20"/>
          <w:color w:val="auto"/>
        </w:rPr>
      </w:pPr>
    </w:p>
    <w:p>
      <w:pPr>
        <w:jc w:val="both"/>
        <w:ind w:firstLine="360"/>
        <w:spacing w:after="0" w:line="308" w:lineRule="auto"/>
        <w:rPr>
          <w:sz w:val="20"/>
          <w:szCs w:val="20"/>
          <w:color w:val="auto"/>
        </w:rPr>
      </w:pPr>
      <w:r>
        <w:rPr>
          <w:rFonts w:ascii="Times New Roman" w:cs="Times New Roman" w:eastAsia="Times New Roman" w:hAnsi="Times New Roman"/>
          <w:sz w:val="19"/>
          <w:szCs w:val="19"/>
          <w:color w:val="auto"/>
        </w:rPr>
        <w:t xml:space="preserve">Following the legal entity reorganization and the completion of the Mobileye IPO, Intel continues to control the Company and holds all of the Company’s Class B common stock. Refer to Note 9 </w:t>
      </w:r>
      <w:r>
        <w:rPr>
          <w:rFonts w:ascii="Times New Roman" w:cs="Times New Roman" w:eastAsia="Times New Roman" w:hAnsi="Times New Roman"/>
          <w:sz w:val="19"/>
          <w:szCs w:val="19"/>
          <w:i w:val="1"/>
          <w:iCs w:val="1"/>
          <w:color w:val="auto"/>
        </w:rPr>
        <w:t>Related Party Transactions</w:t>
      </w:r>
      <w:r>
        <w:rPr>
          <w:rFonts w:ascii="Times New Roman" w:cs="Times New Roman" w:eastAsia="Times New Roman" w:hAnsi="Times New Roman"/>
          <w:sz w:val="19"/>
          <w:szCs w:val="19"/>
          <w:color w:val="auto"/>
        </w:rPr>
        <w:t xml:space="preserve"> and Note 6 </w:t>
      </w:r>
      <w:r>
        <w:rPr>
          <w:rFonts w:ascii="Times New Roman" w:cs="Times New Roman" w:eastAsia="Times New Roman" w:hAnsi="Times New Roman"/>
          <w:sz w:val="19"/>
          <w:szCs w:val="19"/>
          <w:i w:val="1"/>
          <w:iCs w:val="1"/>
          <w:color w:val="auto"/>
        </w:rPr>
        <w:t>Equity</w:t>
      </w:r>
      <w:r>
        <w:rPr>
          <w:rFonts w:ascii="Times New Roman" w:cs="Times New Roman" w:eastAsia="Times New Roman" w:hAnsi="Times New Roman"/>
          <w:sz w:val="19"/>
          <w:szCs w:val="19"/>
          <w:color w:val="auto"/>
        </w:rPr>
        <w:t xml:space="preserve"> for further information.</w:t>
      </w:r>
    </w:p>
    <w:p>
      <w:pPr>
        <w:spacing w:after="0" w:line="11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consolidated financial statements have been prepared in accordance with United States generally accepted accounting principles (“U.S. GAAP”). All intercompany balances and transactions have been eliminated in consolidation.</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223"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The preparation of consolidated financial statements in conformity with U.S. GAAP requires management to make estimates, judgments and assumptions that affect the amounts and events reported and disclosed in the consolidated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5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On an on-going basis, management evaluates its estimates, judgments, and assumptions. The most significant estimates and assumptions relate to useful lives of intangible assets, impairment assessment of intangible assets and goodwill, and income taxes. A change in estimates, including a change in the overall market value of the Company, could require reassessments of the items noted above.</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Functional currency</w:t>
      </w:r>
    </w:p>
    <w:p>
      <w:pPr>
        <w:spacing w:after="0" w:line="22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majority of the Company and its subsidiaries revenue are denominated in the United States (“U.S.”) dollar, as are most purchases of materials and components. The Company’s financings and capitalization have also been denominated in the U.S. dollar. Management believes that the currency of the primary economic environment in which the Company and its subsidiaries operate is the U.S. dollar, and thus, the U.S. dollar is the functional and reporting currency of the Company and its subsidiaries.</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1880" w:h="15480" w:orient="portrait"/>
          <w:cols w:equalWidth="0" w:num="1">
            <w:col w:w="10800"/>
          </w:cols>
          <w:pgMar w:left="540" w:top="984" w:right="540" w:bottom="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Accordingly, transactions in currencies other than the U.S. dollar are measured and recorded in the functional currency using the exchange rate in effect at the date of the transaction. Monetary assets and liabilities that are denominated in currencies other than the U.S. dollar are measured using the official exchange rate at the balance sheet date. Non -monetary assets and liabilities are remeasured into the functional currency using the historical exchange rate. The effects of foreign currency remeasurements are recorded in the consolidated statements of operations and comprehensive income (loss) as other financial income (expense), net.</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Investments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Debt Investments</w:t>
      </w:r>
    </w:p>
    <w:p>
      <w:pPr>
        <w:spacing w:after="0" w:line="216"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Marketable debt securities consist of highly liquid U.S. government bonds with maturities of up to six months when purchased. These debt investments are classified as Available For Sale investments and measured at fair value with unrealized gains and losses, net of tax, recorded in accumulated other comprehensive income (loss). We consider all highly liquid debt investments that are readily convertible into cash and have an original maturity of three months or less at the time of purchase to be cash equivalents. Debt investments with original maturities of greater than three months and less than one year, are classified within other current assets.</w:t>
      </w:r>
    </w:p>
    <w:p>
      <w:pPr>
        <w:spacing w:after="0" w:line="17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Available for sale debt investments are subject to a periodic impairment review. For investments in an unrealized loss position, we determine whether a credit loss exists. We recognize an allowance for credit losses, up to the amount of the unrealized loss when appropriate, and write down the amortized cost basis of the investment if it is more likely than not we will be required or we intend to sell the investment before recovery of its amortized cost basis.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Equity Investments</w:t>
      </w:r>
    </w:p>
    <w:p>
      <w:pPr>
        <w:spacing w:after="0" w:line="217"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19"/>
          <w:szCs w:val="19"/>
          <w:color w:val="auto"/>
        </w:rPr>
        <w:t>Equity investments consist of investments in marketable and non -marketable equity securities. Investments in marketable equity securities are measured and recorded at fair value with changes in fair value, whether realized or unrealized, recorded in the statement of operations. Equity investments are classified within other current assets. Investments in non-marketable equity securities without a readily determinable fair value, are measured using the measurement alternative under ASC Topic 321, Investments - Equity Securities. This measurement alternative allows us to measure the equity investment at its cost minus impairment, if any, plus or minus changes resulting from observable price changes in orderly transactions for the identical or a similar investment of the same issuer.</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p>
      <w:pPr>
        <w:spacing w:after="0" w:line="24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Cash equivalents consist of short term deposits and money market funds. The short term deposits are short-term unrestricted highly liquid investments that are readily convertible to cash and with original maturities of three months or less at acquisition. The money market funds consist of institutional investors money market funds and are readily redeemable to cash.</w:t>
      </w:r>
    </w:p>
    <w:p>
      <w:pPr>
        <w:spacing w:after="0" w:line="184"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Restricted bank deposits are cash amounts related to bank guarantees mainly in connection with lease agreements and import of vehicles. Such deposits are stated at cost including accrued interest, which approximates market values. These amounts are included in other current and long-term assets on the consolidated balance sheets.</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is a reconciliation of the cash, cash equivalents and restricted cash for each period presented: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60" w:type="dxa"/>
            <w:vAlign w:val="bottom"/>
            <w:tcBorders>
              <w:bottom w:val="single" w:sz="8" w:color="auto"/>
            </w:tcBorders>
          </w:tcPr>
          <w:p>
            <w:pPr>
              <w:spacing w:after="0"/>
              <w:rPr>
                <w:sz w:val="17"/>
                <w:szCs w:val="17"/>
                <w:color w:val="auto"/>
              </w:rPr>
            </w:pPr>
          </w:p>
        </w:tc>
      </w:tr>
      <w:tr>
        <w:trPr>
          <w:trHeight w:val="165"/>
        </w:trPr>
        <w:tc>
          <w:tcPr>
            <w:tcW w:w="8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200" w:type="dxa"/>
            <w:vAlign w:val="bottom"/>
          </w:tcPr>
          <w:p>
            <w:pPr>
              <w:spacing w:after="0"/>
              <w:rPr>
                <w:sz w:val="14"/>
                <w:szCs w:val="14"/>
                <w:color w:val="auto"/>
              </w:rPr>
            </w:pPr>
          </w:p>
        </w:tc>
        <w:tc>
          <w:tcPr>
            <w:tcW w:w="110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193"/>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8240" w:type="dxa"/>
            <w:vAlign w:val="bottom"/>
          </w:tcPr>
          <w:p>
            <w:pPr>
              <w:jc w:val="right"/>
              <w:ind w:right="83"/>
              <w:spacing w:after="0" w:line="209" w:lineRule="exact"/>
              <w:rPr>
                <w:sz w:val="20"/>
                <w:szCs w:val="20"/>
                <w:color w:val="auto"/>
              </w:rPr>
            </w:pPr>
            <w:r>
              <w:rPr>
                <w:rFonts w:ascii="Times New Roman" w:cs="Times New Roman" w:eastAsia="Times New Roman" w:hAnsi="Times New Roman"/>
                <w:sz w:val="20"/>
                <w:szCs w:val="20"/>
                <w:color w:val="auto"/>
                <w:w w:val="97"/>
              </w:rPr>
              <w:t>. . . . . . . . . . . . . . . . . . . . . . . . . . . . . . . . . . . . . . . . . . . . . . . . . . . . . . . . . . . . . . . . . . . . . . . . . . . . . . .Cash</w:t>
            </w:r>
          </w:p>
        </w:tc>
        <w:tc>
          <w:tcPr>
            <w:tcW w:w="160" w:type="dxa"/>
            <w:vAlign w:val="bottom"/>
          </w:tcPr>
          <w:p>
            <w:pPr>
              <w:spacing w:after="0"/>
              <w:rPr>
                <w:sz w:val="18"/>
                <w:szCs w:val="18"/>
                <w:color w:val="auto"/>
              </w:rPr>
            </w:pPr>
          </w:p>
        </w:tc>
        <w:tc>
          <w:tcPr>
            <w:tcW w:w="240" w:type="dxa"/>
            <w:vAlign w:val="bottom"/>
          </w:tcPr>
          <w:p>
            <w:pPr>
              <w:jc w:val="right"/>
              <w:ind w:right="5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56</w:t>
            </w:r>
          </w:p>
        </w:tc>
        <w:tc>
          <w:tcPr>
            <w:tcW w:w="200" w:type="dxa"/>
            <w:vAlign w:val="bottom"/>
          </w:tcPr>
          <w:p>
            <w:pPr>
              <w:spacing w:after="0"/>
              <w:rPr>
                <w:sz w:val="18"/>
                <w:szCs w:val="18"/>
                <w:color w:val="auto"/>
              </w:rPr>
            </w:pPr>
          </w:p>
        </w:tc>
        <w:tc>
          <w:tcPr>
            <w:tcW w:w="240" w:type="dxa"/>
            <w:vAlign w:val="bottom"/>
          </w:tcPr>
          <w:p>
            <w:pPr>
              <w:jc w:val="right"/>
              <w:ind w:right="5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58</w:t>
            </w:r>
          </w:p>
        </w:tc>
      </w:tr>
      <w:tr>
        <w:trPr>
          <w:trHeight w:val="230"/>
        </w:trPr>
        <w:tc>
          <w:tcPr>
            <w:tcW w:w="824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w w:val="96"/>
              </w:rPr>
              <w:t>Short term deposits . . . . . . . . . . . . . . . . . . . . . . . . . . . . . . . . . . . . . . . . . . . . . . . . . . . . . . . . . . . . . . . . . . .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w:t>
            </w:r>
          </w:p>
        </w:tc>
      </w:tr>
      <w:tr>
        <w:trPr>
          <w:trHeight w:val="229"/>
        </w:trPr>
        <w:tc>
          <w:tcPr>
            <w:tcW w:w="824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w w:val="96"/>
              </w:rPr>
              <w:t>Money market funds . . . . . . . . . . . . . . . . . . . . . . . . . . . . . . . . . . . . . . . . . . . . . . . . . . . . . . . . . . . . . . . . . . .</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932</w:t>
            </w:r>
          </w:p>
        </w:tc>
      </w:tr>
      <w:tr>
        <w:trPr>
          <w:trHeight w:val="241"/>
        </w:trPr>
        <w:tc>
          <w:tcPr>
            <w:tcW w:w="824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w w:val="98"/>
              </w:rPr>
              <w:t>Restricted cash (within other current and other long-term assets) . . . . . . . . . . . . . . . . . . . . . . . . . . . . . .</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06"/>
        </w:trPr>
        <w:tc>
          <w:tcPr>
            <w:tcW w:w="824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Cash, cash equivalents and restricted cash presented in the consolidated statements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6"/>
        </w:trPr>
        <w:tc>
          <w:tcPr>
            <w:tcW w:w="8240" w:type="dxa"/>
            <w:vAlign w:val="bottom"/>
          </w:tcPr>
          <w:p>
            <w:pPr>
              <w:jc w:val="right"/>
              <w:ind w:right="83"/>
              <w:spacing w:after="0"/>
              <w:rPr>
                <w:sz w:val="20"/>
                <w:szCs w:val="20"/>
                <w:color w:val="auto"/>
              </w:rPr>
            </w:pPr>
            <w:r>
              <w:rPr>
                <w:rFonts w:ascii="Times New Roman" w:cs="Times New Roman" w:eastAsia="Times New Roman" w:hAnsi="Times New Roman"/>
                <w:sz w:val="20"/>
                <w:szCs w:val="20"/>
                <w:b w:val="1"/>
                <w:bCs w:val="1"/>
                <w:color w:val="auto"/>
                <w:w w:val="98"/>
              </w:rPr>
              <w:t xml:space="preserve">of cash flows </w:t>
            </w:r>
            <w:r>
              <w:rPr>
                <w:rFonts w:ascii="Times New Roman" w:cs="Times New Roman" w:eastAsia="Times New Roman" w:hAnsi="Times New Roman"/>
                <w:sz w:val="20"/>
                <w:szCs w:val="20"/>
                <w:color w:val="auto"/>
                <w:w w:val="98"/>
              </w:rPr>
              <w:t>. . . . . . . . . . . . . . . . . . . . . . . . . . . . . . . . . . . . . . . . . . . . . . . . . . . . . . . . . . . . . . . . . . . . . . .</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1,438</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1,226</w:t>
            </w:r>
          </w:p>
        </w:tc>
      </w:tr>
    </w:tbl>
    <w:p>
      <w:pPr>
        <w:spacing w:after="0" w:line="200" w:lineRule="exact"/>
        <w:rPr>
          <w:sz w:val="20"/>
          <w:szCs w:val="20"/>
          <w:color w:val="auto"/>
        </w:rPr>
      </w:pP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1880" w:h="15480" w:orient="portrait"/>
          <w:cols w:equalWidth="0" w:num="1">
            <w:col w:w="10800"/>
          </w:cols>
          <w:pgMar w:left="540" w:top="984" w:right="540" w:bottom="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Fair value measurement</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When determining fair value, the Company considers the principal or most advantageous market in which it would transact, as well as assumptions that market participants would use when pricing the asset or liability. The Company assesses fair value hierarchy levels for its financial assets based on the underlying financial instrument.</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Consistent with Accounting Standards Codification (“ASC”) 820, Fair Value Measurement, the Company follows a three-tier fair value hierarchy as a basis for considering the assumptions and for inputs used in the valuation methodologies in measuring fair value:</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Level 1: Quoted prices (unadjusted) in active markets that are accessible at the measurement date for identical assets or liabilities.</w:t>
      </w:r>
    </w:p>
    <w:p>
      <w:pPr>
        <w:spacing w:after="0"/>
        <w:rPr>
          <w:sz w:val="20"/>
          <w:szCs w:val="20"/>
          <w:color w:val="auto"/>
        </w:rPr>
      </w:pPr>
      <w:r>
        <w:rPr>
          <w:rFonts w:ascii="Times New Roman" w:cs="Times New Roman" w:eastAsia="Times New Roman" w:hAnsi="Times New Roman"/>
          <w:sz w:val="20"/>
          <w:szCs w:val="20"/>
          <w:color w:val="auto"/>
        </w:rPr>
        <w:t>The fair value hierarchy gives the highest priority to Level 1 inputs.</w:t>
      </w:r>
    </w:p>
    <w:p>
      <w:pPr>
        <w:spacing w:after="0" w:line="23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Level 2: Observable prices that are based on inputs not quoted on active markets but are corroborated by market data or active market data for similar, but not identical assets or liabilities.</w:t>
      </w:r>
    </w:p>
    <w:p>
      <w:pPr>
        <w:spacing w:after="0" w:line="16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Level 3: Unobservable inputs are used when little or no market data is available. The Company monitors and reviews the inputs and results of these valuation models to help ensure the fair value measurements are reasonable and consistent with market experience in similar asset classes. The fair value hierarchy gives the lowest priority to Level 3 inputs.</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In determining fair value, the Company utilizes valuation techniques that maximize the use of observable inputs and minimize the use of unobservable inputs to the extent possible and if applicable considers credit risk in its assessment of fair value.</w:t>
      </w:r>
    </w:p>
    <w:p>
      <w:pPr>
        <w:spacing w:after="0" w:line="16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carrying value of short term deposits classified as cash equivalents approximates their fair value due to the short maturity of these items.</w:t>
      </w:r>
    </w:p>
    <w:p>
      <w:pPr>
        <w:spacing w:after="0" w:line="16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Company’s investment in money market funds are measured at fair value within Level 1 of the fair value hierarchy because they consist of financial assets for which quoted prices are available in an active market. Interest income related to money market funds for the years ended December 28, 2024, and December 30, 2023 amounted to $47 million and $46 million, respectively.</w:t>
      </w:r>
    </w:p>
    <w:p>
      <w:pPr>
        <w:spacing w:after="0" w:line="186"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Company’s investment in U.S. government bonds is measured at fair value within Level 1 of the fair value hierarchy because they consist of U.S. government bonds for which quoted prices are available in an active market.</w:t>
      </w:r>
    </w:p>
    <w:p>
      <w:pPr>
        <w:spacing w:after="0" w:line="16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Company’s marketable equity investments are measured at fair value within Level 1 of the fair value hierarchy because they consist of investments in marketable equity securities for which quoted prices are available in an active market.</w:t>
      </w:r>
    </w:p>
    <w:p>
      <w:pPr>
        <w:spacing w:after="0" w:line="16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Company’s derivative instruments designated as hedging instruments, are measured at fair value within Level 2 of the fair value hierarchy.</w:t>
      </w:r>
    </w:p>
    <w:p>
      <w:pPr>
        <w:spacing w:after="0" w:line="16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carrying amounts of trade accounts receivable and accounts payable approximate fair value because of their generally short maturities.</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Inventories</w:t>
      </w:r>
    </w:p>
    <w:p>
      <w:pPr>
        <w:spacing w:after="0" w:line="24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Inventories are stated at the lower of cost and net realizable value. The Company computes inventory cost on an average cost basis and adjusts for excess and obsolete inventories primarily based on future demand and market conditions, including product-specific facts and circumstances which considers the Company’s customer base and an assessment of selling price in relation to product cost. Once written-down, a new lower cost basis for that inventory is established.</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Property and equipment, net</w:t>
      </w:r>
    </w:p>
    <w:p>
      <w:pPr>
        <w:spacing w:after="0" w:line="24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Property and equipment are stated at cost, less accumulated depreciation. Property and equipment are depreciated on a straight-line basis over their estimated useful lives.</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1880" w:h="15480" w:orient="portrait"/>
          <w:cols w:equalWidth="0" w:num="1">
            <w:col w:w="10800"/>
          </w:cols>
          <w:pgMar w:left="540" w:top="984" w:right="540" w:bottom="0" w:gutter="0" w:footer="0" w:header="0"/>
          <w:type w:val="continuous"/>
        </w:sectPr>
      </w:pPr>
    </w:p>
    <w:bookmarkStart w:id="110" w:name="page111"/>
    <w:bookmarkEnd w:id="110"/>
    <w:p>
      <w:pPr>
        <w:ind w:left="4160"/>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ind w:left="27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estimated useful lives per asset type are as follows:</w:t>
      </w:r>
    </w:p>
    <w:p>
      <w:pPr>
        <w:spacing w:after="0" w:line="251"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6"/>
          <w:szCs w:val="16"/>
          <w:b w:val="1"/>
          <w:bCs w:val="1"/>
          <w:color w:val="auto"/>
        </w:rPr>
        <w:t>Years</w:t>
      </w:r>
    </w:p>
    <w:p>
      <w:pPr>
        <w:spacing w:after="0" w:line="9" w:lineRule="exact"/>
        <w:rPr>
          <w:sz w:val="20"/>
          <w:szCs w:val="20"/>
          <w:color w:val="auto"/>
        </w:rPr>
      </w:pPr>
    </w:p>
    <w:p>
      <w:pPr>
        <w:spacing w:after="0"/>
        <w:tabs>
          <w:tab w:leader="none" w:pos="10140" w:val="left"/>
        </w:tabs>
        <w:rPr>
          <w:sz w:val="20"/>
          <w:szCs w:val="20"/>
          <w:color w:val="auto"/>
        </w:rPr>
      </w:pPr>
      <w:r>
        <w:rPr>
          <w:rFonts w:ascii="Times New Roman" w:cs="Times New Roman" w:eastAsia="Times New Roman" w:hAnsi="Times New Roman"/>
          <w:sz w:val="20"/>
          <w:szCs w:val="20"/>
          <w:color w:val="auto"/>
        </w:rPr>
        <w:t>Computers, electronic equipment and software . . . . . . . . . . . . . . . . . . . . . . . . . . . . . . . . . . . . . . . . . . . . . . . . . . . . . . . . . . .</w:t>
      </w:r>
      <w:r>
        <w:rPr>
          <w:sz w:val="20"/>
          <w:szCs w:val="20"/>
          <w:color w:val="auto"/>
        </w:rPr>
        <w:tab/>
      </w:r>
      <w:r>
        <w:rPr>
          <w:rFonts w:ascii="Times New Roman" w:cs="Times New Roman" w:eastAsia="Times New Roman" w:hAnsi="Times New Roman"/>
          <w:sz w:val="19"/>
          <w:szCs w:val="19"/>
          <w:color w:val="auto"/>
        </w:rPr>
        <w:t>3-7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6214745</wp:posOffset>
                </wp:positionH>
                <wp:positionV relativeFrom="paragraph">
                  <wp:posOffset>-135255</wp:posOffset>
                </wp:positionV>
                <wp:extent cx="64325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325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9.35pt,-10.6499pt" to="540pt,-10.6499pt" o:allowincell="f" strokecolor="#000000" strokeweight="0.4809pt"/>
            </w:pict>
          </mc:Fallback>
        </mc:AlternateContent>
      </w:r>
    </w:p>
    <w:p>
      <w:pPr>
        <w:spacing w:after="0"/>
        <w:tabs>
          <w:tab w:leader="none" w:pos="10220" w:val="left"/>
        </w:tabs>
        <w:rPr>
          <w:sz w:val="20"/>
          <w:szCs w:val="20"/>
          <w:color w:val="auto"/>
        </w:rPr>
      </w:pPr>
      <w:r>
        <w:rPr>
          <w:rFonts w:ascii="Times New Roman" w:cs="Times New Roman" w:eastAsia="Times New Roman" w:hAnsi="Times New Roman"/>
          <w:sz w:val="20"/>
          <w:szCs w:val="20"/>
          <w:color w:val="auto"/>
        </w:rPr>
        <w:t>Vehicles . .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w:t>
      </w:r>
    </w:p>
    <w:p>
      <w:pPr>
        <w:spacing w:after="0"/>
        <w:tabs>
          <w:tab w:leader="none" w:pos="10180" w:val="left"/>
        </w:tabs>
        <w:rPr>
          <w:sz w:val="20"/>
          <w:szCs w:val="20"/>
          <w:color w:val="auto"/>
        </w:rPr>
      </w:pPr>
      <w:r>
        <w:rPr>
          <w:rFonts w:ascii="Times New Roman" w:cs="Times New Roman" w:eastAsia="Times New Roman" w:hAnsi="Times New Roman"/>
          <w:sz w:val="20"/>
          <w:szCs w:val="20"/>
          <w:color w:val="auto"/>
        </w:rPr>
        <w:t>Office furniture and equipment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14</w:t>
      </w:r>
    </w:p>
    <w:p>
      <w:pPr>
        <w:spacing w:after="0" w:line="2" w:lineRule="exact"/>
        <w:rPr>
          <w:sz w:val="20"/>
          <w:szCs w:val="20"/>
          <w:color w:val="auto"/>
        </w:rPr>
      </w:pPr>
    </w:p>
    <w:p>
      <w:pPr>
        <w:spacing w:after="0"/>
        <w:tabs>
          <w:tab w:leader="none" w:pos="10000" w:val="left"/>
        </w:tabs>
        <w:rPr>
          <w:sz w:val="20"/>
          <w:szCs w:val="20"/>
          <w:color w:val="auto"/>
        </w:rPr>
      </w:pPr>
      <w:r>
        <w:rPr>
          <w:rFonts w:ascii="Times New Roman" w:cs="Times New Roman" w:eastAsia="Times New Roman" w:hAnsi="Times New Roman"/>
          <w:sz w:val="20"/>
          <w:szCs w:val="20"/>
          <w:color w:val="auto"/>
        </w:rPr>
        <w:t>Buildings . . . . . . . . . . . . . . . . . . . . . . .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10 - 25</w:t>
      </w:r>
    </w:p>
    <w:p>
      <w:pPr>
        <w:spacing w:after="0" w:line="231"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Leasehold improvements are amortized by the straight-line method over the shorter of the term of the lease and estimated useful life of the improvements.</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Assets in construction are not depreciated until they are available for their intended use.</w:t>
      </w:r>
    </w:p>
    <w:p>
      <w:pPr>
        <w:spacing w:after="0" w:line="2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242"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The Company performs an annual impairment assessment of goodwill at the reporting unit level in the fourth quarter of each year, or more frequently if indicators of potential impairment exist. The analysis may include both qualitative and quantitative factors to assess the likelihood of impairment. In accordance with ASC 350, the Company initially assesses qualitative factors to determine whether the existence of events or circumstances indicate that it is more likely than not that the fair value of a reporting unit is less than its carrying amount. Qualitative factors include industry and market considerations, overall financial performance, and other relevant events and factors affecting the reporting unit. If the Company determines, based on this assessment, that it is more likely than not that the fair value of the reporting unit is less than its carrying amount, it performs a quantitative goodwill impairment test by comparing the reporting unit’s fair value with its carrying amount. An impairment loss is recognized for the amount by which the reporting unit’s carrying amount exceeds its fair value.</w:t>
      </w:r>
    </w:p>
    <w:p>
      <w:pPr>
        <w:spacing w:after="0" w:line="19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Company’s quantitative impairment test may consider both the income approach and the market approach to estimate a reporting unit’s fair value. Significant estimates for the income approach include financial projections, terminal growth rate, and discount rate based on a reporting unit’s weighted average cost of capital. The estimated fair value using a market approach is based on a number of assumptions, including current market capitalization as corroboration of fair value.</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Forecasts and estimates are based on assumptions that are consistent with the plans and estimates used to manage the business.</w:t>
      </w:r>
    </w:p>
    <w:p>
      <w:pPr>
        <w:spacing w:after="0"/>
        <w:rPr>
          <w:sz w:val="20"/>
          <w:szCs w:val="20"/>
          <w:color w:val="auto"/>
        </w:rPr>
      </w:pPr>
      <w:r>
        <w:rPr>
          <w:rFonts w:ascii="Times New Roman" w:cs="Times New Roman" w:eastAsia="Times New Roman" w:hAnsi="Times New Roman"/>
          <w:sz w:val="20"/>
          <w:szCs w:val="20"/>
          <w:color w:val="auto"/>
        </w:rPr>
        <w:t>Changes in these estimates could change the conclusion regarding an impairment of goodwill.</w:t>
      </w:r>
    </w:p>
    <w:p>
      <w:pPr>
        <w:spacing w:after="0" w:line="23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A non-cash goodwill impairment loss of $2,695 million ($2,613 million, net of tax), was recognized for the Mobileye reporting unit in the third quarter of 2024, for further detail see Note 10 of the Notes to Consolidated Financial Statements.</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Intangible assets, net</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amortizes acquisition-related intangible assets that are subject to amortization over their estimated useful life.</w:t>
      </w:r>
    </w:p>
    <w:p>
      <w:pPr>
        <w:spacing w:after="0" w:line="24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Company performs an annual review of significant finite-lived identified intangible assets to determine whether facts and circumstances indicate that the carrying amount may not be recoverable. These reviews can be affected by various factors, including external factors such as industry and economic trends, and internal factors such as changes in the Company’s business strategy and its forecasts for specific product lines. The Company did not record any impairment of intangible assets for any of the periods presented.</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Impairment of long-lived assets</w:t>
      </w:r>
    </w:p>
    <w:p>
      <w:pPr>
        <w:spacing w:after="0" w:line="242" w:lineRule="exact"/>
        <w:rPr>
          <w:sz w:val="20"/>
          <w:szCs w:val="20"/>
          <w:color w:val="auto"/>
        </w:rPr>
      </w:pPr>
    </w:p>
    <w:p>
      <w:pPr>
        <w:jc w:val="both"/>
        <w:ind w:firstLine="361"/>
        <w:spacing w:after="0" w:line="248" w:lineRule="auto"/>
        <w:rPr>
          <w:sz w:val="20"/>
          <w:szCs w:val="20"/>
          <w:color w:val="auto"/>
        </w:rPr>
      </w:pPr>
      <w:r>
        <w:rPr>
          <w:rFonts w:ascii="Times New Roman" w:cs="Times New Roman" w:eastAsia="Times New Roman" w:hAnsi="Times New Roman"/>
          <w:sz w:val="20"/>
          <w:szCs w:val="20"/>
          <w:color w:val="auto"/>
        </w:rPr>
        <w:t>Long-lived assets held and used by the Company are reviewed for impairment whenever events or changes in circumstances indicate that the carrying amount of the assets may not be recoverable. Assets are categorized and evaluated for impairment at the lowest level of identifiable cash flows. In the event that the sum of the expected future undiscounted cash flows expected to be generated by the long-lived assets is less than the carrying amount of such assets, an impairment charge would be recognized and the assets would be written down to their estimated fair values. The Company did not record any impairment of long-lived assets for any of the periods presented.</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1880" w:h="15480" w:orient="portrait"/>
          <w:cols w:equalWidth="0" w:num="1">
            <w:col w:w="10800"/>
          </w:cols>
          <w:pgMar w:left="540" w:top="984" w:right="540" w:bottom="0"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Research and development, net</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Research and development costs are expensed as incurred, and consist primarily of personnel, facilities, equipment, and supplies for research and development activities.</w:t>
      </w:r>
    </w:p>
    <w:p>
      <w:pPr>
        <w:spacing w:after="0" w:line="164"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Company follows the provisions of ASC 985, Accounting for the Costs of Computer Software to Be Sold, Leased, or Otherwise Marketed, which requires that software development costs incurred in conjunction with development be charged to research and development expenses until technological feasibility is established. The technological feasibility is established upon completion of a working model. The costs incurred by the Company between technological feasibility and general release to the public have been insignificant. Accordingly, all research and development costs have been expensed as incurred.</w:t>
      </w:r>
    </w:p>
    <w:p>
      <w:pPr>
        <w:spacing w:after="0" w:line="192"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Company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9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 xml:space="preserve">Participation in expenses for research and development projects are recognized on the basis of the costs incurred and are netted against research and development expenses in the consolidated statements of operations and comprehensive income (loss). Research and development reimbursements of </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$91 million, $89 million, and $58 million were offset against research and development costs in the years ended December 28, 2024, December 30, 2023, and December 31, 2022, respectively.</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Derivatives and hedging</w:t>
      </w:r>
    </w:p>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Intel’s hedging program</w:t>
      </w:r>
    </w:p>
    <w:p>
      <w:pPr>
        <w:spacing w:after="0" w:line="237"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Beginning in 2021, as part of Intel’s corporate hedging program, Intel is hedging forecasted cash flows denominated in Israeli Shekel (“ILS”) related to the Company. ILS is the largest operating expense currency of the Company. Intel combines all of its ILS exposures, and as part of Intel’s hedging program enters into hedging contracts to hedge Intel’s combined ILS exposure. Derivative gains and losses attributed to these consolidated financial statements were recorded under accumulated other comprehensive income and reclassified into earnings in the same period or periods during which the hedged transaction affected the statement of operations.</w:t>
      </w:r>
    </w:p>
    <w:p>
      <w:pPr>
        <w:spacing w:after="0" w:line="192"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During the fourth quarter of 2022, the Company de- designated its remaining cash flow hedges for forecasted operating expenses denominated in ILS and will no longer participate in the hedging services agreement with Intel. As the hedged transactions and cash flows related to the outstanding instruments were expected to occur as originally forecasted, the associated gains and losses deferred in accumulated other comprehensive income (loss) on the Company’s consolidated balance sheet were reclassified into earnings in the same period or periods during which the originally hedged transactions affected earnings. Any subsequent changes in the fair value of the outstanding derivative instruments after the de-designation and termination of hedge accounting, were immediately reflected in operating expenses. As of December 30, 2023, there were no outstanding hedging instruments and all of the related accumulated other comprehensive income (loss) was reclassified into the statement of operations and comprehensive income (loss).</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1880" w:h="15480" w:orient="portrait"/>
          <w:cols w:equalWidth="0" w:num="1">
            <w:col w:w="10800"/>
          </w:cols>
          <w:pgMar w:left="540" w:top="984" w:right="540" w:bottom="0"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Mobileye’s hedging program</w:t>
      </w:r>
    </w:p>
    <w:p>
      <w:pPr>
        <w:spacing w:after="0" w:line="236"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During the fourth quarter of 2024 the Company initiated a foreign currency cash flow hedging program, designed to hedge the Company’s foreign exchange rate risk, resulting from ILS payroll expenses. The Company hedges portions of its forecasted payroll payments denominated in ILS for a period of up to 12 months, using forward contracts that are designated as cash flow hedges, as defined by ASC 815. These derivative instruments are measured at fair value within Level 2 of the fair value hierarchy. Derivative instruments are recorded as other current assets or other current liabilities, according to the timing of the cash flows. For these derivative instruments, designated as a cash flow hedge, gains and losses are reported as a component of other comprehensive income (loss) and reclassified into earnings in the same line item associated with the hedged transaction and in the same period or periods during which the hedged transaction affects the statement of operations. As of December 28, 2024, the Company expects to reclassify all of its unrealized gains and losses from accumulated other comprehensive income to earnings during the next twelve months. The cash flows associated with these derivatives are classified in the consolidated statements of cash flows consistently with the classification of the underlying hedged transaction, within cash flows from operating activities.</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notional amount and fair value of outstanding derivatives at the end of each period were: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1"/>
              </w:rPr>
              <w:t>As of</w:t>
            </w:r>
          </w:p>
        </w:tc>
        <w:tc>
          <w:tcPr>
            <w:tcW w:w="1300" w:type="dxa"/>
            <w:vAlign w:val="bottom"/>
            <w:tcBorders>
              <w:bottom w:val="single" w:sz="8" w:color="auto"/>
            </w:tcBorders>
          </w:tcPr>
          <w:p>
            <w:pPr>
              <w:spacing w:after="0"/>
              <w:rPr>
                <w:sz w:val="17"/>
                <w:szCs w:val="17"/>
                <w:color w:val="auto"/>
              </w:rPr>
            </w:pPr>
          </w:p>
        </w:tc>
      </w:tr>
      <w:tr>
        <w:trPr>
          <w:trHeight w:val="155"/>
        </w:trPr>
        <w:tc>
          <w:tcPr>
            <w:tcW w:w="7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ind w:right="130"/>
              <w:spacing w:after="0" w:line="15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10"/>
              <w:spacing w:after="0" w:line="155"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193"/>
        </w:trPr>
        <w:tc>
          <w:tcPr>
            <w:tcW w:w="7580" w:type="dxa"/>
            <w:vAlign w:val="bottom"/>
          </w:tcPr>
          <w:p>
            <w:pPr>
              <w:jc w:val="right"/>
              <w:ind w:right="5947"/>
              <w:spacing w:after="0"/>
              <w:rPr>
                <w:sz w:val="20"/>
                <w:szCs w:val="20"/>
                <w:color w:val="auto"/>
              </w:rPr>
            </w:pPr>
            <w:r>
              <w:rPr>
                <w:rFonts w:ascii="Times New Roman" w:cs="Times New Roman" w:eastAsia="Times New Roman" w:hAnsi="Times New Roman"/>
                <w:sz w:val="16"/>
                <w:szCs w:val="16"/>
                <w:b w:val="1"/>
                <w:bCs w:val="1"/>
                <w:color w:val="auto"/>
                <w:w w:val="97"/>
              </w:rPr>
              <w:t>U.S. dollars in millions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7580" w:type="dxa"/>
            <w:vAlign w:val="bottom"/>
          </w:tcPr>
          <w:p>
            <w:pPr>
              <w:jc w:val="right"/>
              <w:ind w:right="187"/>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.Notionalamountofforeigncurrencycontracts</w:t>
            </w:r>
          </w:p>
        </w:tc>
        <w:tc>
          <w:tcPr>
            <w:tcW w:w="1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214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ind w:left="1040"/>
              <w:spacing w:after="0" w:line="209" w:lineRule="exact"/>
              <w:rPr>
                <w:sz w:val="20"/>
                <w:szCs w:val="20"/>
                <w:color w:val="auto"/>
              </w:rPr>
            </w:pPr>
            <w:r>
              <w:rPr>
                <w:rFonts w:ascii="Times New Roman" w:cs="Times New Roman" w:eastAsia="Times New Roman" w:hAnsi="Times New Roman"/>
                <w:sz w:val="20"/>
                <w:szCs w:val="20"/>
                <w:color w:val="auto"/>
              </w:rPr>
              <w:t>—</w:t>
            </w:r>
          </w:p>
        </w:tc>
      </w:tr>
      <w:tr>
        <w:trPr>
          <w:trHeight w:val="268"/>
        </w:trPr>
        <w:tc>
          <w:tcPr>
            <w:tcW w:w="7580" w:type="dxa"/>
            <w:vAlign w:val="bottom"/>
          </w:tcPr>
          <w:p>
            <w:pPr>
              <w:jc w:val="right"/>
              <w:ind w:right="187"/>
              <w:spacing w:after="0"/>
              <w:rPr>
                <w:sz w:val="20"/>
                <w:szCs w:val="20"/>
                <w:color w:val="auto"/>
              </w:rPr>
            </w:pPr>
            <w:r>
              <w:rPr>
                <w:rFonts w:ascii="Times New Roman" w:cs="Times New Roman" w:eastAsia="Times New Roman" w:hAnsi="Times New Roman"/>
                <w:sz w:val="20"/>
                <w:szCs w:val="20"/>
                <w:color w:val="auto"/>
                <w:w w:val="97"/>
              </w:rPr>
              <w:t>Fair value of foreign currency contracts . . . . . . . . . . . . . . . . . . . .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r>
    </w:tbl>
    <w:p>
      <w:pPr>
        <w:spacing w:after="0" w:line="191"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The change in accumulated other comprehensive income (loss) relating to gains (losses) on derivatives used for hedging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67"/>
        </w:trPr>
        <w:tc>
          <w:tcPr>
            <w:tcW w:w="6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27"/>
              <w:spacing w:after="0" w:line="167"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380"/>
              <w:spacing w:after="0" w:line="167" w:lineRule="exact"/>
              <w:rPr>
                <w:sz w:val="20"/>
                <w:szCs w:val="20"/>
                <w:color w:val="auto"/>
              </w:rPr>
            </w:pPr>
            <w:r>
              <w:rPr>
                <w:rFonts w:ascii="Times New Roman" w:cs="Times New Roman" w:eastAsia="Times New Roman" w:hAnsi="Times New Roman"/>
                <w:sz w:val="16"/>
                <w:szCs w:val="16"/>
                <w:b w:val="1"/>
                <w:bCs w:val="1"/>
                <w:color w:val="auto"/>
                <w:w w:val="98"/>
              </w:rPr>
              <w:t>December 30,</w:t>
            </w:r>
          </w:p>
        </w:tc>
        <w:tc>
          <w:tcPr>
            <w:tcW w:w="120" w:type="dxa"/>
            <w:vAlign w:val="bottom"/>
          </w:tcPr>
          <w:p>
            <w:pPr>
              <w:spacing w:after="0"/>
              <w:rPr>
                <w:sz w:val="14"/>
                <w:szCs w:val="14"/>
                <w:color w:val="auto"/>
              </w:rPr>
            </w:pPr>
          </w:p>
        </w:tc>
        <w:tc>
          <w:tcPr>
            <w:tcW w:w="1140" w:type="dxa"/>
            <w:vAlign w:val="bottom"/>
          </w:tcPr>
          <w:p>
            <w:pPr>
              <w:jc w:val="right"/>
              <w:ind w:right="87"/>
              <w:spacing w:after="0" w:line="167"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4"/>
                <w:szCs w:val="14"/>
                <w:color w:val="auto"/>
              </w:rPr>
            </w:pPr>
          </w:p>
        </w:tc>
      </w:tr>
      <w:tr>
        <w:trPr>
          <w:trHeight w:val="194"/>
        </w:trPr>
        <w:tc>
          <w:tcPr>
            <w:tcW w:w="6500" w:type="dxa"/>
            <w:vAlign w:val="bottom"/>
          </w:tcPr>
          <w:p>
            <w:pPr>
              <w:jc w:val="right"/>
              <w:ind w:right="4844"/>
              <w:spacing w:after="0"/>
              <w:rPr>
                <w:sz w:val="20"/>
                <w:szCs w:val="20"/>
                <w:color w:val="auto"/>
              </w:rPr>
            </w:pPr>
            <w:r>
              <w:rPr>
                <w:rFonts w:ascii="Times New Roman" w:cs="Times New Roman" w:eastAsia="Times New Roman" w:hAnsi="Times New Roman"/>
                <w:sz w:val="16"/>
                <w:szCs w:val="16"/>
                <w:b w:val="1"/>
                <w:bCs w:val="1"/>
                <w:color w:val="auto"/>
                <w:w w:val="99"/>
              </w:rPr>
              <w:t>U.S. dollars in millions</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6"/>
                <w:szCs w:val="16"/>
                <w:color w:val="auto"/>
              </w:rPr>
            </w:pPr>
          </w:p>
        </w:tc>
      </w:tr>
      <w:tr>
        <w:trPr>
          <w:trHeight w:val="210"/>
        </w:trPr>
        <w:tc>
          <w:tcPr>
            <w:tcW w:w="6500" w:type="dxa"/>
            <w:vAlign w:val="bottom"/>
          </w:tcPr>
          <w:p>
            <w:pPr>
              <w:jc w:val="right"/>
              <w:ind w:right="164"/>
              <w:spacing w:after="0" w:line="210" w:lineRule="exact"/>
              <w:rPr>
                <w:sz w:val="20"/>
                <w:szCs w:val="20"/>
                <w:color w:val="auto"/>
              </w:rPr>
            </w:pPr>
            <w:r>
              <w:rPr>
                <w:rFonts w:ascii="Times New Roman" w:cs="Times New Roman" w:eastAsia="Times New Roman" w:hAnsi="Times New Roman"/>
                <w:sz w:val="20"/>
                <w:szCs w:val="20"/>
                <w:color w:val="auto"/>
              </w:rPr>
              <w:t>. . . . . . . . . . . . . . . .Othercomprehensiveincome(loss)beforereclassifications</w:t>
            </w:r>
          </w:p>
        </w:tc>
        <w:tc>
          <w:tcPr>
            <w:tcW w:w="1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2</w:t>
            </w:r>
          </w:p>
        </w:tc>
        <w:tc>
          <w:tcPr>
            <w:tcW w:w="200" w:type="dxa"/>
            <w:vAlign w:val="bottom"/>
          </w:tcPr>
          <w:p>
            <w:pPr>
              <w:spacing w:after="0"/>
              <w:rPr>
                <w:sz w:val="18"/>
                <w:szCs w:val="18"/>
                <w:color w:val="auto"/>
              </w:rPr>
            </w:pPr>
          </w:p>
        </w:tc>
        <w:tc>
          <w:tcPr>
            <w:tcW w:w="1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8"/>
                <w:szCs w:val="18"/>
                <w:color w:val="auto"/>
              </w:rPr>
            </w:pPr>
          </w:p>
        </w:tc>
        <w:tc>
          <w:tcPr>
            <w:tcW w:w="1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(33)</w:t>
            </w:r>
          </w:p>
        </w:tc>
        <w:tc>
          <w:tcPr>
            <w:tcW w:w="20" w:type="dxa"/>
            <w:vAlign w:val="bottom"/>
          </w:tcPr>
          <w:p>
            <w:pPr>
              <w:spacing w:after="0"/>
              <w:rPr>
                <w:sz w:val="18"/>
                <w:szCs w:val="18"/>
                <w:color w:val="auto"/>
              </w:rPr>
            </w:pPr>
          </w:p>
        </w:tc>
      </w:tr>
      <w:tr>
        <w:trPr>
          <w:trHeight w:val="230"/>
        </w:trPr>
        <w:tc>
          <w:tcPr>
            <w:tcW w:w="650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w w:val="93"/>
              </w:rPr>
              <w:t>Amounts reclassified out of accumulated other comprehensive (income) loss * . . . .</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20"/>
                <w:szCs w:val="20"/>
                <w:color w:val="auto"/>
              </w:rPr>
            </w:pPr>
          </w:p>
        </w:tc>
      </w:tr>
      <w:tr>
        <w:trPr>
          <w:trHeight w:val="242"/>
        </w:trPr>
        <w:tc>
          <w:tcPr>
            <w:tcW w:w="650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w w:val="96"/>
              </w:rPr>
              <w:t>Tax effects. . . . . . . . . . . . . . . . . . . . . . . . . . . . . . . . . . . . . . . . . . . . . . . . . . . . . . . .</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1"/>
                <w:szCs w:val="21"/>
                <w:color w:val="auto"/>
              </w:rPr>
            </w:pPr>
          </w:p>
        </w:tc>
      </w:tr>
      <w:tr>
        <w:trPr>
          <w:trHeight w:val="276"/>
        </w:trPr>
        <w:tc>
          <w:tcPr>
            <w:tcW w:w="6500" w:type="dxa"/>
            <w:vAlign w:val="bottom"/>
          </w:tcPr>
          <w:p>
            <w:pPr>
              <w:jc w:val="right"/>
              <w:ind w:right="164"/>
              <w:spacing w:after="0"/>
              <w:rPr>
                <w:sz w:val="20"/>
                <w:szCs w:val="20"/>
                <w:color w:val="auto"/>
              </w:rPr>
            </w:pPr>
            <w:r>
              <w:rPr>
                <w:rFonts w:ascii="Times New Roman" w:cs="Times New Roman" w:eastAsia="Times New Roman" w:hAnsi="Times New Roman"/>
                <w:sz w:val="20"/>
                <w:szCs w:val="20"/>
                <w:color w:val="auto"/>
              </w:rPr>
              <w:t>. . . . . . . . . . . . . . . . . . . . . . . . . . . . . .</w:t>
            </w:r>
            <w:r>
              <w:rPr>
                <w:rFonts w:ascii="Times New Roman" w:cs="Times New Roman" w:eastAsia="Times New Roman" w:hAnsi="Times New Roman"/>
                <w:sz w:val="20"/>
                <w:szCs w:val="20"/>
                <w:b w:val="1"/>
                <w:bCs w:val="1"/>
                <w:color w:val="auto"/>
              </w:rPr>
              <w:t>Othercomprehensiveincome(loss),net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w:t>
            </w:r>
          </w:p>
        </w:tc>
        <w:tc>
          <w:tcPr>
            <w:tcW w:w="200" w:type="dxa"/>
            <w:vAlign w:val="bottom"/>
          </w:tcPr>
          <w:p>
            <w:pPr>
              <w:spacing w:after="0"/>
              <w:rPr>
                <w:sz w:val="23"/>
                <w:szCs w:val="2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w:t>
            </w:r>
          </w:p>
        </w:tc>
        <w:tc>
          <w:tcPr>
            <w:tcW w:w="200" w:type="dxa"/>
            <w:vAlign w:val="bottom"/>
          </w:tcPr>
          <w:p>
            <w:pPr>
              <w:spacing w:after="0"/>
              <w:rPr>
                <w:sz w:val="23"/>
                <w:szCs w:val="2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121920</wp:posOffset>
                </wp:positionV>
                <wp:extent cx="171386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9.6pt" to="134.9pt,9.6pt" o:allowincell="f" strokecolor="#000000" strokeweight="1.0199pt"/>
            </w:pict>
          </mc:Fallback>
        </mc:AlternateContent>
      </w:r>
    </w:p>
    <w:p>
      <w:pPr>
        <w:spacing w:after="0" w:line="214" w:lineRule="exact"/>
        <w:rPr>
          <w:sz w:val="20"/>
          <w:szCs w:val="20"/>
          <w:color w:val="auto"/>
        </w:rPr>
      </w:pPr>
    </w:p>
    <w:p>
      <w:pPr>
        <w:spacing w:after="0" w:line="280" w:lineRule="auto"/>
        <w:tabs>
          <w:tab w:leader="none" w:pos="2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of gains (losses) reclassified from other comprehensive income into profit or loss are recorded in cost of revenue and operating expenses.</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44"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Company recognizes revenue when performance obligations are satisfied as evidenced by the transfer of control of the Company’s products or services to customers. Substantially all of the Company’s revenue is derived from product sales. In accordance with contract terms, revenue for product sales is recognized at the time of product shipment from the Company’s facilities, as determined by the agreed upon ‘ex-works’ shipping terms which specify that title and risks will pass to the customer upon delivery at the Company’s warehouse. Revenue for product sales to resellers and distributors is recognized at the time of delivery of products to the resellers and distributors.</w:t>
      </w:r>
    </w:p>
    <w:p>
      <w:pPr>
        <w:spacing w:after="0" w:line="193"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The Company measures revenue based on the amount of consideration the Company expects to be entitled to in exchange for products or services. Variable consideration is estimated and reflected as an adjustment to the transaction price. The Company determines variable consideration, which consists primarily of various volume rebates, by estimating the most likely amount of consideration the Company expects to receive from the customer. Volume rebates earned by customers are offset against their receivable balances. Rebates earned by customers when they do not have outstanding receivable balances are recorded within other current liabilities. Substantially all of the Company’s contracts do not include right of return or acceptance provisions. Revenue is recognized net of any taxes invoiced to customers, which are subsequently remitted to governmental authorities. Any shipping and handling costs related to the fulfillment of sales are included in cost of revenue.</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1880" w:h="15480" w:orient="portrait"/>
          <w:cols w:equalWidth="0" w:num="1">
            <w:col w:w="10800"/>
          </w:cols>
          <w:pgMar w:left="540" w:top="984" w:right="540" w:bottom="0"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Sales of the Company’s products regularly include warranties which provides the customer with assurance that the products delivered will perform in accordance with agreed-upon specifications. These standard warranties are assurance type warranties and do not offer any services in addition to the assurance that the product will continue working as specified. Therefore, the warranties are not considered separate performance obligations.</w:t>
      </w:r>
    </w:p>
    <w:p>
      <w:pPr>
        <w:spacing w:after="0" w:line="19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Company is generally the principal in a transaction and, therefore, primarily records revenue on a gross basis. When the Company is a principal in a transaction, it has determined that it controls the ability to direct the use of the product prior to transfer to a customer, is primarily responsible for fulfilling the promise to provide the product or service to the customer, has discretion in establishing prices, and ultimately controls the transfer of the product or services provided to the customer.</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Advertising expenses</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Advertising expenses are charged to sales and marketing on the consolidated statements of operations and comprehensive income (loss) as incurred. Advertising expenses for the years ended December 28, 2024, December 30, 2023, and December 31, 2022 amounted to $3 million, $4 million and $3 million, respectively.</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Share-based compensation</w:t>
      </w:r>
    </w:p>
    <w:p>
      <w:pPr>
        <w:spacing w:after="0" w:line="242"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Prior to the completion of the Mobileye IPO, the Company’s employees participated in Intel’s equity incentive plans and were granted options and restricted stock units (“RSUs”) on Intel’s common shares. In connection with the Mobileye IPO, the Company approved the Mobileye Global Inc. 2022 Equity Incentive Plan (the “2022 Plan”) which allows the compensation committee of the Company to make equity-based incentive awards to our employees, consultants and outside directors. Equity awards granted to employees are accounted for using the estimated grant date fair value. The Company estimates the fair value of employee stock options to purchase shares of Intel common stock with a service condition using an option pricing model at the date of grant and values RSUs based on the market value of the underlying share of Intel or Mobileye common stock (as applicable) at the date of grant. The Company recognizes share-based compensation expense for the value of its awards, which have graded vesting based on service conditions, using the straight-line method over the requisite service period of each of the awards, net of estimated forfeitures.</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4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provision for income tax consists of income taxes in the various jurisdictions where the Company is subject to taxation, primarily the United States and Israel.</w:t>
      </w:r>
    </w:p>
    <w:p>
      <w:pPr>
        <w:spacing w:after="0" w:line="163" w:lineRule="exact"/>
        <w:rPr>
          <w:sz w:val="20"/>
          <w:szCs w:val="20"/>
          <w:color w:val="auto"/>
        </w:rPr>
      </w:pPr>
    </w:p>
    <w:p>
      <w:pPr>
        <w:jc w:val="both"/>
        <w:ind w:firstLine="361"/>
        <w:spacing w:after="0" w:line="246" w:lineRule="auto"/>
        <w:rPr>
          <w:sz w:val="20"/>
          <w:szCs w:val="20"/>
          <w:color w:val="auto"/>
        </w:rPr>
      </w:pPr>
      <w:r>
        <w:rPr>
          <w:rFonts w:ascii="Times New Roman" w:cs="Times New Roman" w:eastAsia="Times New Roman" w:hAnsi="Times New Roman"/>
          <w:sz w:val="20"/>
          <w:szCs w:val="20"/>
          <w:color w:val="auto"/>
        </w:rPr>
        <w:t>The Company computes the provision for income taxes under the asset and liability method prescribed by the Financial Accounting Standards Board (“FASB”) Guidance ASC 740, Income Taxes, which requires the recognition of deferred tax assets and liabilities for the expected future tax consequences of events that have been included in these consolidated financial statements. Under this method, deferred tax assets and liabilities, resulting from temporary differences between the financial reporting and tax bases of assets and liabilities, are measured as of the balance sheet date using enacted tax rates expected to apply to taxable income in the years the temporary differences are expected to reverse. The effect of a change in tax rates on deferred tax assets and liabilities is recognized in income in the period that includes the enactment date.</w:t>
      </w:r>
    </w:p>
    <w:p>
      <w:pPr>
        <w:spacing w:after="0" w:line="199"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The realization of deferred tax assets depends upon the existence of sufficient taxable income, of appropriate character, within the carryback or carryforward periods under the tax law in the applicable tax jurisdiction. Valuation allowances are established when the Company determines, based on available information, that it is more likely than not that deferred tax assets will not be realized. Significant judgment is required in determining whether valuation allowances should be established, as well as the amount of such allowances.</w:t>
      </w:r>
    </w:p>
    <w:p>
      <w:pPr>
        <w:spacing w:after="0" w:line="193"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Company records accruals for uncertain tax positions when the Company believes that it is more likely than not that a tax position will not be sustained on examination by tax authorities based on the technical merits of the position. The Company adjusts these accruals when facts and circumstances change, such as the closing of a tax audit or the refinement of an estimate.</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1880" w:h="15480" w:orient="portrait"/>
          <w:cols w:equalWidth="0" w:num="1">
            <w:col w:w="10800"/>
          </w:cols>
          <w:pgMar w:left="540" w:top="984" w:right="540" w:bottom="0"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During the years presented in the consolidated financial statements, certain components of the Company’s business operations were included in the consolidated US domestic income tax return filed by the Company’s Parent. The Company also files various foreign income tax returns on a separate basis, distinct from its Parent. The income tax provision included in the Company’s consolidated financial statements has been calculated using the separate return method, as if the Company had filed its own tax returns.</w:t>
      </w:r>
    </w:p>
    <w:p>
      <w:pPr>
        <w:spacing w:after="0" w:line="173"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Company has entered into a Tax Sharing Agreement with its Parent that establishes the amount of cash payable for the Company’s share of the tax liability owed on consolidated tax return filings with its Parent. Any differences between taxes currently payable to the Company’s Parent under the Tax Sharing Agreement and the current tax provision computed on a separate return basis, is reflected as adjustments to additional paid-in capital in the consolidated statement of changes in equity and financing activities within the consolidated statement of cash flows. For additional information regarding the Tax Sharing Agreement, see Note 9 of the Notes to Consolidated Financial Statements.</w:t>
      </w:r>
    </w:p>
    <w:p>
      <w:pPr>
        <w:spacing w:after="0" w:line="19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19"/>
          <w:szCs w:val="19"/>
          <w:color w:val="auto"/>
        </w:rPr>
        <w:t>The Company presents tax loss and tax credit carry-forward attributes under the separate return method approach. Such tax attributes may not be benefited in the same period as the Company’s Parent on a consolidated tax return. As a result, there are inherent differences between the Company’s separate tax return method approach and certain actual tax returns filed on a consolidated basis with Intel.</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 xml:space="preserve">For further detail regarding income tax, refer to Note 8 </w:t>
      </w:r>
      <w:r>
        <w:rPr>
          <w:rFonts w:ascii="Times New Roman" w:cs="Times New Roman" w:eastAsia="Times New Roman" w:hAnsi="Times New Roman"/>
          <w:sz w:val="20"/>
          <w:szCs w:val="20"/>
          <w:i w:val="1"/>
          <w:iCs w:val="1"/>
          <w:color w:val="auto"/>
        </w:rPr>
        <w:t>Income Taxes.</w:t>
      </w:r>
    </w:p>
    <w:p>
      <w:pPr>
        <w:spacing w:after="0" w:line="2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Provision for warranties</w:t>
      </w:r>
    </w:p>
    <w:p>
      <w:pPr>
        <w:spacing w:after="0" w:line="242"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Company provides warranties for its products, which vary with respect to each contract and in accordance with the nature of each specific product. The warranty terms vary from one to three years, with the majority of the Company’s products being subject to a warranty period of one year. The Company estimates the costs that may be incurred under its warranty and records a liability in the amount of such costs at the time revenue is recognized. The Company periodically assesses the adequacy of its recorded warranty liabilities and adjusts the amounts as necessary.</w:t>
      </w:r>
    </w:p>
    <w:p>
      <w:pPr>
        <w:spacing w:after="0" w:line="19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Provision for warranties is included in other current liabilities on the consolidated balance sheets. Provision for warranties as of December 28, 2024 and December 30, 2023, as well as warranty expenses for the each of the years presented were not material.</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Loss contingencies</w:t>
      </w:r>
    </w:p>
    <w:p>
      <w:pPr>
        <w:spacing w:after="0" w:line="244"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Company is currently involved in commercial claims within the ordinary course of business. The Company reviews the status of each matter and assesses its potential financial exposure. If the potential loss from any claim or legal proceeding is considered probable and the loss can be reasonably estimated, the Company accrues a liability for the estimated loss. When accruing these costs, the Company recognizes an accrual for an amount within a range of loss that is the best estimate within the range. When no amount within the range is a better estimate than any other, the Company accrues for the minimum estimated loss within the range. The Company discloses contingencies when it believes that a loss is not probable, but reasonably possible.</w:t>
      </w:r>
    </w:p>
    <w:p>
      <w:pPr>
        <w:spacing w:after="0" w:line="19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Management believes that there are no current matters that would have a material effect on the Company’s consolidated balance sheets, statement of operations or cash flows. Legal fees are expensed as incurred.</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 accounts for leases in accordance with ASC 842, Leases, which requires lessees to recognize leases on the consolidated balance sheets and disclose key information about leasing arrangements.</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1880" w:h="15480" w:orient="portrait"/>
          <w:cols w:equalWidth="0" w:num="1">
            <w:col w:w="10800"/>
          </w:cols>
          <w:pgMar w:left="540" w:top="984" w:right="540" w:bottom="0"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ind w:firstLine="361"/>
        <w:spacing w:after="0" w:line="259" w:lineRule="auto"/>
        <w:rPr>
          <w:sz w:val="20"/>
          <w:szCs w:val="20"/>
          <w:color w:val="auto"/>
        </w:rPr>
      </w:pPr>
      <w:r>
        <w:rPr>
          <w:rFonts w:ascii="Times New Roman" w:cs="Times New Roman" w:eastAsia="Times New Roman" w:hAnsi="Times New Roman"/>
          <w:sz w:val="19"/>
          <w:szCs w:val="19"/>
          <w:color w:val="auto"/>
        </w:rPr>
        <w:t>Leases primarily consist of real estate property and vehicles and are classified as operating leases with fixed payment terms. Certain operating leases provide for annual increases to lease payments based on an index or a rate. The Company determines if an arrangement is a lease, or contains a lease, at inception and records the leases upon lease commencement, which is the date when the underlying asset is made available for use by the lessor. Right-of-use (“ROU”) assets represent the Company’s right to use an underlying asset for the lease term and lease liabilities represent the Company’s obligation to make lease payments arising from the lease. ROU assets and lease liabilities are included in other long-term assets, other current liabilities, and other long-term liabilities on the consolidated balance sheet. Lease expenses for the operating leases are recognized on a straight-line basis over the lease term and are included in operating expenses in the consolidated statements of operations and comprehensive income (loss). Options to extend or terminate the lease are taken into account when it is reasonably certain at the commencement date that such options will be exercised by the Company.</w:t>
      </w:r>
    </w:p>
    <w:p>
      <w:pPr>
        <w:spacing w:after="0" w:line="187"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Company elected to apply the short-term lease exemption for lease with a non-cancelable period of twelve months or less. Additionally, the Company has lease agreements with lease and non-lease components. The non-lease components are accounted for separately and not included in the leased assets and corresponding liabilities. On the commencement date, lease payments that include variable lease payments dependent on an index or a rate (such as the Consumer Price Index), are initially measured using the index or rate at the commencement date.</w:t>
      </w:r>
    </w:p>
    <w:p>
      <w:pPr>
        <w:spacing w:after="0" w:line="19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interest rate used to determine the present value of the future lease payments is the Company’s incremental borrowing rate because the interest rate implicit in most of its leases is not readily determinable.</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Earnings (loss) per share</w:t>
      </w:r>
    </w:p>
    <w:p>
      <w:pPr>
        <w:spacing w:after="0" w:line="244"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 xml:space="preserve">Basic earnings (loss) per share is computed by dividing net income (loss) for the period by the weighted-average number of common shares outstanding during the period. Undistributed earnings (loss) are allocated proportionally to Class A and Class B stockholders as both classes are entitled to share equally, on a per share basis, in dividends and other distributions. Diluted earnings (loss) per share is computed by dividing net income (loss) by the weighted-average number of common shares outstanding during the period, while giving effect to all potentially dilutive common shares to the extent they are dilutive. Potentially dilutive common shares result from the assumed vesting of RSUs under the 2022 Plan, using the “treasury stock” method. RSUs are not included in the computation of diluted earnings (loss) per share if the effect of their inclusion would have been anti-dilutive. Refer to Note 7 </w:t>
      </w:r>
      <w:r>
        <w:rPr>
          <w:rFonts w:ascii="Times New Roman" w:cs="Times New Roman" w:eastAsia="Times New Roman" w:hAnsi="Times New Roman"/>
          <w:sz w:val="20"/>
          <w:szCs w:val="20"/>
          <w:i w:val="1"/>
          <w:iCs w:val="1"/>
          <w:color w:val="auto"/>
        </w:rPr>
        <w:t>Earnings (Loss) per Share</w:t>
      </w:r>
      <w:r>
        <w:rPr>
          <w:rFonts w:ascii="Times New Roman" w:cs="Times New Roman" w:eastAsia="Times New Roman" w:hAnsi="Times New Roman"/>
          <w:sz w:val="20"/>
          <w:szCs w:val="20"/>
          <w:color w:val="auto"/>
        </w:rPr>
        <w:t xml:space="preserve"> as well as Note 6 </w:t>
      </w:r>
      <w:r>
        <w:rPr>
          <w:rFonts w:ascii="Times New Roman" w:cs="Times New Roman" w:eastAsia="Times New Roman" w:hAnsi="Times New Roman"/>
          <w:sz w:val="20"/>
          <w:szCs w:val="20"/>
          <w:i w:val="1"/>
          <w:iCs w:val="1"/>
          <w:color w:val="auto"/>
        </w:rPr>
        <w:t>Equity,</w:t>
      </w:r>
      <w:r>
        <w:rPr>
          <w:rFonts w:ascii="Times New Roman" w:cs="Times New Roman" w:eastAsia="Times New Roman" w:hAnsi="Times New Roman"/>
          <w:sz w:val="20"/>
          <w:szCs w:val="20"/>
          <w:color w:val="auto"/>
        </w:rPr>
        <w:t xml:space="preserve"> for further discussion on awards.</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Concentration of credit risk</w:t>
      </w:r>
    </w:p>
    <w:p>
      <w:pPr>
        <w:spacing w:after="0" w:line="24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a concentration of credit risk consist primarily of cash and cash equivalents, which include: short-term deposits, money market funds, U.S. government bonds, derivative financial instruments, and also trade accounts receivable.</w:t>
      </w:r>
    </w:p>
    <w:p>
      <w:pPr>
        <w:spacing w:after="0" w:line="184"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majority of the Company’s cash and cash equivalents are invested in banks domiciled in the U.S. and Europe, as well as in Israel. Generally, these cash equivalents may be redeemed upon demand. Short term bank deposits are held in the aforementioned banks. The money market funds consist of institutional investors money market funds and are readily redeemable to cash and the U.S. government bonds are also highly liquid. Derivative financial instruments are forward contracts entered into with major banks in Israel to hedge the Company’s foreign exchange rate risk. Accordingly, management believes that these bank deposits, money market funds, U.S. government bonds and derivative financial instruments have minimal credit risk.</w:t>
      </w:r>
    </w:p>
    <w:p>
      <w:pPr>
        <w:spacing w:after="0" w:line="194"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19"/>
          <w:szCs w:val="19"/>
          <w:color w:val="auto"/>
        </w:rPr>
        <w:t>The Company’s accounts receivable are derived primarily from sales to Tier 1 suppliers to the automotive manufacturing industry located mainly in the U.S., Europe, and China. Concentration of credit risk with respect to accounts receivable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1880" w:h="15480" w:orient="portrait"/>
          <w:cols w:equalWidth="0" w:num="1">
            <w:col w:w="10800"/>
          </w:cols>
          <w:pgMar w:left="540" w:top="984" w:right="540" w:bottom="0"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The Company performs ongoing credit evaluations of its customers and has not experienced any material losses in the periods presented. The Company recognizes an allowance for credit losses for any potential uncollectible amounts. The allowance is based on various factors, including historical experience, the age of the accounts receivable balances, credit quality of the customers, and other reasonable and supportable information. This allowance consists of an amount based on overall estimated exposure for the receivable portfolio and amounts identified for specific customers. Expected credit losses are recorded as general and administrative expenses in the Company’s consolidated statement of operations and comprehensive income. As of December 28, 2024 and December 30, 2023, the credit loss allowance for trade accounts receivable was not material. For each of the years presented, the charge-offs and recoveries in relation to the credit losses were not material.</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Customer concentration risk</w:t>
      </w:r>
    </w:p>
    <w:p>
      <w:pPr>
        <w:spacing w:after="0" w:line="242"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 xml:space="preserve">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12 </w:t>
      </w:r>
      <w:r>
        <w:rPr>
          <w:rFonts w:ascii="Times New Roman" w:cs="Times New Roman" w:eastAsia="Times New Roman" w:hAnsi="Times New Roman"/>
          <w:sz w:val="20"/>
          <w:szCs w:val="20"/>
          <w:i w:val="1"/>
          <w:iCs w:val="1"/>
          <w:color w:val="auto"/>
        </w:rPr>
        <w:t>Segment Information</w:t>
      </w:r>
      <w:r>
        <w:rPr>
          <w:rFonts w:ascii="Times New Roman" w:cs="Times New Roman" w:eastAsia="Times New Roman" w:hAnsi="Times New Roman"/>
          <w:sz w:val="20"/>
          <w:szCs w:val="20"/>
          <w:color w:val="auto"/>
        </w:rPr>
        <w:t xml:space="preserve"> related to customers that accounted for more than 10% of the Company’s total revenue and more than 10% of the total accounts receivable balance for each of the years presented in these consolidated financial statements.</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Dependence on a single supplier or limited suppliers risk</w:t>
      </w:r>
    </w:p>
    <w:p>
      <w:pPr>
        <w:spacing w:after="0" w:line="243" w:lineRule="exact"/>
        <w:rPr>
          <w:sz w:val="20"/>
          <w:szCs w:val="20"/>
          <w:color w:val="auto"/>
        </w:rPr>
      </w:pPr>
    </w:p>
    <w:p>
      <w:pPr>
        <w:jc w:val="both"/>
        <w:ind w:firstLine="359"/>
        <w:spacing w:after="0" w:line="219" w:lineRule="auto"/>
        <w:rPr>
          <w:sz w:val="20"/>
          <w:szCs w:val="20"/>
          <w:color w:val="auto"/>
        </w:rPr>
      </w:pPr>
      <w:r>
        <w:rPr>
          <w:rFonts w:ascii="Times New Roman" w:cs="Times New Roman" w:eastAsia="Times New Roman" w:hAnsi="Times New Roman"/>
          <w:sz w:val="20"/>
          <w:szCs w:val="20"/>
          <w:color w:val="auto"/>
        </w:rPr>
        <w:t>The Company purchases all its System on Chip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from a single supplier. For certain materials, equipment, and services, we, and/or our suppliers and vendors, rely on a single or a limited number of direct and indirect suppliers and vendors. Any issues that occur and persist in connection with the manufacture, delivery, quality, or cost of the assembly and testing of inventory could adversely effect the Company’s business, results of operations and financial condition. See below regarding a shortage in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that the Company experienced during 2021 and 2022 and may experience in the future, including in ECUs for SuperVision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other components for our products.</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Supply chain risk</w:t>
      </w:r>
    </w:p>
    <w:p>
      <w:pPr>
        <w:spacing w:after="0" w:line="242" w:lineRule="exact"/>
        <w:rPr>
          <w:sz w:val="20"/>
          <w:szCs w:val="20"/>
          <w:color w:val="auto"/>
        </w:rPr>
      </w:pPr>
    </w:p>
    <w:p>
      <w:pPr>
        <w:jc w:val="both"/>
        <w:ind w:firstLine="360"/>
        <w:spacing w:after="0" w:line="214" w:lineRule="auto"/>
        <w:rPr>
          <w:sz w:val="20"/>
          <w:szCs w:val="20"/>
          <w:color w:val="auto"/>
        </w:rPr>
      </w:pPr>
      <w:r>
        <w:rPr>
          <w:rFonts w:ascii="Times New Roman" w:cs="Times New Roman" w:eastAsia="Times New Roman" w:hAnsi="Times New Roman"/>
          <w:sz w:val="20"/>
          <w:szCs w:val="20"/>
          <w:color w:val="auto"/>
        </w:rPr>
        <w:t>During the fiscal years 2021 and 2022, the semiconductor industry experienced widespread shortages of substrates and other components and available foundry manufacturing capacity. During 2021 and 2022, STMicroelectronics, our sole supplier of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was not able to meet our demand for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causing a significant reduction in the Company’s inventory levels. Starting in late 2022 and early 2023, such supply disruptions, raw material shortages and manufacturing limitations abated and during 2023, we successfully increased levels of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inventory on hand, mitigating the potential for future supply constraints to cause a shortfall. However, in the event of a reoccurrence of supply chain constraints, and subject to the duration and severity thereof, we may be required to operate with minimal or no inventory of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or ECUs (including for Mobileye SuperVision</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Mobileye Chauffeur</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20"/>
          <w:szCs w:val="20"/>
          <w:color w:val="auto"/>
        </w:rPr>
        <w:t>, and Mobileye Drive</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20"/>
          <w:szCs w:val="20"/>
          <w:color w:val="auto"/>
        </w:rPr>
        <w:t>) on hand. As a result, we are substantially reliant on timely shipments of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from STMicroelectronics and ECUs from Quanta Computer (or other suppliers) to fulfill customer orders and if such a shortfall of chips or ECUs were to occur, we may be unable to offset future supply constraints through the use of inventory on hand. Since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is the core of our ADAS and autonomous driving solutions, continued, acute shortages in the supply of sufficient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to meet our production needs would impair our ability to meet our customers’ requirements in a timely manner, and would affect our business, results of operations, and financial condition potentially in an adverse manner.</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ectPr>
          <w:pgSz w:w="11880" w:h="15480" w:orient="portrait"/>
          <w:cols w:equalWidth="0" w:num="1">
            <w:col w:w="10800"/>
          </w:cols>
          <w:pgMar w:left="540" w:top="984" w:right="540" w:bottom="0"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New Accounting pronouncements</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Accounting pronouncements adopted in the period</w:t>
      </w:r>
    </w:p>
    <w:p>
      <w:pPr>
        <w:spacing w:after="0" w:line="23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 xml:space="preserve">In November 2023, the FASB issued ASU 2023-07 </w:t>
      </w:r>
      <w:r>
        <w:rPr>
          <w:rFonts w:ascii="Times New Roman" w:cs="Times New Roman" w:eastAsia="Times New Roman" w:hAnsi="Times New Roman"/>
          <w:sz w:val="20"/>
          <w:szCs w:val="20"/>
          <w:i w:val="1"/>
          <w:iCs w:val="1"/>
          <w:color w:val="auto"/>
        </w:rPr>
        <w:t>Segment Reporting (Topic 280): Improvements to Reportable Segment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Disclosures</w:t>
      </w:r>
      <w:r>
        <w:rPr>
          <w:rFonts w:ascii="Times New Roman" w:cs="Times New Roman" w:eastAsia="Times New Roman" w:hAnsi="Times New Roman"/>
          <w:sz w:val="20"/>
          <w:szCs w:val="20"/>
          <w:color w:val="auto"/>
        </w:rPr>
        <w:t>. The ASU improves reportable segments disclosure requirements, primarily through enhanced disclosures about significant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segment expenses. The ASU is effective for fiscal years beginning after December 15, 2023, and interim periods within fiscal years beginning after December 15, 2024. Early adoption is permitted. This ASU did not have a material impact on the Company’s consolidated financial statements.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Accounting Pronouncements effective in future periods</w:t>
      </w:r>
    </w:p>
    <w:p>
      <w:pPr>
        <w:spacing w:after="0" w:line="23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9"/>
          <w:szCs w:val="19"/>
          <w:color w:val="auto"/>
        </w:rPr>
        <w:t xml:space="preserve">In December 2023, the FASB issued ASU 2023- 09 </w:t>
      </w:r>
      <w:r>
        <w:rPr>
          <w:rFonts w:ascii="Times New Roman" w:cs="Times New Roman" w:eastAsia="Times New Roman" w:hAnsi="Times New Roman"/>
          <w:sz w:val="19"/>
          <w:szCs w:val="19"/>
          <w:i w:val="1"/>
          <w:iCs w:val="1"/>
          <w:color w:val="auto"/>
        </w:rPr>
        <w:t>Improvements to Income Tax Disclosures</w:t>
      </w:r>
      <w:r>
        <w:rPr>
          <w:rFonts w:ascii="Times New Roman" w:cs="Times New Roman" w:eastAsia="Times New Roman" w:hAnsi="Times New Roman"/>
          <w:sz w:val="19"/>
          <w:szCs w:val="19"/>
          <w:color w:val="auto"/>
        </w:rPr>
        <w:t>. The ASU improves the transparency of income tax disclosures by requiring (1) consistent categories and greater disaggregation of information in the rate reconciliation and</w:t>
      </w:r>
    </w:p>
    <w:p>
      <w:pPr>
        <w:spacing w:after="0" w:line="1" w:lineRule="exact"/>
        <w:rPr>
          <w:sz w:val="20"/>
          <w:szCs w:val="20"/>
          <w:color w:val="auto"/>
        </w:rPr>
      </w:pPr>
    </w:p>
    <w:p>
      <w:pPr>
        <w:jc w:val="both"/>
        <w:spacing w:after="0" w:line="260" w:lineRule="auto"/>
        <w:tabs>
          <w:tab w:leader="none" w:pos="28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taxes paid disaggregated by jurisdiction. It also includes certain other amendments to improve the effectiveness of income tax disclosures. For public business entities, the ASU is effective for annual periods beginning after December 15, 2024. The Company is evaluating the potential impact of this guidance on its consolidated financial statements.</w:t>
      </w:r>
    </w:p>
    <w:p>
      <w:pPr>
        <w:spacing w:after="0" w:line="183"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 Reporting Comprehensive Income - 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Disaggregation Disclosure (Subtopic 220-40): Disaggregation of Income Statement Expense and ASU 2025-01, Income Statement - Reporting Comprehensive Income - Expense Disaggregation Disclosures (Subtopic 220-40): Clarifying the Effective Date</w:t>
      </w:r>
      <w:r>
        <w:rPr>
          <w:rFonts w:ascii="Times New Roman" w:cs="Times New Roman" w:eastAsia="Times New Roman" w:hAnsi="Times New Roman"/>
          <w:sz w:val="20"/>
          <w:szCs w:val="20"/>
          <w:color w:val="auto"/>
        </w:rPr>
        <w:t>. The ASU</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improves the disclosures about a public business entity’s expenses and 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sales, general and administrative, and research and development). The ASU is effective for annual reporting periods beginning after December 15, 2026, and interim periods within annual reporting periods beginning after December 15, 2027. Early adoption is permitted. The Company is evaluating the potential impact of this guidance on its consolidated financial statement disclosures.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OTHER FINANCIAL STATEMENT DETAILS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Inventories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160" w:type="dxa"/>
            <w:vAlign w:val="bottom"/>
            <w:tcBorders>
              <w:bottom w:val="single" w:sz="8" w:color="auto"/>
            </w:tcBorders>
          </w:tcPr>
          <w:p>
            <w:pPr>
              <w:spacing w:after="0"/>
              <w:rPr>
                <w:sz w:val="17"/>
                <w:szCs w:val="17"/>
                <w:color w:val="auto"/>
              </w:rPr>
            </w:pPr>
          </w:p>
        </w:tc>
      </w:tr>
      <w:tr>
        <w:trPr>
          <w:trHeight w:val="155"/>
        </w:trPr>
        <w:tc>
          <w:tcPr>
            <w:tcW w:w="7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47"/>
              <w:spacing w:after="0" w:line="15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107"/>
              <w:spacing w:after="0" w:line="155"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193"/>
        </w:trPr>
        <w:tc>
          <w:tcPr>
            <w:tcW w:w="7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7960" w:type="dxa"/>
            <w:vAlign w:val="bottom"/>
            <w:gridSpan w:val="2"/>
          </w:tcPr>
          <w:p>
            <w:pPr>
              <w:jc w:val="right"/>
              <w:ind w:right="380"/>
              <w:spacing w:after="0" w:line="208"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 . . . . . . . .Rawmaterials</w:t>
            </w:r>
          </w:p>
        </w:tc>
        <w:tc>
          <w:tcPr>
            <w:tcW w:w="1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35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46</w:t>
            </w:r>
          </w:p>
        </w:tc>
      </w:tr>
      <w:tr>
        <w:trPr>
          <w:trHeight w:val="230"/>
        </w:trPr>
        <w:tc>
          <w:tcPr>
            <w:tcW w:w="79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8"/>
              </w:rPr>
              <w:t>Work in process . . . . . . . . . . . . . . . . . . . . . . . . . . . . . . . . . . . . . . . . . . . . . . . . . . . . . . . . . . . . . . . .</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41"/>
        </w:trPr>
        <w:tc>
          <w:tcPr>
            <w:tcW w:w="79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7"/>
              </w:rPr>
              <w:t>Finished goods . . . . . . . . . . . . . . . . . . . . . . . . . . . . . . . . . . . . . . . . . . . . . . . . . . . . . . . . . . . . . . . . .</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379</w:t>
            </w: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w:t>
            </w:r>
          </w:p>
        </w:tc>
      </w:tr>
      <w:tr>
        <w:trPr>
          <w:trHeight w:val="240"/>
        </w:trPr>
        <w:tc>
          <w:tcPr>
            <w:tcW w:w="7940" w:type="dxa"/>
            <w:vAlign w:val="bottom"/>
          </w:tcPr>
          <w:p>
            <w:pPr>
              <w:jc w:val="right"/>
              <w:ind w:right="264"/>
              <w:spacing w:after="0"/>
              <w:rPr>
                <w:sz w:val="20"/>
                <w:szCs w:val="20"/>
                <w:color w:val="auto"/>
              </w:rPr>
            </w:pPr>
            <w:r>
              <w:rPr>
                <w:rFonts w:ascii="Times New Roman" w:cs="Times New Roman" w:eastAsia="Times New Roman" w:hAnsi="Times New Roman"/>
                <w:sz w:val="20"/>
                <w:szCs w:val="20"/>
                <w:b w:val="1"/>
                <w:bCs w:val="1"/>
                <w:color w:val="auto"/>
                <w:w w:val="96"/>
              </w:rPr>
              <w:t xml:space="preserve">Total inventories </w:t>
            </w:r>
            <w:r>
              <w:rPr>
                <w:rFonts w:ascii="Times New Roman" w:cs="Times New Roman" w:eastAsia="Times New Roman" w:hAnsi="Times New Roman"/>
                <w:sz w:val="20"/>
                <w:szCs w:val="20"/>
                <w:color w:val="auto"/>
                <w:w w:val="96"/>
              </w:rPr>
              <w:t>. . .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415</w:t>
            </w: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391</w:t>
            </w:r>
          </w:p>
        </w:tc>
      </w:tr>
    </w:tbl>
    <w:p>
      <w:pPr>
        <w:spacing w:after="0" w:line="208"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Inventory write-downs and write-offs totaled $3 million, $2 million and $0 million for the years ended December 28, 2024, December 30, 2023, and December 31, 2022, respectively.</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1880" w:h="15480" w:orient="portrait"/>
          <w:cols w:equalWidth="0" w:num="1">
            <w:col w:w="10800"/>
          </w:cols>
          <w:pgMar w:left="540" w:top="984" w:right="540" w:bottom="0"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Property and equipment, net</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1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7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24"/>
              <w:spacing w:after="0" w:line="15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84"/>
              <w:spacing w:after="0" w:line="155"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20" w:type="dxa"/>
            <w:vAlign w:val="bottom"/>
          </w:tcPr>
          <w:p>
            <w:pPr>
              <w:spacing w:after="0"/>
              <w:rPr>
                <w:sz w:val="13"/>
                <w:szCs w:val="13"/>
                <w:color w:val="auto"/>
              </w:rPr>
            </w:pPr>
          </w:p>
        </w:tc>
      </w:tr>
      <w:tr>
        <w:trPr>
          <w:trHeight w:val="193"/>
        </w:trPr>
        <w:tc>
          <w:tcPr>
            <w:tcW w:w="7940" w:type="dxa"/>
            <w:vAlign w:val="bottom"/>
          </w:tcPr>
          <w:p>
            <w:pPr>
              <w:jc w:val="right"/>
              <w:ind w:right="6302"/>
              <w:spacing w:after="0"/>
              <w:rPr>
                <w:sz w:val="20"/>
                <w:szCs w:val="20"/>
                <w:color w:val="auto"/>
              </w:rPr>
            </w:pPr>
            <w:r>
              <w:rPr>
                <w:rFonts w:ascii="Times New Roman" w:cs="Times New Roman" w:eastAsia="Times New Roman" w:hAnsi="Times New Roman"/>
                <w:sz w:val="16"/>
                <w:szCs w:val="16"/>
                <w:b w:val="1"/>
                <w:bCs w:val="1"/>
                <w:color w:val="auto"/>
                <w:w w:val="97"/>
              </w:rPr>
              <w:t>U.S. dollars in millions</w:t>
            </w: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6"/>
                <w:szCs w:val="16"/>
                <w:color w:val="auto"/>
              </w:rPr>
            </w:pPr>
          </w:p>
        </w:tc>
      </w:tr>
      <w:tr>
        <w:trPr>
          <w:trHeight w:val="209"/>
        </w:trPr>
        <w:tc>
          <w:tcPr>
            <w:tcW w:w="7940" w:type="dxa"/>
            <w:vAlign w:val="bottom"/>
          </w:tcPr>
          <w:p>
            <w:pPr>
              <w:jc w:val="right"/>
              <w:ind w:right="262"/>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.Computers,electronicequipmentandsoftware</w:t>
            </w:r>
          </w:p>
        </w:tc>
        <w:tc>
          <w:tcPr>
            <w:tcW w:w="20" w:type="dxa"/>
            <w:vAlign w:val="bottom"/>
          </w:tcPr>
          <w:p>
            <w:pPr>
              <w:spacing w:after="0"/>
              <w:rPr>
                <w:sz w:val="18"/>
                <w:szCs w:val="18"/>
                <w:color w:val="auto"/>
              </w:rPr>
            </w:pPr>
          </w:p>
        </w:tc>
        <w:tc>
          <w:tcPr>
            <w:tcW w:w="1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197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167</w:t>
            </w:r>
          </w:p>
        </w:tc>
        <w:tc>
          <w:tcPr>
            <w:tcW w:w="20" w:type="dxa"/>
            <w:vAlign w:val="bottom"/>
          </w:tcPr>
          <w:p>
            <w:pPr>
              <w:spacing w:after="0"/>
              <w:rPr>
                <w:sz w:val="18"/>
                <w:szCs w:val="18"/>
                <w:color w:val="auto"/>
              </w:rPr>
            </w:pPr>
          </w:p>
        </w:tc>
      </w:tr>
      <w:tr>
        <w:trPr>
          <w:trHeight w:val="229"/>
        </w:trPr>
        <w:tc>
          <w:tcPr>
            <w:tcW w:w="7940" w:type="dxa"/>
            <w:vAlign w:val="bottom"/>
          </w:tcPr>
          <w:p>
            <w:pPr>
              <w:jc w:val="right"/>
              <w:ind w:right="262"/>
              <w:spacing w:after="0"/>
              <w:rPr>
                <w:sz w:val="20"/>
                <w:szCs w:val="20"/>
                <w:color w:val="auto"/>
              </w:rPr>
            </w:pPr>
            <w:r>
              <w:rPr>
                <w:rFonts w:ascii="Times New Roman" w:cs="Times New Roman" w:eastAsia="Times New Roman" w:hAnsi="Times New Roman"/>
                <w:sz w:val="20"/>
                <w:szCs w:val="20"/>
                <w:color w:val="auto"/>
                <w:w w:val="98"/>
              </w:rPr>
              <w:t>Vehicles . . . . . . . . . . . . . . . . . . . . . . . . . . . . . . . . . . . . . . . . . . . . . . . . . . . . . . . . . . . . . . . . . . . . .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 w:type="dxa"/>
            <w:vAlign w:val="bottom"/>
          </w:tcPr>
          <w:p>
            <w:pPr>
              <w:spacing w:after="0"/>
              <w:rPr>
                <w:sz w:val="19"/>
                <w:szCs w:val="19"/>
                <w:color w:val="auto"/>
              </w:rPr>
            </w:pPr>
          </w:p>
        </w:tc>
      </w:tr>
      <w:tr>
        <w:trPr>
          <w:trHeight w:val="230"/>
        </w:trPr>
        <w:tc>
          <w:tcPr>
            <w:tcW w:w="7940" w:type="dxa"/>
            <w:vAlign w:val="bottom"/>
          </w:tcPr>
          <w:p>
            <w:pPr>
              <w:jc w:val="right"/>
              <w:ind w:right="262"/>
              <w:spacing w:after="0"/>
              <w:rPr>
                <w:sz w:val="20"/>
                <w:szCs w:val="20"/>
                <w:color w:val="auto"/>
              </w:rPr>
            </w:pPr>
            <w:r>
              <w:rPr>
                <w:rFonts w:ascii="Times New Roman" w:cs="Times New Roman" w:eastAsia="Times New Roman" w:hAnsi="Times New Roman"/>
                <w:sz w:val="20"/>
                <w:szCs w:val="20"/>
                <w:color w:val="auto"/>
                <w:w w:val="98"/>
              </w:rPr>
              <w:t>Office furniture and equipment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20"/>
                <w:szCs w:val="20"/>
                <w:color w:val="auto"/>
              </w:rPr>
            </w:pPr>
          </w:p>
        </w:tc>
      </w:tr>
      <w:tr>
        <w:trPr>
          <w:trHeight w:val="230"/>
        </w:trPr>
        <w:tc>
          <w:tcPr>
            <w:tcW w:w="7940" w:type="dxa"/>
            <w:vAlign w:val="bottom"/>
          </w:tcPr>
          <w:p>
            <w:pPr>
              <w:jc w:val="right"/>
              <w:ind w:right="262"/>
              <w:spacing w:after="0"/>
              <w:rPr>
                <w:sz w:val="20"/>
                <w:szCs w:val="20"/>
                <w:color w:val="auto"/>
              </w:rPr>
            </w:pPr>
            <w:r>
              <w:rPr>
                <w:rFonts w:ascii="Times New Roman" w:cs="Times New Roman" w:eastAsia="Times New Roman" w:hAnsi="Times New Roman"/>
                <w:sz w:val="20"/>
                <w:szCs w:val="20"/>
                <w:color w:val="auto"/>
                <w:w w:val="97"/>
              </w:rPr>
              <w:t>Buildings . . . . . . . . . . . . . . . . . .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w:t>
            </w:r>
          </w:p>
        </w:tc>
        <w:tc>
          <w:tcPr>
            <w:tcW w:w="20" w:type="dxa"/>
            <w:vAlign w:val="bottom"/>
          </w:tcPr>
          <w:p>
            <w:pPr>
              <w:spacing w:after="0"/>
              <w:rPr>
                <w:sz w:val="20"/>
                <w:szCs w:val="20"/>
                <w:color w:val="auto"/>
              </w:rPr>
            </w:pPr>
          </w:p>
        </w:tc>
      </w:tr>
      <w:tr>
        <w:trPr>
          <w:trHeight w:val="241"/>
        </w:trPr>
        <w:tc>
          <w:tcPr>
            <w:tcW w:w="7940" w:type="dxa"/>
            <w:vAlign w:val="bottom"/>
          </w:tcPr>
          <w:p>
            <w:pPr>
              <w:jc w:val="right"/>
              <w:ind w:right="262"/>
              <w:spacing w:after="0"/>
              <w:rPr>
                <w:sz w:val="20"/>
                <w:szCs w:val="20"/>
                <w:color w:val="auto"/>
              </w:rPr>
            </w:pPr>
            <w:r>
              <w:rPr>
                <w:rFonts w:ascii="Times New Roman" w:cs="Times New Roman" w:eastAsia="Times New Roman" w:hAnsi="Times New Roman"/>
                <w:sz w:val="20"/>
                <w:szCs w:val="20"/>
                <w:color w:val="auto"/>
                <w:w w:val="97"/>
              </w:rPr>
              <w:t>Leasehold improvements . . . . . . . . . . . . . . . . . . . . . . . . . . . . . . . . . . . . . . . . . . . . . . . . . . . . . . . . .</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0" w:type="dxa"/>
            <w:vAlign w:val="bottom"/>
          </w:tcPr>
          <w:p>
            <w:pPr>
              <w:spacing w:after="0"/>
              <w:rPr>
                <w:sz w:val="20"/>
                <w:szCs w:val="20"/>
                <w:color w:val="auto"/>
              </w:rPr>
            </w:pPr>
          </w:p>
        </w:tc>
      </w:tr>
      <w:tr>
        <w:trPr>
          <w:trHeight w:val="208"/>
        </w:trPr>
        <w:tc>
          <w:tcPr>
            <w:tcW w:w="7940" w:type="dxa"/>
            <w:vAlign w:val="bottom"/>
          </w:tcPr>
          <w:p>
            <w:pPr>
              <w:jc w:val="right"/>
              <w:ind w:right="262"/>
              <w:spacing w:after="0" w:line="208" w:lineRule="exact"/>
              <w:rPr>
                <w:sz w:val="20"/>
                <w:szCs w:val="20"/>
                <w:color w:val="auto"/>
              </w:rPr>
            </w:pPr>
            <w:r>
              <w:rPr>
                <w:rFonts w:ascii="Times New Roman" w:cs="Times New Roman" w:eastAsia="Times New Roman" w:hAnsi="Times New Roman"/>
                <w:sz w:val="20"/>
                <w:szCs w:val="20"/>
                <w:color w:val="auto"/>
              </w:rPr>
              <w:t>. . . . . . . . . . . . . . . . . . . . . . . . . . . . . . . . . . . . . . . . . . . . . .</w:t>
            </w:r>
            <w:r>
              <w:rPr>
                <w:rFonts w:ascii="Times New Roman" w:cs="Times New Roman" w:eastAsia="Times New Roman" w:hAnsi="Times New Roman"/>
                <w:sz w:val="20"/>
                <w:szCs w:val="20"/>
                <w:b w:val="1"/>
                <w:bCs w:val="1"/>
                <w:color w:val="auto"/>
              </w:rPr>
              <w:t>Totalpropertyandequipment,gross</w:t>
            </w:r>
          </w:p>
        </w:tc>
        <w:tc>
          <w:tcPr>
            <w:tcW w:w="20" w:type="dxa"/>
            <w:vAlign w:val="bottom"/>
          </w:tcPr>
          <w:p>
            <w:pPr>
              <w:spacing w:after="0"/>
              <w:rPr>
                <w:sz w:val="18"/>
                <w:szCs w:val="18"/>
                <w:color w:val="auto"/>
              </w:rPr>
            </w:pPr>
          </w:p>
        </w:tc>
        <w:tc>
          <w:tcPr>
            <w:tcW w:w="1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586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544</w:t>
            </w:r>
          </w:p>
        </w:tc>
        <w:tc>
          <w:tcPr>
            <w:tcW w:w="20" w:type="dxa"/>
            <w:vAlign w:val="bottom"/>
          </w:tcPr>
          <w:p>
            <w:pPr>
              <w:spacing w:after="0"/>
              <w:rPr>
                <w:sz w:val="18"/>
                <w:szCs w:val="18"/>
                <w:color w:val="auto"/>
              </w:rPr>
            </w:pPr>
          </w:p>
        </w:tc>
      </w:tr>
      <w:tr>
        <w:trPr>
          <w:trHeight w:val="241"/>
        </w:trPr>
        <w:tc>
          <w:tcPr>
            <w:tcW w:w="7940" w:type="dxa"/>
            <w:vAlign w:val="bottom"/>
          </w:tcPr>
          <w:p>
            <w:pPr>
              <w:jc w:val="right"/>
              <w:ind w:right="262"/>
              <w:spacing w:after="0"/>
              <w:rPr>
                <w:sz w:val="20"/>
                <w:szCs w:val="20"/>
                <w:color w:val="auto"/>
              </w:rPr>
            </w:pPr>
            <w:r>
              <w:rPr>
                <w:rFonts w:ascii="Times New Roman" w:cs="Times New Roman" w:eastAsia="Times New Roman" w:hAnsi="Times New Roman"/>
                <w:sz w:val="20"/>
                <w:szCs w:val="20"/>
                <w:color w:val="auto"/>
                <w:w w:val="97"/>
              </w:rPr>
              <w:t>Less:</w:t>
            </w:r>
            <w:r>
              <w:rPr>
                <w:rFonts w:ascii="Arial" w:cs="Arial" w:eastAsia="Arial" w:hAnsi="Arial"/>
                <w:sz w:val="20"/>
                <w:szCs w:val="20"/>
                <w:color w:val="auto"/>
                <w:w w:val="97"/>
              </w:rPr>
              <w:t xml:space="preserve"> </w:t>
            </w:r>
            <w:r>
              <w:rPr>
                <w:rFonts w:ascii="Times New Roman" w:cs="Times New Roman" w:eastAsia="Times New Roman" w:hAnsi="Times New Roman"/>
                <w:sz w:val="20"/>
                <w:szCs w:val="20"/>
                <w:color w:val="auto"/>
                <w:w w:val="97"/>
              </w:rPr>
              <w:t>accumulated depreciation . . . . . . . . . . .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(128)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(97)</w:t>
            </w:r>
          </w:p>
        </w:tc>
      </w:tr>
      <w:tr>
        <w:trPr>
          <w:trHeight w:val="240"/>
        </w:trPr>
        <w:tc>
          <w:tcPr>
            <w:tcW w:w="7940" w:type="dxa"/>
            <w:vAlign w:val="bottom"/>
          </w:tcPr>
          <w:p>
            <w:pPr>
              <w:jc w:val="right"/>
              <w:ind w:right="262"/>
              <w:spacing w:after="0"/>
              <w:rPr>
                <w:sz w:val="20"/>
                <w:szCs w:val="20"/>
                <w:color w:val="auto"/>
              </w:rPr>
            </w:pPr>
            <w:r>
              <w:rPr>
                <w:rFonts w:ascii="Times New Roman" w:cs="Times New Roman" w:eastAsia="Times New Roman" w:hAnsi="Times New Roman"/>
                <w:sz w:val="20"/>
                <w:szCs w:val="20"/>
                <w:color w:val="auto"/>
              </w:rPr>
              <w:t>. . . . . . . . . . . . . . . . . . . . . . . . . . . . . . . . . . . . . . . . . . . . . . . .</w:t>
            </w:r>
            <w:r>
              <w:rPr>
                <w:rFonts w:ascii="Times New Roman" w:cs="Times New Roman" w:eastAsia="Times New Roman" w:hAnsi="Times New Roman"/>
                <w:sz w:val="20"/>
                <w:szCs w:val="20"/>
                <w:b w:val="1"/>
                <w:bCs w:val="1"/>
                <w:color w:val="auto"/>
              </w:rPr>
              <w:t>Totalpropertyandequipment,net</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458</w:t>
            </w:r>
          </w:p>
        </w:tc>
        <w:tc>
          <w:tcPr>
            <w:tcW w:w="6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447</w:t>
            </w:r>
          </w:p>
        </w:tc>
        <w:tc>
          <w:tcPr>
            <w:tcW w:w="20" w:type="dxa"/>
            <w:vAlign w:val="bottom"/>
          </w:tcPr>
          <w:p>
            <w:pPr>
              <w:spacing w:after="0"/>
              <w:rPr>
                <w:sz w:val="20"/>
                <w:szCs w:val="20"/>
                <w:color w:val="auto"/>
              </w:rPr>
            </w:pPr>
          </w:p>
        </w:tc>
      </w:tr>
    </w:tbl>
    <w:p>
      <w:pPr>
        <w:spacing w:after="0" w:line="20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Depreciation expenses totaled $62 million, $39 million, and $23 million for the years ended December 28, 2024, December 30, 2023, and December 31, 2022, respectively. During 2024 and 2023, the Company derecognized the cost and accumulated depreciation of fully depreciated assets in the amount of $30 million and $23 million, respectively.</w:t>
      </w:r>
    </w:p>
    <w:p>
      <w:pPr>
        <w:spacing w:after="0" w:line="186" w:lineRule="exact"/>
        <w:rPr>
          <w:sz w:val="20"/>
          <w:szCs w:val="20"/>
          <w:color w:val="auto"/>
        </w:rPr>
      </w:pPr>
    </w:p>
    <w:p>
      <w:pPr>
        <w:ind w:left="360"/>
        <w:spacing w:after="0" w:line="490" w:lineRule="auto"/>
        <w:rPr>
          <w:sz w:val="20"/>
          <w:szCs w:val="20"/>
          <w:color w:val="auto"/>
        </w:rPr>
      </w:pPr>
      <w:r>
        <w:rPr>
          <w:rFonts w:ascii="Times New Roman" w:cs="Times New Roman" w:eastAsia="Times New Roman" w:hAnsi="Times New Roman"/>
          <w:sz w:val="20"/>
          <w:szCs w:val="20"/>
          <w:color w:val="auto"/>
        </w:rPr>
        <w:t xml:space="preserve">Substantially all of the Company’s property and equipment were located in Israel as of December 28, 2024 and December 30, 2023. </w:t>
      </w:r>
      <w:r>
        <w:rPr>
          <w:rFonts w:ascii="Times New Roman" w:cs="Times New Roman" w:eastAsia="Times New Roman" w:hAnsi="Times New Roman"/>
          <w:sz w:val="20"/>
          <w:szCs w:val="20"/>
          <w:b w:val="1"/>
          <w:bCs w:val="1"/>
          <w:color w:val="auto"/>
        </w:rPr>
        <w:t>Royalty bearing agreements</w:t>
      </w: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Company has entered into a number of license and technology transfer agreements with third parties. The agreements allow the Company to utilize and leverage the third parties’ technology in order to integrate it into the Company’s products. In consideration thereof, the Company is obligated to pay royalties to each of the third parties, for each unit of the applicable integrated product sold to other parties. As a result, during the years ended December 28, 2024, December 30, 2023, and December 31, 2022, the Company recorded expenses of approximately $7 million, $9 million, and $8 million, respectively. These expenses were classified as a component of cost of revenue.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EMPLOYEE BENEFITS</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 Israel</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Severance</w:t>
      </w:r>
    </w:p>
    <w:p>
      <w:pPr>
        <w:spacing w:after="0" w:line="23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Israeli labor laws generally require severance payments upon dismissal of an employee or upon termination of employment in certain other circumstances. The following plans relate to the Company’s employees in Israel.</w:t>
      </w:r>
    </w:p>
    <w:p>
      <w:pPr>
        <w:spacing w:after="0" w:line="16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Severance pay liability with respect to Israeli employees is calculated pursuant to Israeli Severance Pay Law based on the most recent salary of the employees, multiplied by the number of years of employment as of the period-end date. The Company records an expense for the increase in its severance liability, net of earnings (losses) from the related severance pay funds. The liabilities are presented on an undiscounted basis and included on the consolidated balance sheets as a long-term employee benefit. Severance pay liabilities as of December 28, 2024 and December 30, 2023 were $62 million and $56 million, respectively.</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ectPr>
          <w:pgSz w:w="11880" w:h="15480" w:orient="portrait"/>
          <w:cols w:equalWidth="0" w:num="1">
            <w:col w:w="10800"/>
          </w:cols>
          <w:pgMar w:left="540" w:top="984" w:right="540" w:bottom="0"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The Company’s liability for all of its Israeli employees is covered by monthly deposits with severance pay funds. The value of the deposited funds is based on the cash surrender value of these policies and includes earnings (or losses) accumulated through the balance sheet date. The deposited funds may be withdrawn only upon the fulfillment of the obligations pursuant to Israeli Severance Pay Law or labor agreements. Severance pay funds, which are included in other long-term assets, were $52 million and $45 million as of December 28, 2024 and December 30, 2023, respectively.</w:t>
      </w:r>
    </w:p>
    <w:p>
      <w:pPr>
        <w:spacing w:after="0" w:line="192"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majority of the Company’s liability for severance pay is covered by the provisions of Section 14 of the Israeli Severance Pay Law (“Section 14”). Under Section 14, employees are entitled to monthly deposits, at a rate of 8.33% of their monthly salary, contributed by the Company on their behalf to their insurance funds. Payments by the Company in accordance with Section 14 release the Company from any future severance payments in respect of those employees. As a result, the Company does not recognize any liability for severance pay due to these employees under Section 14 and the related deposits are not recorded as assets on the consolidated balance sheets.</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Non-Israeli Defined Contribution Plans</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Most of the Company’s non-Israeli subsidiaries provide defined contribution plans for the benefit of their employees. The plans primarily provide for Company matching contributions based upon a percentage of the employees’ contributions. The Company’s contributions for each of the years presented under such plans were not material.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LEASES</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19"/>
          <w:szCs w:val="19"/>
          <w:color w:val="auto"/>
        </w:rPr>
        <w:t>The Company’s operating leases consist of offices and vehicles and the lease term varies between 3-8 years. Some of the Company’s leases include options to extend the lease term for periods of up to five years each. For purposes of calculating lease liabilities, lease terms include options to extend or terminate the lease when it is reasonably certain that the Company will exercise such options.</w:t>
      </w:r>
    </w:p>
    <w:p>
      <w:pPr>
        <w:spacing w:after="0" w:line="165"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Lease expenses for operating lease payments are recognized on a straight-line basis over the lease term. Certain operating leases provide for annual increases to lease payments based on an index. The Company calculates the present value of future lease payments based on the index at the lease commencement date. Differences between the estimated lease liability and actual payments are expensed as incurred and are not material for all periods presented. The lease agreements generally do not contain any residual value guarantees or restrictive covenants.</w:t>
      </w:r>
    </w:p>
    <w:p>
      <w:pPr>
        <w:spacing w:after="0" w:line="19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Operating lease expense for the years ended December 28, 2024, December 30, 2023, and December 31, 2022 were $16 million, $19 million, and $13 million, respectively. The Company does not have any finance leases.</w:t>
      </w:r>
    </w:p>
    <w:p>
      <w:pPr>
        <w:spacing w:after="0" w:line="164"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20"/>
          <w:szCs w:val="20"/>
          <w:color w:val="auto"/>
        </w:rPr>
        <w:t>The balances for the operating leases, which are presented on the consolidated balance sheets in other long-term assets, other current liabilities and long-term liabilities,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5"/>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w w:val="91"/>
              </w:rPr>
              <w:t>As of</w:t>
            </w:r>
          </w:p>
        </w:tc>
        <w:tc>
          <w:tcPr>
            <w:tcW w:w="1300" w:type="dxa"/>
            <w:vAlign w:val="bottom"/>
            <w:tcBorders>
              <w:bottom w:val="single" w:sz="8" w:color="auto"/>
            </w:tcBorders>
          </w:tcPr>
          <w:p>
            <w:pPr>
              <w:spacing w:after="0"/>
              <w:rPr>
                <w:sz w:val="17"/>
                <w:szCs w:val="17"/>
                <w:color w:val="auto"/>
              </w:rPr>
            </w:pPr>
          </w:p>
        </w:tc>
      </w:tr>
      <w:tr>
        <w:trPr>
          <w:trHeight w:val="155"/>
        </w:trPr>
        <w:tc>
          <w:tcPr>
            <w:tcW w:w="7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ind w:right="187"/>
              <w:spacing w:after="0" w:line="155" w:lineRule="exact"/>
              <w:rPr>
                <w:sz w:val="20"/>
                <w:szCs w:val="20"/>
                <w:color w:val="auto"/>
              </w:rPr>
            </w:pPr>
            <w:r>
              <w:rPr>
                <w:rFonts w:ascii="Times New Roman" w:cs="Times New Roman" w:eastAsia="Times New Roman" w:hAnsi="Times New Roman"/>
                <w:sz w:val="16"/>
                <w:szCs w:val="16"/>
                <w:b w:val="1"/>
                <w:bCs w:val="1"/>
                <w:color w:val="auto"/>
              </w:rPr>
              <w:t>December 30,</w:t>
            </w:r>
          </w:p>
        </w:tc>
      </w:tr>
      <w:tr>
        <w:trPr>
          <w:trHeight w:val="194"/>
        </w:trPr>
        <w:tc>
          <w:tcPr>
            <w:tcW w:w="7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1"/>
        </w:trPr>
        <w:tc>
          <w:tcPr>
            <w:tcW w:w="7580" w:type="dxa"/>
            <w:vAlign w:val="bottom"/>
            <w:gridSpan w:val="2"/>
          </w:tcPr>
          <w:p>
            <w:pPr>
              <w:jc w:val="right"/>
              <w:ind w:right="280"/>
              <w:spacing w:after="0" w:line="220" w:lineRule="exact"/>
              <w:rPr>
                <w:sz w:val="20"/>
                <w:szCs w:val="20"/>
                <w:color w:val="auto"/>
              </w:rPr>
            </w:pPr>
            <w:r>
              <w:rPr>
                <w:rFonts w:ascii="Times New Roman" w:cs="Times New Roman" w:eastAsia="Times New Roman" w:hAnsi="Times New Roman"/>
                <w:sz w:val="20"/>
                <w:szCs w:val="20"/>
                <w:color w:val="auto"/>
                <w:w w:val="99"/>
              </w:rPr>
              <w:t>. . . . . . . . . . . . . . . . . . . . . . . . . . . . . . . . . . . . . . . . . . . . . .</w:t>
            </w:r>
            <w:r>
              <w:rPr>
                <w:rFonts w:ascii="Times New Roman" w:cs="Times New Roman" w:eastAsia="Times New Roman" w:hAnsi="Times New Roman"/>
                <w:sz w:val="20"/>
                <w:szCs w:val="20"/>
                <w:b w:val="1"/>
                <w:bCs w:val="1"/>
                <w:color w:val="auto"/>
                <w:w w:val="99"/>
              </w:rPr>
              <w:t>Operatingleaseright-of-useassets</w:t>
            </w:r>
          </w:p>
        </w:tc>
        <w:tc>
          <w:tcPr>
            <w:tcW w:w="1220" w:type="dxa"/>
            <w:vAlign w:val="bottom"/>
            <w:tcBorders>
              <w:bottom w:val="single" w:sz="8" w:color="auto"/>
            </w:tcBorders>
          </w:tcPr>
          <w:p>
            <w:pPr>
              <w:jc w:val="right"/>
              <w:ind w:right="1030"/>
              <w:spacing w:after="0" w:line="22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2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w w:val="99"/>
              </w:rPr>
              <w:t>47</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49</w:t>
            </w:r>
          </w:p>
        </w:tc>
      </w:tr>
      <w:tr>
        <w:trPr>
          <w:trHeight w:val="210"/>
        </w:trPr>
        <w:tc>
          <w:tcPr>
            <w:tcW w:w="758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auto"/>
              </w:rPr>
              <w:t>Operating lease liabilities: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7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8"/>
              </w:rPr>
              <w:t>Current portion of lease liabilities . . . . . . . . . . . . . . . . . . . . . . . . . . . . . . . . . . . . . . . . . . . . . . .</w:t>
            </w:r>
          </w:p>
        </w:tc>
        <w:tc>
          <w:tcPr>
            <w:tcW w:w="12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42"/>
        </w:trPr>
        <w:tc>
          <w:tcPr>
            <w:tcW w:w="75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8"/>
              </w:rPr>
              <w:t>Long-term lease liabilities . . . . . . . . . . . . . . . . . . . . . . . . . . . . . . . . . . . . . . . . . . . . . . . . . . . . .</w:t>
            </w:r>
          </w:p>
        </w:tc>
        <w:tc>
          <w:tcPr>
            <w:tcW w:w="1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37</w:t>
            </w:r>
          </w:p>
        </w:tc>
        <w:tc>
          <w:tcPr>
            <w:tcW w:w="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32"/>
        </w:trPr>
        <w:tc>
          <w:tcPr>
            <w:tcW w:w="7560" w:type="dxa"/>
            <w:vAlign w:val="bottom"/>
          </w:tcPr>
          <w:p>
            <w:pPr>
              <w:jc w:val="right"/>
              <w:ind w:right="163"/>
              <w:spacing w:after="0"/>
              <w:rPr>
                <w:sz w:val="20"/>
                <w:szCs w:val="20"/>
                <w:color w:val="auto"/>
              </w:rPr>
            </w:pPr>
            <w:r>
              <w:rPr>
                <w:rFonts w:ascii="Times New Roman" w:cs="Times New Roman" w:eastAsia="Times New Roman" w:hAnsi="Times New Roman"/>
                <w:sz w:val="20"/>
                <w:szCs w:val="20"/>
                <w:b w:val="1"/>
                <w:bCs w:val="1"/>
                <w:color w:val="auto"/>
                <w:w w:val="96"/>
              </w:rPr>
              <w:t xml:space="preserve">Total operating lease liabilities </w:t>
            </w:r>
            <w:r>
              <w:rPr>
                <w:rFonts w:ascii="Times New Roman" w:cs="Times New Roman" w:eastAsia="Times New Roman" w:hAnsi="Times New Roman"/>
                <w:sz w:val="20"/>
                <w:szCs w:val="20"/>
                <w:color w:val="auto"/>
                <w:w w:val="96"/>
              </w:rPr>
              <w:t>. . . . . . . . . . . . . . . . . . . . . . . . . . . . . . . . . . . . . . . . . . . . . . . . .</w:t>
            </w:r>
          </w:p>
        </w:tc>
        <w:tc>
          <w:tcPr>
            <w:tcW w:w="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50</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51</w:t>
            </w:r>
          </w:p>
        </w:tc>
      </w:tr>
    </w:tbl>
    <w:p>
      <w:pPr>
        <w:spacing w:after="0" w:line="208"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As of December 28, 2024 and December 30, 2023, the weighted average remaining lease term was 4.31 and 4.67 years, respectively, and the weighted average discount rate was 4.94% and 4.67%, respectively.</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Supplemental information related to operating leases was as follows:</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ectPr>
          <w:pgSz w:w="11880" w:h="15480" w:orient="portrait"/>
          <w:cols w:equalWidth="0" w:num="1">
            <w:col w:w="10800"/>
          </w:cols>
          <w:pgMar w:left="540" w:top="984" w:right="540" w:bottom="0"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55"/>
        </w:trPr>
        <w:tc>
          <w:tcPr>
            <w:tcW w:w="6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10"/>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28,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15"/>
              <w:spacing w:after="0" w:line="155"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5"/>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194"/>
        </w:trPr>
        <w:tc>
          <w:tcPr>
            <w:tcW w:w="6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left="15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0"/>
        </w:trPr>
        <w:tc>
          <w:tcPr>
            <w:tcW w:w="696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 . . . . . . . . . . . . . . . . . . . . . . . . . . . . .Operatingcashoutflowsfromoperatingleases</w:t>
            </w:r>
          </w:p>
        </w:tc>
        <w:tc>
          <w:tcPr>
            <w:tcW w:w="1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16</w:t>
            </w:r>
          </w:p>
        </w:tc>
        <w:tc>
          <w:tcPr>
            <w:tcW w:w="220" w:type="dxa"/>
            <w:vAlign w:val="bottom"/>
          </w:tcPr>
          <w:p>
            <w:pPr>
              <w:spacing w:after="0"/>
              <w:rPr>
                <w:sz w:val="18"/>
                <w:szCs w:val="18"/>
                <w:color w:val="auto"/>
              </w:rPr>
            </w:pPr>
          </w:p>
        </w:tc>
        <w:tc>
          <w:tcPr>
            <w:tcW w:w="1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20"/>
                <w:szCs w:val="20"/>
                <w:color w:val="auto"/>
              </w:rPr>
              <w:t>16</w:t>
            </w:r>
          </w:p>
        </w:tc>
        <w:tc>
          <w:tcPr>
            <w:tcW w:w="200" w:type="dxa"/>
            <w:vAlign w:val="bottom"/>
          </w:tcPr>
          <w:p>
            <w:pPr>
              <w:spacing w:after="0"/>
              <w:rPr>
                <w:sz w:val="18"/>
                <w:szCs w:val="18"/>
                <w:color w:val="auto"/>
              </w:rPr>
            </w:pPr>
          </w:p>
        </w:tc>
        <w:tc>
          <w:tcPr>
            <w:tcW w:w="1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12</w:t>
            </w:r>
          </w:p>
        </w:tc>
      </w:tr>
      <w:tr>
        <w:trPr>
          <w:trHeight w:val="268"/>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Righ t-of-use assets recognized in exchange for lease obligations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461"/>
        </w:trPr>
        <w:tc>
          <w:tcPr>
            <w:tcW w:w="69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Maturities of operating lease liabilities were as follows: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98"/>
        </w:trPr>
        <w:tc>
          <w:tcPr>
            <w:tcW w:w="6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3"/>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December 28,</w:t>
            </w:r>
          </w:p>
        </w:tc>
      </w:tr>
      <w:tr>
        <w:trPr>
          <w:trHeight w:val="193"/>
        </w:trPr>
        <w:tc>
          <w:tcPr>
            <w:tcW w:w="6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81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 . . . . . . . . . . . . . . . . . . . . . .2025</w:t>
            </w:r>
          </w:p>
        </w:tc>
        <w:tc>
          <w:tcPr>
            <w:tcW w:w="1000" w:type="dxa"/>
            <w:vAlign w:val="bottom"/>
            <w:gridSpan w:val="3"/>
          </w:tcPr>
          <w:p>
            <w:pPr>
              <w:jc w:val="right"/>
              <w:ind w:right="272"/>
              <w:spacing w:after="0" w:line="209" w:lineRule="exact"/>
              <w:rPr>
                <w:sz w:val="20"/>
                <w:szCs w:val="20"/>
                <w:color w:val="auto"/>
              </w:rPr>
            </w:pPr>
            <w:r>
              <w:rPr>
                <w:rFonts w:ascii="Times New Roman" w:cs="Times New Roman" w:eastAsia="Times New Roman" w:hAnsi="Times New Roman"/>
                <w:sz w:val="20"/>
                <w:szCs w:val="20"/>
                <w:color w:val="auto"/>
                <w:w w:val="95"/>
              </w:rPr>
              <w:t>. . . . . . .</w:t>
            </w:r>
          </w:p>
        </w:tc>
        <w:tc>
          <w:tcPr>
            <w:tcW w:w="20" w:type="dxa"/>
            <w:vAlign w:val="bottom"/>
          </w:tcPr>
          <w:p>
            <w:pPr>
              <w:spacing w:after="0"/>
              <w:rPr>
                <w:sz w:val="18"/>
                <w:szCs w:val="18"/>
                <w:color w:val="auto"/>
              </w:rPr>
            </w:pP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15</w:t>
            </w:r>
          </w:p>
        </w:tc>
      </w:tr>
      <w:tr>
        <w:trPr>
          <w:trHeight w:val="229"/>
        </w:trPr>
        <w:tc>
          <w:tcPr>
            <w:tcW w:w="8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5"/>
              </w:rPr>
              <w:t>2026 . . . . . . . . . . . . . . . . . . . . . . . . . . . . . . . . . . . . . . . . . . . . . . . . . . . . . . . . . . . . . . . . . . . . . . . . . . . . . . . .</w:t>
            </w:r>
          </w:p>
        </w:tc>
        <w:tc>
          <w:tcPr>
            <w:tcW w:w="1000" w:type="dxa"/>
            <w:vAlign w:val="bottom"/>
            <w:gridSpan w:val="3"/>
          </w:tcPr>
          <w:p>
            <w:pPr>
              <w:jc w:val="right"/>
              <w:ind w:right="272"/>
              <w:spacing w:after="0"/>
              <w:rPr>
                <w:sz w:val="20"/>
                <w:szCs w:val="20"/>
                <w:color w:val="auto"/>
              </w:rPr>
            </w:pPr>
            <w:r>
              <w:rPr>
                <w:rFonts w:ascii="Times New Roman" w:cs="Times New Roman" w:eastAsia="Times New Roman" w:hAnsi="Times New Roman"/>
                <w:sz w:val="20"/>
                <w:szCs w:val="20"/>
                <w:color w:val="auto"/>
                <w:w w:val="95"/>
              </w:rPr>
              <w:t>. . . . . . .</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8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5"/>
              </w:rPr>
              <w:t>2027 . . . . . . . . . . . . . . . . . . . . . . . . . . . . . . . . . . . . . . . . . . . . . . . . . . . . . . . . . . . . . . . . . . . . . . . . . . . . . . . .</w:t>
            </w:r>
          </w:p>
        </w:tc>
        <w:tc>
          <w:tcPr>
            <w:tcW w:w="1000" w:type="dxa"/>
            <w:vAlign w:val="bottom"/>
            <w:gridSpan w:val="3"/>
          </w:tcPr>
          <w:p>
            <w:pPr>
              <w:jc w:val="right"/>
              <w:ind w:right="272"/>
              <w:spacing w:after="0"/>
              <w:rPr>
                <w:sz w:val="20"/>
                <w:szCs w:val="20"/>
                <w:color w:val="auto"/>
              </w:rPr>
            </w:pPr>
            <w:r>
              <w:rPr>
                <w:rFonts w:ascii="Times New Roman" w:cs="Times New Roman" w:eastAsia="Times New Roman" w:hAnsi="Times New Roman"/>
                <w:sz w:val="20"/>
                <w:szCs w:val="20"/>
                <w:color w:val="auto"/>
                <w:w w:val="95"/>
              </w:rPr>
              <w:t>. . . . . . .</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30"/>
        </w:trPr>
        <w:tc>
          <w:tcPr>
            <w:tcW w:w="8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5"/>
              </w:rPr>
              <w:t>2028 . . . . . . . . . . . . . . . . . . . . . . . . . . . . . . . . . . . . . . . . . . . . . . . . . . . . . . . . . . . . . . . . . . . . . . . . . . . . . . . .</w:t>
            </w:r>
          </w:p>
        </w:tc>
        <w:tc>
          <w:tcPr>
            <w:tcW w:w="1000" w:type="dxa"/>
            <w:vAlign w:val="bottom"/>
            <w:gridSpan w:val="3"/>
          </w:tcPr>
          <w:p>
            <w:pPr>
              <w:jc w:val="right"/>
              <w:ind w:right="272"/>
              <w:spacing w:after="0"/>
              <w:rPr>
                <w:sz w:val="20"/>
                <w:szCs w:val="20"/>
                <w:color w:val="auto"/>
              </w:rPr>
            </w:pPr>
            <w:r>
              <w:rPr>
                <w:rFonts w:ascii="Times New Roman" w:cs="Times New Roman" w:eastAsia="Times New Roman" w:hAnsi="Times New Roman"/>
                <w:sz w:val="20"/>
                <w:szCs w:val="20"/>
                <w:color w:val="auto"/>
                <w:w w:val="95"/>
              </w:rPr>
              <w:t>. . . . . . .</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41"/>
        </w:trPr>
        <w:tc>
          <w:tcPr>
            <w:tcW w:w="81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6"/>
              </w:rPr>
              <w:t>2029 and thereafter . . . . . . . . . . . . . . . . . . . . . . . . . . . . . . . . . . . . . . . . . . . . . . . . . . . . . . . . . . . . . . . . . . . .</w:t>
            </w:r>
          </w:p>
        </w:tc>
        <w:tc>
          <w:tcPr>
            <w:tcW w:w="1000" w:type="dxa"/>
            <w:vAlign w:val="bottom"/>
            <w:gridSpan w:val="3"/>
          </w:tcPr>
          <w:p>
            <w:pPr>
              <w:jc w:val="right"/>
              <w:ind w:right="272"/>
              <w:spacing w:after="0"/>
              <w:rPr>
                <w:sz w:val="20"/>
                <w:szCs w:val="20"/>
                <w:color w:val="auto"/>
              </w:rPr>
            </w:pPr>
            <w:r>
              <w:rPr>
                <w:rFonts w:ascii="Times New Roman" w:cs="Times New Roman" w:eastAsia="Times New Roman" w:hAnsi="Times New Roman"/>
                <w:sz w:val="20"/>
                <w:szCs w:val="20"/>
                <w:color w:val="auto"/>
                <w:w w:val="95"/>
              </w:rPr>
              <w:t>. . . . . . .</w:t>
            </w: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08"/>
        </w:trPr>
        <w:tc>
          <w:tcPr>
            <w:tcW w:w="8100" w:type="dxa"/>
            <w:vAlign w:val="bottom"/>
            <w:gridSpan w:val="3"/>
          </w:tcPr>
          <w:p>
            <w:pPr>
              <w:jc w:val="right"/>
              <w:spacing w:after="0" w:line="208"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w:t>
            </w:r>
            <w:r>
              <w:rPr>
                <w:rFonts w:ascii="Times New Roman" w:cs="Times New Roman" w:eastAsia="Times New Roman" w:hAnsi="Times New Roman"/>
                <w:sz w:val="20"/>
                <w:szCs w:val="20"/>
                <w:b w:val="1"/>
                <w:bCs w:val="1"/>
                <w:color w:val="auto"/>
                <w:w w:val="99"/>
              </w:rPr>
              <w:t>Totaloperatingleasepayments</w:t>
            </w:r>
          </w:p>
        </w:tc>
        <w:tc>
          <w:tcPr>
            <w:tcW w:w="1000" w:type="dxa"/>
            <w:vAlign w:val="bottom"/>
            <w:gridSpan w:val="3"/>
          </w:tcPr>
          <w:p>
            <w:pPr>
              <w:jc w:val="right"/>
              <w:ind w:right="272"/>
              <w:spacing w:after="0" w:line="208" w:lineRule="exact"/>
              <w:rPr>
                <w:sz w:val="20"/>
                <w:szCs w:val="20"/>
                <w:color w:val="auto"/>
              </w:rPr>
            </w:pPr>
            <w:r>
              <w:rPr>
                <w:rFonts w:ascii="Times New Roman" w:cs="Times New Roman" w:eastAsia="Times New Roman" w:hAnsi="Times New Roman"/>
                <w:sz w:val="20"/>
                <w:szCs w:val="20"/>
                <w:color w:val="auto"/>
                <w:w w:val="95"/>
              </w:rPr>
              <w:t>. . . . . . .</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55</w:t>
            </w:r>
          </w:p>
        </w:tc>
      </w:tr>
      <w:tr>
        <w:trPr>
          <w:trHeight w:val="241"/>
        </w:trPr>
        <w:tc>
          <w:tcPr>
            <w:tcW w:w="81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Imputed interest . . . . . . . . . . . . . . . . . . . . . . . . . . . . . . . . . . . . . . . . . . . . . . . . . . . . . . . . . . . . . . . . . . . . . .</w:t>
            </w:r>
          </w:p>
        </w:tc>
        <w:tc>
          <w:tcPr>
            <w:tcW w:w="1000" w:type="dxa"/>
            <w:vAlign w:val="bottom"/>
            <w:gridSpan w:val="3"/>
          </w:tcPr>
          <w:p>
            <w:pPr>
              <w:jc w:val="right"/>
              <w:ind w:right="272"/>
              <w:spacing w:after="0"/>
              <w:rPr>
                <w:sz w:val="20"/>
                <w:szCs w:val="20"/>
                <w:color w:val="auto"/>
              </w:rPr>
            </w:pPr>
            <w:r>
              <w:rPr>
                <w:rFonts w:ascii="Times New Roman" w:cs="Times New Roman" w:eastAsia="Times New Roman" w:hAnsi="Times New Roman"/>
                <w:sz w:val="20"/>
                <w:szCs w:val="20"/>
                <w:color w:val="auto"/>
                <w:w w:val="95"/>
              </w:rPr>
              <w:t>. . . . . . .</w:t>
            </w: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40"/>
        </w:trPr>
        <w:tc>
          <w:tcPr>
            <w:tcW w:w="81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 . . . . . . . . . . . . . . . . . . . . . . . . .</w:t>
            </w:r>
            <w:r>
              <w:rPr>
                <w:rFonts w:ascii="Times New Roman" w:cs="Times New Roman" w:eastAsia="Times New Roman" w:hAnsi="Times New Roman"/>
                <w:sz w:val="20"/>
                <w:szCs w:val="20"/>
                <w:b w:val="1"/>
                <w:bCs w:val="1"/>
                <w:color w:val="auto"/>
              </w:rPr>
              <w:t>Presentvalueofleaseliabilities</w:t>
            </w:r>
          </w:p>
        </w:tc>
        <w:tc>
          <w:tcPr>
            <w:tcW w:w="1000" w:type="dxa"/>
            <w:vAlign w:val="bottom"/>
            <w:gridSpan w:val="3"/>
          </w:tcPr>
          <w:p>
            <w:pPr>
              <w:jc w:val="right"/>
              <w:ind w:right="272"/>
              <w:spacing w:after="0"/>
              <w:rPr>
                <w:sz w:val="20"/>
                <w:szCs w:val="20"/>
                <w:color w:val="auto"/>
              </w:rPr>
            </w:pPr>
            <w:r>
              <w:rPr>
                <w:rFonts w:ascii="Times New Roman" w:cs="Times New Roman" w:eastAsia="Times New Roman" w:hAnsi="Times New Roman"/>
                <w:sz w:val="20"/>
                <w:szCs w:val="20"/>
                <w:color w:val="auto"/>
                <w:w w:val="95"/>
              </w:rPr>
              <w:t>. . . . . . .</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50</w:t>
            </w:r>
          </w:p>
        </w:tc>
      </w:tr>
    </w:tbl>
    <w:p>
      <w:pPr>
        <w:spacing w:after="0" w:line="20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During 2017, the Company obtained the right to use land in Jerusalem from the Israeli government for the construction of a new research and development and innovation center that now hosts the Company’s headquarters (the new Jerusalem Campus). This land lease was fully prepaid and no lease liability was recorded. This operating lease right of use asset is carried at cost and amortized using the straight-line method. This operating lease right of use asset, net of amortization, was $11 million and $12 million as of December 28, 2024 and December 30, 2023, respectively, and is included in other long-term assets on the consolidated balance sheets.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EQUITY</w:t>
      </w:r>
    </w:p>
    <w:p>
      <w:pPr>
        <w:spacing w:after="0" w:line="240" w:lineRule="exact"/>
        <w:rPr>
          <w:sz w:val="20"/>
          <w:szCs w:val="20"/>
          <w:color w:val="auto"/>
        </w:rPr>
      </w:pPr>
    </w:p>
    <w:p>
      <w:pPr>
        <w:ind w:left="720" w:hanging="360"/>
        <w:spacing w:after="0"/>
        <w:tabs>
          <w:tab w:leader="none" w:pos="72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Common Stock and Voting Rights</w:t>
      </w:r>
    </w:p>
    <w:p>
      <w:pPr>
        <w:spacing w:after="0" w:line="242"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We have two classes of authorized common stock: Class A common stock, which is listed on Nasdaq under the symbol “MBLY”, and Class B common stock which is not listed or traded on any stock exchange and is held by Intel. Both classes of common stock have a par value of $0.01 per share. The rights of the holders of our Class A common stock and Class B common stock are identical, except with respect to voting, transfer, and conversion rights. Each share of our Class A common stock is entitled to one vote. Each share of our Class B common stock is entitled to ten votes and is convertible at any time into one share of our Class A common stock, subject to certain conditions. Intel continues to directly, or indirectly, hold all of the Class B common stock of Mobileye, which represents approximately 87.7% of our outstanding common stock and 98.6% of the voting power of our common stock as of December 28, 2024.</w:t>
      </w:r>
    </w:p>
    <w:p>
      <w:pPr>
        <w:spacing w:after="0" w:line="184" w:lineRule="exact"/>
        <w:rPr>
          <w:sz w:val="20"/>
          <w:szCs w:val="20"/>
          <w:color w:val="auto"/>
        </w:rPr>
      </w:pPr>
    </w:p>
    <w:p>
      <w:pPr>
        <w:ind w:left="720" w:hanging="360"/>
        <w:spacing w:after="0"/>
        <w:tabs>
          <w:tab w:leader="none" w:pos="72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Dividends</w:t>
      </w:r>
    </w:p>
    <w:p>
      <w:pPr>
        <w:spacing w:after="0" w:line="242"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On May 12, 2022, Mobileye Group declared and paid a dividend in an aggregate amount of $336 million to Intel, net of $14 million of cash paid to tax authorities to settle related tax obligations.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October 2022, the Company made a capital distribution in cash to Intel in the amount of $1.1 million.</w:t>
      </w:r>
    </w:p>
    <w:p>
      <w:pPr>
        <w:spacing w:after="0" w:line="237" w:lineRule="exact"/>
        <w:rPr>
          <w:sz w:val="20"/>
          <w:szCs w:val="20"/>
          <w:color w:val="auto"/>
        </w:rPr>
      </w:pPr>
    </w:p>
    <w:p>
      <w:pPr>
        <w:ind w:left="720" w:hanging="360"/>
        <w:spacing w:after="0"/>
        <w:tabs>
          <w:tab w:leader="none" w:pos="72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Share-based compensation plans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Mobileye Plan</w:t>
      </w:r>
    </w:p>
    <w:p>
      <w:pPr>
        <w:spacing w:after="0" w:line="23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In connection with the Mobileye IPO, the Company approved the Mobileye Global Inc. 2022 Equity Incentive Plan (the “2022 Plan”). Equity awards under the 2022 Plan are granted for Class A shares and vest upon the satisfaction of a service-based vesting condition, mostly over a service periods of three years. The RSUs granted during 2024, 2023 and 2022 also include 0.5 million, 0.4 million and 2.1 million RSUs granted to the Company’s Chief Executive Officer, in a total value of $14 million, $14 million and $44 million, respectively, which will vest over a service period of up to five years.</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ectPr>
          <w:pgSz w:w="11880" w:h="15480" w:orient="portrait"/>
          <w:cols w:equalWidth="0" w:num="1">
            <w:col w:w="10800"/>
          </w:cols>
          <w:pgMar w:left="540" w:top="984" w:right="540" w:bottom="0"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With respect to Israeli employees, the 2022 Plan is designed to grant awards pursuant to the provision of Section 102 of the Israeli Income Tax Ordinance. In accordance with the capital gains treatment elected by the Company, the Company is not allowed for tax purposes to deduct the amounts credited to employees. This includes amounts recorded as salary benefits in the Company’s consolidated financial statements, in respect of equity granted to employees under the 2022 Plan, with the exception of the benefit component, if any, on the grant date.</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Restricted Stock Units</w:t>
      </w: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RSU activity for the years ended December 28, 2024, December 30, 2023 and December 31, 2022 for RSUs granted to the</w:t>
      </w:r>
    </w:p>
    <w:p>
      <w:pPr>
        <w:spacing w:after="0"/>
        <w:rPr>
          <w:sz w:val="20"/>
          <w:szCs w:val="20"/>
          <w:color w:val="auto"/>
        </w:rPr>
      </w:pPr>
      <w:r>
        <w:rPr>
          <w:rFonts w:ascii="Times New Roman" w:cs="Times New Roman" w:eastAsia="Times New Roman" w:hAnsi="Times New Roman"/>
          <w:sz w:val="20"/>
          <w:szCs w:val="20"/>
          <w:color w:val="auto"/>
        </w:rPr>
        <w:t>Company’s employees under the 2022 Plan was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0" w:type="dxa"/>
            <w:vAlign w:val="bottom"/>
          </w:tcPr>
          <w:p>
            <w:pPr>
              <w:spacing w:after="0"/>
              <w:rPr>
                <w:sz w:val="1"/>
                <w:szCs w:val="1"/>
                <w:color w:val="auto"/>
              </w:rPr>
            </w:pPr>
          </w:p>
        </w:tc>
      </w:tr>
      <w:tr>
        <w:trPr>
          <w:trHeight w:val="205"/>
        </w:trPr>
        <w:tc>
          <w:tcPr>
            <w:tcW w:w="7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date fair value per share</w:t>
            </w:r>
          </w:p>
        </w:tc>
        <w:tc>
          <w:tcPr>
            <w:tcW w:w="0" w:type="dxa"/>
            <w:vAlign w:val="bottom"/>
          </w:tcPr>
          <w:p>
            <w:pPr>
              <w:spacing w:after="0"/>
              <w:rPr>
                <w:sz w:val="1"/>
                <w:szCs w:val="1"/>
                <w:color w:val="auto"/>
              </w:rPr>
            </w:pPr>
          </w:p>
        </w:tc>
      </w:tr>
      <w:tr>
        <w:trPr>
          <w:trHeight w:val="174"/>
        </w:trPr>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Outstanding as of December 25, 2021</w:t>
            </w:r>
          </w:p>
        </w:tc>
        <w:tc>
          <w:tcPr>
            <w:tcW w:w="1660" w:type="dxa"/>
            <w:vAlign w:val="bottom"/>
            <w:tcBorders>
              <w:bottom w:val="single" w:sz="8" w:color="auto"/>
            </w:tcBorders>
          </w:tcPr>
          <w:p>
            <w:pPr>
              <w:jc w:val="right"/>
              <w:ind w:right="303"/>
              <w:spacing w:after="0" w:line="175"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81"/>
              <w:spacing w:after="0" w:line="175" w:lineRule="exact"/>
              <w:rPr>
                <w:sz w:val="20"/>
                <w:szCs w:val="20"/>
                <w:color w:val="auto"/>
              </w:rPr>
            </w:pPr>
            <w:r>
              <w:rPr>
                <w:rFonts w:ascii="Times New Roman" w:cs="Times New Roman" w:eastAsia="Times New Roman" w:hAnsi="Times New Roman"/>
                <w:sz w:val="16"/>
                <w:szCs w:val="16"/>
                <w:b w:val="1"/>
                <w:bCs w:val="1"/>
                <w:color w:val="auto"/>
              </w:rPr>
              <w:t>U.S. dollars</w:t>
            </w:r>
          </w:p>
        </w:tc>
        <w:tc>
          <w:tcPr>
            <w:tcW w:w="0" w:type="dxa"/>
            <w:vAlign w:val="bottom"/>
          </w:tcPr>
          <w:p>
            <w:pPr>
              <w:spacing w:after="0"/>
              <w:rPr>
                <w:sz w:val="1"/>
                <w:szCs w:val="1"/>
                <w:color w:val="auto"/>
              </w:rPr>
            </w:pPr>
          </w:p>
        </w:tc>
      </w:tr>
      <w:tr>
        <w:trPr>
          <w:trHeight w:val="200"/>
        </w:trPr>
        <w:tc>
          <w:tcPr>
            <w:tcW w:w="7120" w:type="dxa"/>
            <w:vAlign w:val="bottom"/>
            <w:gridSpan w:val="2"/>
            <w:vMerge w:val="continue"/>
          </w:tcPr>
          <w:p>
            <w:pPr>
              <w:jc w:val="right"/>
              <w:ind w:right="30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w:t>
            </w:r>
          </w:p>
        </w:tc>
        <w:tc>
          <w:tcPr>
            <w:tcW w:w="16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jc w:val="right"/>
              <w:ind w:right="11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71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7"/>
              </w:rPr>
              <w:t>Granted . . . . . . . . . . . . . . . . . . . . . . . . . . . . . . . . . . . . . . . . . . . . . . . . . . . . . . . . . . . . . .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12,570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41"/>
        </w:trPr>
        <w:tc>
          <w:tcPr>
            <w:tcW w:w="71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Forfeited . . . . . . . . . . . . . . . . . . . . . . . . . . . . . . . . . . . . . . . . . . . . . . . . . . . . . . . . . . . . . .</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40"/>
        </w:trPr>
        <w:tc>
          <w:tcPr>
            <w:tcW w:w="71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 . . . . . . . . . . . . . . . . . . . . . . . . . . . . . . . . . . . . .</w:t>
            </w:r>
            <w:r>
              <w:rPr>
                <w:rFonts w:ascii="Times New Roman" w:cs="Times New Roman" w:eastAsia="Times New Roman" w:hAnsi="Times New Roman"/>
                <w:sz w:val="20"/>
                <w:szCs w:val="20"/>
                <w:b w:val="1"/>
                <w:bCs w:val="1"/>
                <w:color w:val="auto"/>
              </w:rPr>
              <w:t>OutstandingasofDecember31,2022</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12,564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w:t>
            </w:r>
          </w:p>
        </w:tc>
        <w:tc>
          <w:tcPr>
            <w:tcW w:w="0" w:type="dxa"/>
            <w:vAlign w:val="bottom"/>
          </w:tcPr>
          <w:p>
            <w:pPr>
              <w:spacing w:after="0"/>
              <w:rPr>
                <w:sz w:val="1"/>
                <w:szCs w:val="1"/>
                <w:color w:val="auto"/>
              </w:rPr>
            </w:pPr>
          </w:p>
        </w:tc>
      </w:tr>
      <w:tr>
        <w:trPr>
          <w:trHeight w:val="210"/>
        </w:trPr>
        <w:tc>
          <w:tcPr>
            <w:tcW w:w="7120" w:type="dxa"/>
            <w:vAlign w:val="bottom"/>
            <w:gridSpan w:val="2"/>
          </w:tcPr>
          <w:p>
            <w:pPr>
              <w:jc w:val="right"/>
              <w:ind w:right="300"/>
              <w:spacing w:after="0" w:line="210"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 . . . . .Granted</w:t>
            </w:r>
          </w:p>
        </w:tc>
        <w:tc>
          <w:tcPr>
            <w:tcW w:w="16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6,782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232"/>
        </w:trPr>
        <w:tc>
          <w:tcPr>
            <w:tcW w:w="71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Vested  . . . . . . . . . . . . . . . . . . . . . . . . . . . . . . . . . . . . . . . . . . . . . . . . . . . . . . . . . . . . . .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41"/>
        </w:trPr>
        <w:tc>
          <w:tcPr>
            <w:tcW w:w="71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Forfeited . . . . . . . . . . . . . . . . . . . . . . . . . . . . . . . . . . . . . . . . . . . . . . . . . . . . . . . . . . . . . .</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40"/>
        </w:trPr>
        <w:tc>
          <w:tcPr>
            <w:tcW w:w="71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 . . . . . . . . . . . . . . . . . . . . . . . . . . . . . . . . . . . . .</w:t>
            </w:r>
            <w:r>
              <w:rPr>
                <w:rFonts w:ascii="Times New Roman" w:cs="Times New Roman" w:eastAsia="Times New Roman" w:hAnsi="Times New Roman"/>
                <w:sz w:val="20"/>
                <w:szCs w:val="20"/>
                <w:b w:val="1"/>
                <w:bCs w:val="1"/>
                <w:color w:val="auto"/>
              </w:rPr>
              <w:t>OutstandingasofDecember30,2023</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14,778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w:t>
            </w:r>
          </w:p>
        </w:tc>
        <w:tc>
          <w:tcPr>
            <w:tcW w:w="0" w:type="dxa"/>
            <w:vAlign w:val="bottom"/>
          </w:tcPr>
          <w:p>
            <w:pPr>
              <w:spacing w:after="0"/>
              <w:rPr>
                <w:sz w:val="1"/>
                <w:szCs w:val="1"/>
                <w:color w:val="auto"/>
              </w:rPr>
            </w:pPr>
          </w:p>
        </w:tc>
      </w:tr>
      <w:tr>
        <w:trPr>
          <w:trHeight w:val="212"/>
        </w:trPr>
        <w:tc>
          <w:tcPr>
            <w:tcW w:w="7120" w:type="dxa"/>
            <w:vAlign w:val="bottom"/>
            <w:gridSpan w:val="2"/>
          </w:tcPr>
          <w:p>
            <w:pPr>
              <w:jc w:val="right"/>
              <w:ind w:right="300"/>
              <w:spacing w:after="0" w:line="211"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 . . . . .Granted</w:t>
            </w:r>
          </w:p>
        </w:tc>
        <w:tc>
          <w:tcPr>
            <w:tcW w:w="166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13,542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30"/>
        </w:trPr>
        <w:tc>
          <w:tcPr>
            <w:tcW w:w="71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Vested  . . . . . . . . . . . . . . . . . . . . . . . . . . . . . . . . . . . . . . . . . . . . . . . . . . . . . . . . . . . . . . .</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42"/>
        </w:trPr>
        <w:tc>
          <w:tcPr>
            <w:tcW w:w="71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Forfeited . . . . . . . . . . . . . . . . . . . . . . . . . . . . . . . . . . . . . . . . . . . . . . . . . . . . . . . . . . . . . .</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40"/>
        </w:trPr>
        <w:tc>
          <w:tcPr>
            <w:tcW w:w="7100" w:type="dxa"/>
            <w:vAlign w:val="bottom"/>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w w:val="97"/>
              </w:rPr>
              <w:t xml:space="preserve">Outstanding as of December 28, 2024 </w:t>
            </w:r>
            <w:r>
              <w:rPr>
                <w:rFonts w:ascii="Times New Roman" w:cs="Times New Roman" w:eastAsia="Times New Roman" w:hAnsi="Times New Roman"/>
                <w:sz w:val="20"/>
                <w:szCs w:val="20"/>
                <w:color w:val="auto"/>
                <w:w w:val="97"/>
              </w:rPr>
              <w:t>. . . . . . . . . . . . . . . . . . . . . . . . . . . . . . . . . . . . . .</w:t>
            </w:r>
          </w:p>
        </w:tc>
        <w:tc>
          <w:tcPr>
            <w:tcW w:w="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21,453</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As of December 28, 2024, the unrecognized compensation cost related to all unvested RSUs granted under the Company’s 2022 Plan, was $405 million, which is expected to be recognized as expense over a weighted-average period of 2.07 years.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Intel Plan</w:t>
      </w:r>
    </w:p>
    <w:p>
      <w:pPr>
        <w:spacing w:after="0" w:line="239"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Prior to the Mobileye IPO, since 2017, employees of the Company had been incentivized and rewarded through the grant of Intel equity awards under the Intel Corporation 2006 Equity Incentive Plan (the “2006 Plan”).</w:t>
      </w:r>
    </w:p>
    <w:p>
      <w:pPr>
        <w:spacing w:after="0" w:line="16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2006 Plan provides for the grant of equity awards covering Intel common stock to eligible employees of the Company and contain only a service condition. The equity awards granted generally vest over the course of three years from the grant date.</w:t>
      </w:r>
    </w:p>
    <w:p>
      <w:pPr>
        <w:spacing w:after="0" w:line="16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With respect to Israeli employees, the 2006 Plan is designed to grant awards pursuant to the provision of Section 102 of the Israeli Income Tax Ordinance. In accordance with the capital gains treatment elected by the Company, the Company is not allowed for tax purposes to deduct the amounts credited to employees. This includes amounts recorded as salary benefits in the Company’s consolidated financial statements, in respect of equity granted to employees under the 2006 Plan, with the exception of the benefit component, if any, on the grant date.</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ectPr>
          <w:pgSz w:w="11880" w:h="15480" w:orient="portrait"/>
          <w:cols w:equalWidth="0" w:num="1">
            <w:col w:w="10800"/>
          </w:cols>
          <w:pgMar w:left="540" w:top="984" w:right="540" w:bottom="0"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Options</w:t>
      </w: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Outstanding and exercisable options for Intel’s common stock under Intel’s 2006 Plan as of December 28, 2024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Exercisable</w:t>
            </w:r>
          </w:p>
        </w:tc>
      </w:tr>
      <w:tr>
        <w:trPr>
          <w:trHeight w:val="155"/>
        </w:trPr>
        <w:tc>
          <w:tcPr>
            <w:tcW w:w="4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13"/>
              <w:spacing w:after="0" w:line="155"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33"/>
              <w:spacing w:after="0" w:line="155" w:lineRule="exact"/>
              <w:rPr>
                <w:sz w:val="20"/>
                <w:szCs w:val="20"/>
                <w:color w:val="auto"/>
              </w:rPr>
            </w:pPr>
            <w:r>
              <w:rPr>
                <w:rFonts w:ascii="Times New Roman" w:cs="Times New Roman" w:eastAsia="Times New Roman" w:hAnsi="Times New Roman"/>
                <w:sz w:val="16"/>
                <w:szCs w:val="16"/>
                <w:b w:val="1"/>
                <w:bCs w:val="1"/>
                <w:color w:val="auto"/>
              </w:rPr>
              <w:t>Weighted</w:t>
            </w:r>
          </w:p>
        </w:tc>
      </w:tr>
      <w:tr>
        <w:trPr>
          <w:trHeight w:val="185"/>
        </w:trPr>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7"/>
              </w:rPr>
              <w:t>average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7"/>
              </w:rPr>
              <w:t>average</w:t>
            </w:r>
          </w:p>
        </w:tc>
      </w:tr>
      <w:tr>
        <w:trPr>
          <w:trHeight w:val="206"/>
        </w:trPr>
        <w:tc>
          <w:tcPr>
            <w:tcW w:w="4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Exercise price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exercise price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exercise price</w:t>
            </w:r>
          </w:p>
        </w:tc>
      </w:tr>
      <w:tr>
        <w:trPr>
          <w:trHeight w:val="174"/>
        </w:trPr>
        <w:tc>
          <w:tcPr>
            <w:tcW w:w="4100" w:type="dxa"/>
            <w:vAlign w:val="bottom"/>
            <w:tcBorders>
              <w:top w:val="single" w:sz="8" w:color="auto"/>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U.S. dollars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In thousands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In years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center"/>
              <w:ind w:right="13"/>
              <w:spacing w:after="0" w:line="175" w:lineRule="exact"/>
              <w:rPr>
                <w:sz w:val="20"/>
                <w:szCs w:val="20"/>
                <w:color w:val="auto"/>
              </w:rPr>
            </w:pPr>
            <w:r>
              <w:rPr>
                <w:rFonts w:ascii="Times New Roman" w:cs="Times New Roman" w:eastAsia="Times New Roman" w:hAnsi="Times New Roman"/>
                <w:sz w:val="16"/>
                <w:szCs w:val="16"/>
                <w:b w:val="1"/>
                <w:bCs w:val="1"/>
                <w:color w:val="auto"/>
              </w:rPr>
              <w:t>U.S. dollars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In thousands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center"/>
              <w:ind w:right="13"/>
              <w:spacing w:after="0" w:line="175" w:lineRule="exact"/>
              <w:rPr>
                <w:sz w:val="20"/>
                <w:szCs w:val="20"/>
                <w:color w:val="auto"/>
              </w:rPr>
            </w:pPr>
            <w:r>
              <w:rPr>
                <w:rFonts w:ascii="Times New Roman" w:cs="Times New Roman" w:eastAsia="Times New Roman" w:hAnsi="Times New Roman"/>
                <w:sz w:val="16"/>
                <w:szCs w:val="16"/>
                <w:b w:val="1"/>
                <w:bCs w:val="1"/>
                <w:color w:val="auto"/>
              </w:rPr>
              <w:t>U.S. dollars</w:t>
            </w:r>
          </w:p>
        </w:tc>
      </w:tr>
      <w:tr>
        <w:trPr>
          <w:trHeight w:val="211"/>
        </w:trPr>
        <w:tc>
          <w:tcPr>
            <w:tcW w:w="410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w w:val="99"/>
              </w:rPr>
              <w:t>$ 4.0 - 21.6 . . . . . . . . . . . . . . . . . . . . . . . . . . . . . . .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Borders>
              <w:bottom w:val="single" w:sz="8" w:color="auto"/>
            </w:tcBorders>
          </w:tcPr>
          <w:p>
            <w:pPr>
              <w:ind w:left="800"/>
              <w:spacing w:after="0" w:line="207" w:lineRule="exact"/>
              <w:rPr>
                <w:sz w:val="20"/>
                <w:szCs w:val="20"/>
                <w:color w:val="auto"/>
              </w:rPr>
            </w:pPr>
            <w:r>
              <w:rPr>
                <w:rFonts w:ascii="Times New Roman" w:cs="Times New Roman" w:eastAsia="Times New Roman" w:hAnsi="Times New Roman"/>
                <w:sz w:val="20"/>
                <w:szCs w:val="20"/>
                <w:color w:val="auto"/>
              </w:rPr>
              <w:t>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0"/>
                <w:szCs w:val="20"/>
                <w:color w:val="auto"/>
              </w:rPr>
              <w:t>4.7</w:t>
            </w:r>
          </w:p>
        </w:tc>
      </w:tr>
      <w:tr>
        <w:trPr>
          <w:trHeight w:val="242"/>
        </w:trPr>
        <w:tc>
          <w:tcPr>
            <w:tcW w:w="42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w:t>
            </w:r>
            <w:r>
              <w:rPr>
                <w:rFonts w:ascii="Times New Roman" w:cs="Times New Roman" w:eastAsia="Times New Roman" w:hAnsi="Times New Roman"/>
                <w:sz w:val="20"/>
                <w:szCs w:val="20"/>
                <w:color w:val="auto"/>
              </w:rPr>
              <w:t>. . . . . . . . . . . . . . . . . . . . . . . . . . . . . . . . . . . . .</w:t>
            </w:r>
          </w:p>
        </w:tc>
        <w:tc>
          <w:tcPr>
            <w:tcW w:w="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58</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5.7</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20"/>
                <w:szCs w:val="20"/>
                <w:b w:val="1"/>
                <w:bCs w:val="1"/>
                <w:color w:val="auto"/>
              </w:rPr>
              <w:t>55</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4.7</w:t>
            </w:r>
          </w:p>
        </w:tc>
      </w:tr>
    </w:tbl>
    <w:p>
      <w:pPr>
        <w:spacing w:after="0" w:line="2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option activity for the years ended December 28, 2024, December 30, 2023, and December 31, 2022 for options granted to</w:t>
      </w:r>
    </w:p>
    <w:p>
      <w:pPr>
        <w:spacing w:after="0"/>
        <w:rPr>
          <w:sz w:val="20"/>
          <w:szCs w:val="20"/>
          <w:color w:val="auto"/>
        </w:rPr>
      </w:pPr>
      <w:r>
        <w:rPr>
          <w:rFonts w:ascii="Times New Roman" w:cs="Times New Roman" w:eastAsia="Times New Roman" w:hAnsi="Times New Roman"/>
          <w:sz w:val="20"/>
          <w:szCs w:val="20"/>
          <w:color w:val="auto"/>
        </w:rPr>
        <w:t>Company’s employees for Intel’s common stock was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right="185"/>
              <w:spacing w:after="0"/>
              <w:rPr>
                <w:sz w:val="20"/>
                <w:szCs w:val="20"/>
                <w:color w:val="auto"/>
              </w:rPr>
            </w:pPr>
            <w:r>
              <w:rPr>
                <w:rFonts w:ascii="Times New Roman" w:cs="Times New Roman" w:eastAsia="Times New Roman" w:hAnsi="Times New Roman"/>
                <w:sz w:val="16"/>
                <w:szCs w:val="16"/>
                <w:b w:val="1"/>
                <w:bCs w:val="1"/>
                <w:color w:val="auto"/>
              </w:rPr>
              <w:t>Aggregated</w:t>
            </w: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7"/>
              </w:rPr>
              <w:t>average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right="185"/>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06"/>
        </w:trPr>
        <w:tc>
          <w:tcPr>
            <w:tcW w:w="4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9"/>
              </w:rPr>
              <w:t>exercise price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rPr>
              <w:t>value(1)</w:t>
            </w:r>
          </w:p>
        </w:tc>
        <w:tc>
          <w:tcPr>
            <w:tcW w:w="0" w:type="dxa"/>
            <w:vAlign w:val="bottom"/>
          </w:tcPr>
          <w:p>
            <w:pPr>
              <w:spacing w:after="0"/>
              <w:rPr>
                <w:sz w:val="1"/>
                <w:szCs w:val="1"/>
                <w:color w:val="auto"/>
              </w:rPr>
            </w:pPr>
          </w:p>
        </w:tc>
      </w:tr>
      <w:tr>
        <w:trPr>
          <w:trHeight w:val="174"/>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Options outstanding as of December 25, 2021</w:t>
            </w:r>
          </w:p>
        </w:tc>
        <w:tc>
          <w:tcPr>
            <w:tcW w:w="1200" w:type="dxa"/>
            <w:vAlign w:val="bottom"/>
            <w:tcBorders>
              <w:top w:val="single" w:sz="8" w:color="auto"/>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7"/>
              </w:rPr>
              <w:t>In years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center"/>
              <w:ind w:right="66"/>
              <w:spacing w:after="0" w:line="175" w:lineRule="exact"/>
              <w:rPr>
                <w:sz w:val="20"/>
                <w:szCs w:val="20"/>
                <w:color w:val="auto"/>
              </w:rPr>
            </w:pPr>
            <w:r>
              <w:rPr>
                <w:rFonts w:ascii="Times New Roman" w:cs="Times New Roman" w:eastAsia="Times New Roman" w:hAnsi="Times New Roman"/>
                <w:sz w:val="16"/>
                <w:szCs w:val="16"/>
                <w:b w:val="1"/>
                <w:bCs w:val="1"/>
                <w:color w:val="auto"/>
              </w:rPr>
              <w:t>U.S. dollars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Borders>
              <w:top w:val="single" w:sz="8" w:color="auto"/>
              <w:bottom w:val="single" w:sz="8" w:color="auto"/>
            </w:tcBorders>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U.S. dollars in millions</w:t>
            </w:r>
          </w:p>
        </w:tc>
        <w:tc>
          <w:tcPr>
            <w:tcW w:w="0" w:type="dxa"/>
            <w:vAlign w:val="bottom"/>
          </w:tcPr>
          <w:p>
            <w:pPr>
              <w:spacing w:after="0"/>
              <w:rPr>
                <w:sz w:val="1"/>
                <w:szCs w:val="1"/>
                <w:color w:val="auto"/>
              </w:rPr>
            </w:pPr>
          </w:p>
        </w:tc>
      </w:tr>
      <w:tr>
        <w:trPr>
          <w:trHeight w:val="211"/>
        </w:trPr>
        <w:tc>
          <w:tcPr>
            <w:tcW w:w="4980" w:type="dxa"/>
            <w:vAlign w:val="bottom"/>
            <w:gridSpan w:val="2"/>
            <w:vMerge w:val="continue"/>
          </w:tcPr>
          <w:p>
            <w:pPr>
              <w:jc w:val="right"/>
              <w:ind w:right="280"/>
              <w:spacing w:after="0" w:line="177" w:lineRule="exact"/>
              <w:rPr>
                <w:sz w:val="20"/>
                <w:szCs w:val="20"/>
                <w:color w:val="auto"/>
              </w:rPr>
            </w:pPr>
            <w:r>
              <w:rPr>
                <w:rFonts w:ascii="Times New Roman" w:cs="Times New Roman" w:eastAsia="Times New Roman" w:hAnsi="Times New Roman"/>
                <w:sz w:val="20"/>
                <w:szCs w:val="20"/>
                <w:color w:val="auto"/>
              </w:rPr>
              <w:t>. . . . . . . . .</w:t>
            </w:r>
          </w:p>
        </w:tc>
        <w:tc>
          <w:tcPr>
            <w:tcW w:w="12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3,578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29.2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79</w:t>
            </w:r>
          </w:p>
        </w:tc>
        <w:tc>
          <w:tcPr>
            <w:tcW w:w="0" w:type="dxa"/>
            <w:vAlign w:val="bottom"/>
          </w:tcPr>
          <w:p>
            <w:pPr>
              <w:spacing w:after="0"/>
              <w:rPr>
                <w:sz w:val="1"/>
                <w:szCs w:val="1"/>
                <w:color w:val="auto"/>
              </w:rPr>
            </w:pPr>
          </w:p>
        </w:tc>
      </w:tr>
      <w:tr>
        <w:trPr>
          <w:trHeight w:val="221"/>
        </w:trPr>
        <w:tc>
          <w:tcPr>
            <w:tcW w:w="4980" w:type="dxa"/>
            <w:vAlign w:val="bottom"/>
            <w:gridSpan w:val="2"/>
          </w:tcPr>
          <w:p>
            <w:pPr>
              <w:jc w:val="right"/>
              <w:ind w:right="280"/>
              <w:spacing w:after="0" w:line="217" w:lineRule="exact"/>
              <w:rPr>
                <w:sz w:val="20"/>
                <w:szCs w:val="20"/>
                <w:color w:val="auto"/>
              </w:rPr>
            </w:pPr>
            <w:r>
              <w:rPr>
                <w:rFonts w:ascii="Times New Roman" w:cs="Times New Roman" w:eastAsia="Times New Roman" w:hAnsi="Times New Roman"/>
                <w:sz w:val="20"/>
                <w:szCs w:val="20"/>
                <w:color w:val="auto"/>
                <w:w w:val="96"/>
              </w:rPr>
              <w:t>. . . . . . . . . . . . . . . . . . . . . . . . . . . . . . . . . . . . . . . . .Exercised</w:t>
            </w:r>
          </w:p>
        </w:tc>
        <w:tc>
          <w:tcPr>
            <w:tcW w:w="120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(1,308)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32.8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4980" w:type="dxa"/>
            <w:vAlign w:val="bottom"/>
            <w:gridSpan w:val="2"/>
          </w:tcPr>
          <w:p>
            <w:pPr>
              <w:jc w:val="right"/>
              <w:ind w:right="280"/>
              <w:spacing w:after="0" w:line="220" w:lineRule="exact"/>
              <w:rPr>
                <w:sz w:val="20"/>
                <w:szCs w:val="20"/>
                <w:color w:val="auto"/>
              </w:rPr>
            </w:pPr>
            <w:r>
              <w:rPr>
                <w:rFonts w:ascii="Times New Roman" w:cs="Times New Roman" w:eastAsia="Times New Roman" w:hAnsi="Times New Roman"/>
                <w:sz w:val="20"/>
                <w:szCs w:val="20"/>
                <w:color w:val="auto"/>
              </w:rPr>
              <w:t>. . . . . . . . .</w:t>
            </w:r>
            <w:r>
              <w:rPr>
                <w:rFonts w:ascii="Times New Roman" w:cs="Times New Roman" w:eastAsia="Times New Roman" w:hAnsi="Times New Roman"/>
                <w:sz w:val="20"/>
                <w:szCs w:val="20"/>
                <w:b w:val="1"/>
                <w:bCs w:val="1"/>
                <w:color w:val="auto"/>
              </w:rPr>
              <w:t>OptionsoutstandingasofDecember31,2022</w:t>
            </w:r>
          </w:p>
        </w:tc>
        <w:tc>
          <w:tcPr>
            <w:tcW w:w="12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2,270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0.8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27.1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1</w:t>
            </w:r>
          </w:p>
        </w:tc>
        <w:tc>
          <w:tcPr>
            <w:tcW w:w="0" w:type="dxa"/>
            <w:vAlign w:val="bottom"/>
          </w:tcPr>
          <w:p>
            <w:pPr>
              <w:spacing w:after="0"/>
              <w:rPr>
                <w:sz w:val="1"/>
                <w:szCs w:val="1"/>
                <w:color w:val="auto"/>
              </w:rPr>
            </w:pPr>
          </w:p>
        </w:tc>
      </w:tr>
      <w:tr>
        <w:trPr>
          <w:trHeight w:val="210"/>
        </w:trPr>
        <w:tc>
          <w:tcPr>
            <w:tcW w:w="4980" w:type="dxa"/>
            <w:vAlign w:val="bottom"/>
            <w:gridSpan w:val="2"/>
          </w:tcPr>
          <w:p>
            <w:pPr>
              <w:jc w:val="right"/>
              <w:ind w:right="280"/>
              <w:spacing w:after="0" w:line="210" w:lineRule="exact"/>
              <w:rPr>
                <w:sz w:val="20"/>
                <w:szCs w:val="20"/>
                <w:color w:val="auto"/>
              </w:rPr>
            </w:pPr>
            <w:r>
              <w:rPr>
                <w:rFonts w:ascii="Times New Roman" w:cs="Times New Roman" w:eastAsia="Times New Roman" w:hAnsi="Times New Roman"/>
                <w:sz w:val="20"/>
                <w:szCs w:val="20"/>
                <w:color w:val="auto"/>
                <w:w w:val="96"/>
              </w:rPr>
              <w:t>. . . . . . . . . . . . . . . . . . . . . . . . . . . . . . . . . . . . . . . . .Exercised</w:t>
            </w:r>
          </w:p>
        </w:tc>
        <w:tc>
          <w:tcPr>
            <w:tcW w:w="12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(36)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22.3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2"/>
        </w:trPr>
        <w:tc>
          <w:tcPr>
            <w:tcW w:w="49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Expired . . . . . . . . . . . . . . . . . . . . . . . . . . . . . . . . . . . . . . . . . .</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(2,099)</w:t>
            </w:r>
          </w:p>
        </w:tc>
        <w:tc>
          <w:tcPr>
            <w:tcW w:w="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1"/>
        </w:trPr>
        <w:tc>
          <w:tcPr>
            <w:tcW w:w="4980" w:type="dxa"/>
            <w:vAlign w:val="bottom"/>
            <w:gridSpan w:val="2"/>
          </w:tcPr>
          <w:p>
            <w:pPr>
              <w:jc w:val="right"/>
              <w:ind w:right="280"/>
              <w:spacing w:after="0" w:line="220" w:lineRule="exact"/>
              <w:rPr>
                <w:sz w:val="20"/>
                <w:szCs w:val="20"/>
                <w:color w:val="auto"/>
              </w:rPr>
            </w:pPr>
            <w:r>
              <w:rPr>
                <w:rFonts w:ascii="Times New Roman" w:cs="Times New Roman" w:eastAsia="Times New Roman" w:hAnsi="Times New Roman"/>
                <w:sz w:val="20"/>
                <w:szCs w:val="20"/>
                <w:color w:val="auto"/>
              </w:rPr>
              <w:t>. . . . . . . . .</w:t>
            </w:r>
            <w:r>
              <w:rPr>
                <w:rFonts w:ascii="Times New Roman" w:cs="Times New Roman" w:eastAsia="Times New Roman" w:hAnsi="Times New Roman"/>
                <w:sz w:val="20"/>
                <w:szCs w:val="20"/>
                <w:b w:val="1"/>
                <w:bCs w:val="1"/>
                <w:color w:val="auto"/>
              </w:rPr>
              <w:t>OptionsoutstandingasofDecember30,2023</w:t>
            </w:r>
          </w:p>
        </w:tc>
        <w:tc>
          <w:tcPr>
            <w:tcW w:w="12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135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1.0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31.7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3</w:t>
            </w:r>
          </w:p>
        </w:tc>
        <w:tc>
          <w:tcPr>
            <w:tcW w:w="0" w:type="dxa"/>
            <w:vAlign w:val="bottom"/>
          </w:tcPr>
          <w:p>
            <w:pPr>
              <w:spacing w:after="0"/>
              <w:rPr>
                <w:sz w:val="1"/>
                <w:szCs w:val="1"/>
                <w:color w:val="auto"/>
              </w:rPr>
            </w:pPr>
          </w:p>
        </w:tc>
      </w:tr>
      <w:tr>
        <w:trPr>
          <w:trHeight w:val="209"/>
        </w:trPr>
        <w:tc>
          <w:tcPr>
            <w:tcW w:w="4980" w:type="dxa"/>
            <w:vAlign w:val="bottom"/>
            <w:gridSpan w:val="2"/>
          </w:tcPr>
          <w:p>
            <w:pPr>
              <w:jc w:val="right"/>
              <w:ind w:right="280"/>
              <w:spacing w:after="0" w:line="209" w:lineRule="exact"/>
              <w:rPr>
                <w:sz w:val="20"/>
                <w:szCs w:val="20"/>
                <w:color w:val="auto"/>
              </w:rPr>
            </w:pPr>
            <w:r>
              <w:rPr>
                <w:rFonts w:ascii="Times New Roman" w:cs="Times New Roman" w:eastAsia="Times New Roman" w:hAnsi="Times New Roman"/>
                <w:sz w:val="20"/>
                <w:szCs w:val="20"/>
                <w:color w:val="auto"/>
                <w:w w:val="96"/>
              </w:rPr>
              <w:t>. . . . . . . . . . . . . . . . . . . . . . . . . . . . . . . . . . . . . . . . .Exercised</w:t>
            </w:r>
          </w:p>
        </w:tc>
        <w:tc>
          <w:tcPr>
            <w:tcW w:w="12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23.7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2"/>
        </w:trPr>
        <w:tc>
          <w:tcPr>
            <w:tcW w:w="49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Expired . . . . . . . . . . . . . . . . . . . . . . . . . . . . . . . . . . . . . . . . . .</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(71)</w:t>
            </w:r>
          </w:p>
        </w:tc>
        <w:tc>
          <w:tcPr>
            <w:tcW w:w="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1"/>
        </w:trPr>
        <w:tc>
          <w:tcPr>
            <w:tcW w:w="4980" w:type="dxa"/>
            <w:vAlign w:val="bottom"/>
            <w:gridSpan w:val="2"/>
          </w:tcPr>
          <w:p>
            <w:pPr>
              <w:jc w:val="right"/>
              <w:ind w:right="280"/>
              <w:spacing w:after="0" w:line="217" w:lineRule="exact"/>
              <w:rPr>
                <w:sz w:val="20"/>
                <w:szCs w:val="20"/>
                <w:color w:val="auto"/>
              </w:rPr>
            </w:pPr>
            <w:r>
              <w:rPr>
                <w:rFonts w:ascii="Times New Roman" w:cs="Times New Roman" w:eastAsia="Times New Roman" w:hAnsi="Times New Roman"/>
                <w:sz w:val="20"/>
                <w:szCs w:val="20"/>
                <w:color w:val="auto"/>
              </w:rPr>
              <w:t>. . . . . . . . .</w:t>
            </w:r>
            <w:r>
              <w:rPr>
                <w:rFonts w:ascii="Times New Roman" w:cs="Times New Roman" w:eastAsia="Times New Roman" w:hAnsi="Times New Roman"/>
                <w:sz w:val="20"/>
                <w:szCs w:val="20"/>
                <w:b w:val="1"/>
                <w:bCs w:val="1"/>
                <w:color w:val="auto"/>
              </w:rPr>
              <w:t>OptionsoutstandingasofDecember28,2024</w:t>
            </w:r>
          </w:p>
        </w:tc>
        <w:tc>
          <w:tcPr>
            <w:tcW w:w="1200" w:type="dxa"/>
            <w:vAlign w:val="bottom"/>
            <w:tcBorders>
              <w:top w:val="single" w:sz="8" w:color="auto"/>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auto"/>
              </w:rPr>
              <w:t>58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auto"/>
              </w:rPr>
              <w:t>1.1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auto"/>
              </w:rPr>
              <w:t>5.7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line="217" w:lineRule="exact"/>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Borders>
              <w:top w:val="single" w:sz="8" w:color="auto"/>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auto"/>
              </w:rPr>
              <w:t>1</w:t>
            </w:r>
          </w:p>
        </w:tc>
        <w:tc>
          <w:tcPr>
            <w:tcW w:w="0" w:type="dxa"/>
            <w:vAlign w:val="bottom"/>
          </w:tcPr>
          <w:p>
            <w:pPr>
              <w:spacing w:after="0"/>
              <w:rPr>
                <w:sz w:val="1"/>
                <w:szCs w:val="1"/>
                <w:color w:val="auto"/>
              </w:rPr>
            </w:pPr>
          </w:p>
        </w:tc>
      </w:tr>
      <w:tr>
        <w:trPr>
          <w:trHeight w:val="242"/>
        </w:trPr>
        <w:tc>
          <w:tcPr>
            <w:tcW w:w="496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w w:val="98"/>
              </w:rPr>
              <w:t>Options exercisable as of December 28, 2024</w:t>
            </w:r>
            <w:r>
              <w:rPr>
                <w:rFonts w:ascii="Times New Roman" w:cs="Times New Roman" w:eastAsia="Times New Roman" w:hAnsi="Times New Roman"/>
                <w:sz w:val="20"/>
                <w:szCs w:val="20"/>
                <w:color w:val="auto"/>
                <w:w w:val="98"/>
              </w:rPr>
              <w:t>. . . . . . . . . .</w:t>
            </w: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55</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4.7</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150495</wp:posOffset>
                </wp:positionV>
                <wp:extent cx="171386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1.85pt" to="134.9pt,11.85pt" o:allowincell="f" strokecolor="#000000" strokeweight="1.0199pt"/>
            </w:pict>
          </mc:Fallback>
        </mc:AlternateContent>
      </w:r>
    </w:p>
    <w:p>
      <w:pPr>
        <w:spacing w:after="0" w:line="256" w:lineRule="exact"/>
        <w:rPr>
          <w:sz w:val="20"/>
          <w:szCs w:val="20"/>
          <w:color w:val="auto"/>
        </w:rPr>
      </w:pPr>
    </w:p>
    <w:p>
      <w:pPr>
        <w:jc w:val="both"/>
        <w:ind w:firstLine="360"/>
        <w:spacing w:after="0" w:line="253" w:lineRule="auto"/>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intrinsic value is calculated as the difference between the exercise price of the underlying awards and the closing stock price of Intel’s common stock. On December 28, 2024, December 30, 2023, and December 31, 2022, the Intel share prices were $20.30, $50.25, and $26.43, respectively. This represents the potential pre-tax amount receivable by the option holders had all option holders exercised their options as of such date.</w:t>
      </w:r>
    </w:p>
    <w:p>
      <w:pPr>
        <w:spacing w:after="0" w:line="190" w:lineRule="exact"/>
        <w:rPr>
          <w:rFonts w:ascii="Times New Roman" w:cs="Times New Roman" w:eastAsia="Times New Roman" w:hAnsi="Times New Roman"/>
          <w:sz w:val="20"/>
          <w:szCs w:val="20"/>
          <w:color w:val="auto"/>
        </w:rPr>
      </w:pPr>
    </w:p>
    <w:p>
      <w:pPr>
        <w:ind w:firstLine="360"/>
        <w:spacing w:after="0" w:line="280" w:lineRule="auto"/>
        <w:tabs>
          <w:tab w:leader="none" w:pos="72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remaining options expected to vest as of December 28, 2024 were 3 thousand options with an average weighted exercise price of $21.6.</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p>
      <w:pPr>
        <w:sectPr>
          <w:pgSz w:w="11880" w:h="15480" w:orient="portrait"/>
          <w:cols w:equalWidth="0" w:num="1">
            <w:col w:w="10800"/>
          </w:cols>
          <w:pgMar w:left="540" w:top="984" w:right="540" w:bottom="0"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RSUs</w:t>
      </w: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RSU activity for the years ended December 28, 2024, December 30, 2023, and December 31, 2022 for RSUs granted to</w:t>
      </w:r>
    </w:p>
    <w:p>
      <w:pPr>
        <w:spacing w:after="0"/>
        <w:rPr>
          <w:sz w:val="20"/>
          <w:szCs w:val="20"/>
          <w:color w:val="auto"/>
        </w:rPr>
      </w:pPr>
      <w:r>
        <w:rPr>
          <w:rFonts w:ascii="Times New Roman" w:cs="Times New Roman" w:eastAsia="Times New Roman" w:hAnsi="Times New Roman"/>
          <w:sz w:val="20"/>
          <w:szCs w:val="20"/>
          <w:color w:val="auto"/>
        </w:rPr>
        <w:t>Company’s employees for Intel’s common stock was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0" w:type="dxa"/>
            <w:vAlign w:val="bottom"/>
          </w:tcPr>
          <w:p>
            <w:pPr>
              <w:spacing w:after="0"/>
              <w:rPr>
                <w:sz w:val="1"/>
                <w:szCs w:val="1"/>
                <w:color w:val="auto"/>
              </w:rPr>
            </w:pPr>
          </w:p>
        </w:tc>
      </w:tr>
      <w:tr>
        <w:trPr>
          <w:trHeight w:val="203"/>
        </w:trPr>
        <w:tc>
          <w:tcPr>
            <w:tcW w:w="7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20" w:type="dxa"/>
            <w:vAlign w:val="bottom"/>
          </w:tcPr>
          <w:p>
            <w:pPr>
              <w:spacing w:after="0"/>
              <w:rPr>
                <w:sz w:val="17"/>
                <w:szCs w:val="17"/>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date fair value per share</w:t>
            </w:r>
          </w:p>
        </w:tc>
        <w:tc>
          <w:tcPr>
            <w:tcW w:w="0" w:type="dxa"/>
            <w:vAlign w:val="bottom"/>
          </w:tcPr>
          <w:p>
            <w:pPr>
              <w:spacing w:after="0"/>
              <w:rPr>
                <w:sz w:val="1"/>
                <w:szCs w:val="1"/>
                <w:color w:val="auto"/>
              </w:rPr>
            </w:pPr>
          </w:p>
        </w:tc>
      </w:tr>
      <w:tr>
        <w:trPr>
          <w:trHeight w:val="174"/>
        </w:trPr>
        <w:tc>
          <w:tcPr>
            <w:tcW w:w="74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Outstanding as of December 25, 2021</w:t>
            </w:r>
          </w:p>
        </w:tc>
        <w:tc>
          <w:tcPr>
            <w:tcW w:w="1300" w:type="dxa"/>
            <w:vAlign w:val="bottom"/>
            <w:tcBorders>
              <w:top w:val="single" w:sz="8" w:color="auto"/>
              <w:bottom w:val="single" w:sz="8" w:color="auto"/>
            </w:tcBorders>
          </w:tcPr>
          <w:p>
            <w:pPr>
              <w:jc w:val="right"/>
              <w:ind w:right="123"/>
              <w:spacing w:after="0" w:line="175"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740" w:type="dxa"/>
            <w:vAlign w:val="bottom"/>
            <w:tcBorders>
              <w:top w:val="single" w:sz="8" w:color="auto"/>
              <w:bottom w:val="single" w:sz="8" w:color="auto"/>
            </w:tcBorders>
          </w:tcPr>
          <w:p>
            <w:pPr>
              <w:jc w:val="center"/>
              <w:ind w:right="43"/>
              <w:spacing w:after="0" w:line="175" w:lineRule="exact"/>
              <w:rPr>
                <w:sz w:val="20"/>
                <w:szCs w:val="20"/>
                <w:color w:val="auto"/>
              </w:rPr>
            </w:pPr>
            <w:r>
              <w:rPr>
                <w:rFonts w:ascii="Times New Roman" w:cs="Times New Roman" w:eastAsia="Times New Roman" w:hAnsi="Times New Roman"/>
                <w:sz w:val="16"/>
                <w:szCs w:val="16"/>
                <w:b w:val="1"/>
                <w:bCs w:val="1"/>
                <w:color w:val="auto"/>
              </w:rPr>
              <w:t>U.S. dollars</w:t>
            </w:r>
          </w:p>
        </w:tc>
        <w:tc>
          <w:tcPr>
            <w:tcW w:w="0" w:type="dxa"/>
            <w:vAlign w:val="bottom"/>
          </w:tcPr>
          <w:p>
            <w:pPr>
              <w:spacing w:after="0"/>
              <w:rPr>
                <w:sz w:val="1"/>
                <w:szCs w:val="1"/>
                <w:color w:val="auto"/>
              </w:rPr>
            </w:pPr>
          </w:p>
        </w:tc>
      </w:tr>
      <w:tr>
        <w:trPr>
          <w:trHeight w:val="198"/>
        </w:trPr>
        <w:tc>
          <w:tcPr>
            <w:tcW w:w="7420" w:type="dxa"/>
            <w:vAlign w:val="bottom"/>
            <w:gridSpan w:val="2"/>
            <w:vMerge w:val="continue"/>
          </w:tcPr>
          <w:p>
            <w:pPr>
              <w:jc w:val="right"/>
              <w:ind w:right="320"/>
              <w:spacing w:after="0" w:line="176" w:lineRule="exact"/>
              <w:rPr>
                <w:sz w:val="20"/>
                <w:szCs w:val="20"/>
                <w:color w:val="auto"/>
              </w:rPr>
            </w:pPr>
            <w:r>
              <w:rPr>
                <w:rFonts w:ascii="Times New Roman" w:cs="Times New Roman" w:eastAsia="Times New Roman" w:hAnsi="Times New Roman"/>
                <w:sz w:val="20"/>
                <w:szCs w:val="20"/>
                <w:color w:val="auto"/>
              </w:rPr>
              <w:t>. . . . . . . . . . . . . . . . . . . . . . . . . . . . . . . . . . . . . . . . .</w:t>
            </w:r>
          </w:p>
        </w:tc>
        <w:tc>
          <w:tcPr>
            <w:tcW w:w="130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5,278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174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46.5</w:t>
            </w:r>
          </w:p>
        </w:tc>
        <w:tc>
          <w:tcPr>
            <w:tcW w:w="0" w:type="dxa"/>
            <w:vAlign w:val="bottom"/>
          </w:tcPr>
          <w:p>
            <w:pPr>
              <w:spacing w:after="0"/>
              <w:rPr>
                <w:sz w:val="1"/>
                <w:szCs w:val="1"/>
                <w:color w:val="auto"/>
              </w:rPr>
            </w:pPr>
          </w:p>
        </w:tc>
      </w:tr>
      <w:tr>
        <w:trPr>
          <w:trHeight w:val="230"/>
        </w:trPr>
        <w:tc>
          <w:tcPr>
            <w:tcW w:w="742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6"/>
              </w:rPr>
              <w:t>Granted . . . . . . . . . . . . . . . . . . . . . . . . . . . . . . . . . . . . . . . . . . . . . . . . . . . . . . . . . . . . . . . . . . .</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w:t>
            </w:r>
          </w:p>
        </w:tc>
        <w:tc>
          <w:tcPr>
            <w:tcW w:w="0" w:type="dxa"/>
            <w:vAlign w:val="bottom"/>
          </w:tcPr>
          <w:p>
            <w:pPr>
              <w:spacing w:after="0"/>
              <w:rPr>
                <w:sz w:val="1"/>
                <w:szCs w:val="1"/>
                <w:color w:val="auto"/>
              </w:rPr>
            </w:pPr>
          </w:p>
        </w:tc>
      </w:tr>
      <w:tr>
        <w:trPr>
          <w:trHeight w:val="229"/>
        </w:trPr>
        <w:tc>
          <w:tcPr>
            <w:tcW w:w="742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6"/>
              </w:rPr>
              <w:t>Vested . . . . . . . . . . . . . . . . . . . . . . . . . . . . . . . . . . . . . . . . . . . . . . . . . . . . . . . . . . . . . . . . . . . .</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(2,935)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w:t>
            </w:r>
          </w:p>
        </w:tc>
        <w:tc>
          <w:tcPr>
            <w:tcW w:w="0" w:type="dxa"/>
            <w:vAlign w:val="bottom"/>
          </w:tcPr>
          <w:p>
            <w:pPr>
              <w:spacing w:after="0"/>
              <w:rPr>
                <w:sz w:val="1"/>
                <w:szCs w:val="1"/>
                <w:color w:val="auto"/>
              </w:rPr>
            </w:pPr>
          </w:p>
        </w:tc>
      </w:tr>
      <w:tr>
        <w:trPr>
          <w:trHeight w:val="241"/>
        </w:trPr>
        <w:tc>
          <w:tcPr>
            <w:tcW w:w="742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6"/>
              </w:rPr>
              <w:t>Forfeited . . . . . . . . . . . . . . . . . . . . . . . . . . . . . . . . . . . . . . . . . . . . . . . . . . . . . . . . . . . . . . . . . .</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(409)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w:t>
            </w:r>
          </w:p>
        </w:tc>
        <w:tc>
          <w:tcPr>
            <w:tcW w:w="0" w:type="dxa"/>
            <w:vAlign w:val="bottom"/>
          </w:tcPr>
          <w:p>
            <w:pPr>
              <w:spacing w:after="0"/>
              <w:rPr>
                <w:sz w:val="1"/>
                <w:szCs w:val="1"/>
                <w:color w:val="auto"/>
              </w:rPr>
            </w:pPr>
          </w:p>
        </w:tc>
      </w:tr>
      <w:tr>
        <w:trPr>
          <w:trHeight w:val="220"/>
        </w:trPr>
        <w:tc>
          <w:tcPr>
            <w:tcW w:w="7420" w:type="dxa"/>
            <w:vAlign w:val="bottom"/>
            <w:gridSpan w:val="2"/>
          </w:tcPr>
          <w:p>
            <w:pPr>
              <w:jc w:val="right"/>
              <w:ind w:right="320"/>
              <w:spacing w:after="0" w:line="219" w:lineRule="exact"/>
              <w:rPr>
                <w:sz w:val="20"/>
                <w:szCs w:val="20"/>
                <w:color w:val="auto"/>
              </w:rPr>
            </w:pPr>
            <w:r>
              <w:rPr>
                <w:rFonts w:ascii="Times New Roman" w:cs="Times New Roman" w:eastAsia="Times New Roman" w:hAnsi="Times New Roman"/>
                <w:sz w:val="20"/>
                <w:szCs w:val="20"/>
                <w:color w:val="auto"/>
              </w:rPr>
              <w:t>. . . . . . . . . . . . . . . . . . . . . . . . . . . . . . . . . . . . . . . . .</w:t>
            </w:r>
            <w:r>
              <w:rPr>
                <w:rFonts w:ascii="Times New Roman" w:cs="Times New Roman" w:eastAsia="Times New Roman" w:hAnsi="Times New Roman"/>
                <w:sz w:val="20"/>
                <w:szCs w:val="20"/>
                <w:b w:val="1"/>
                <w:bCs w:val="1"/>
                <w:color w:val="auto"/>
              </w:rPr>
              <w:t>OutstandingasofDecember31,2022</w:t>
            </w:r>
          </w:p>
        </w:tc>
        <w:tc>
          <w:tcPr>
            <w:tcW w:w="13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5,692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44.8</w:t>
            </w:r>
          </w:p>
        </w:tc>
        <w:tc>
          <w:tcPr>
            <w:tcW w:w="0" w:type="dxa"/>
            <w:vAlign w:val="bottom"/>
          </w:tcPr>
          <w:p>
            <w:pPr>
              <w:spacing w:after="0"/>
              <w:rPr>
                <w:sz w:val="1"/>
                <w:szCs w:val="1"/>
                <w:color w:val="auto"/>
              </w:rPr>
            </w:pPr>
          </w:p>
        </w:tc>
      </w:tr>
      <w:tr>
        <w:trPr>
          <w:trHeight w:val="209"/>
        </w:trPr>
        <w:tc>
          <w:tcPr>
            <w:tcW w:w="7420" w:type="dxa"/>
            <w:vAlign w:val="bottom"/>
            <w:gridSpan w:val="2"/>
          </w:tcPr>
          <w:p>
            <w:pPr>
              <w:jc w:val="right"/>
              <w:ind w:right="320"/>
              <w:spacing w:after="0" w:line="209"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 . . . . . . . . . .Vested</w:t>
            </w:r>
          </w:p>
        </w:tc>
        <w:tc>
          <w:tcPr>
            <w:tcW w:w="1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(2,690)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45.0</w:t>
            </w:r>
          </w:p>
        </w:tc>
        <w:tc>
          <w:tcPr>
            <w:tcW w:w="0" w:type="dxa"/>
            <w:vAlign w:val="bottom"/>
          </w:tcPr>
          <w:p>
            <w:pPr>
              <w:spacing w:after="0"/>
              <w:rPr>
                <w:sz w:val="1"/>
                <w:szCs w:val="1"/>
                <w:color w:val="auto"/>
              </w:rPr>
            </w:pPr>
          </w:p>
        </w:tc>
      </w:tr>
      <w:tr>
        <w:trPr>
          <w:trHeight w:val="241"/>
        </w:trPr>
        <w:tc>
          <w:tcPr>
            <w:tcW w:w="742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6"/>
              </w:rPr>
              <w:t>Forfeited . . . . . . . . . . . . . . . . . . . . . . . . . . . . . . . . . . . . . . . . . . . . . . . . . . . . . . . . . . . . . . . . . .</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46.1</w:t>
            </w:r>
          </w:p>
        </w:tc>
        <w:tc>
          <w:tcPr>
            <w:tcW w:w="0" w:type="dxa"/>
            <w:vAlign w:val="bottom"/>
          </w:tcPr>
          <w:p>
            <w:pPr>
              <w:spacing w:after="0"/>
              <w:rPr>
                <w:sz w:val="1"/>
                <w:szCs w:val="1"/>
                <w:color w:val="auto"/>
              </w:rPr>
            </w:pPr>
          </w:p>
        </w:tc>
      </w:tr>
      <w:tr>
        <w:trPr>
          <w:trHeight w:val="220"/>
        </w:trPr>
        <w:tc>
          <w:tcPr>
            <w:tcW w:w="7420" w:type="dxa"/>
            <w:vAlign w:val="bottom"/>
            <w:gridSpan w:val="2"/>
          </w:tcPr>
          <w:p>
            <w:pPr>
              <w:jc w:val="right"/>
              <w:ind w:right="320"/>
              <w:spacing w:after="0" w:line="219" w:lineRule="exact"/>
              <w:rPr>
                <w:sz w:val="20"/>
                <w:szCs w:val="20"/>
                <w:color w:val="auto"/>
              </w:rPr>
            </w:pPr>
            <w:r>
              <w:rPr>
                <w:rFonts w:ascii="Times New Roman" w:cs="Times New Roman" w:eastAsia="Times New Roman" w:hAnsi="Times New Roman"/>
                <w:sz w:val="20"/>
                <w:szCs w:val="20"/>
                <w:color w:val="auto"/>
              </w:rPr>
              <w:t>. . . . . . . . . . . . . . . . . . . . . . . . . . . . . . . . . . . . . . . . .</w:t>
            </w:r>
            <w:r>
              <w:rPr>
                <w:rFonts w:ascii="Times New Roman" w:cs="Times New Roman" w:eastAsia="Times New Roman" w:hAnsi="Times New Roman"/>
                <w:sz w:val="20"/>
                <w:szCs w:val="20"/>
                <w:b w:val="1"/>
                <w:bCs w:val="1"/>
                <w:color w:val="auto"/>
              </w:rPr>
              <w:t>OutstandingasofDecember30,2023</w:t>
            </w:r>
          </w:p>
        </w:tc>
        <w:tc>
          <w:tcPr>
            <w:tcW w:w="13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2,711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44.4</w:t>
            </w:r>
          </w:p>
        </w:tc>
        <w:tc>
          <w:tcPr>
            <w:tcW w:w="0" w:type="dxa"/>
            <w:vAlign w:val="bottom"/>
          </w:tcPr>
          <w:p>
            <w:pPr>
              <w:spacing w:after="0"/>
              <w:rPr>
                <w:sz w:val="1"/>
                <w:szCs w:val="1"/>
                <w:color w:val="auto"/>
              </w:rPr>
            </w:pPr>
          </w:p>
        </w:tc>
      </w:tr>
      <w:tr>
        <w:trPr>
          <w:trHeight w:val="209"/>
        </w:trPr>
        <w:tc>
          <w:tcPr>
            <w:tcW w:w="7420" w:type="dxa"/>
            <w:vAlign w:val="bottom"/>
            <w:gridSpan w:val="2"/>
          </w:tcPr>
          <w:p>
            <w:pPr>
              <w:jc w:val="right"/>
              <w:ind w:right="320"/>
              <w:spacing w:after="0" w:line="209"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 . . . . . . . . . .Vested</w:t>
            </w:r>
          </w:p>
        </w:tc>
        <w:tc>
          <w:tcPr>
            <w:tcW w:w="1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(2,228)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44.7</w:t>
            </w:r>
          </w:p>
        </w:tc>
        <w:tc>
          <w:tcPr>
            <w:tcW w:w="0" w:type="dxa"/>
            <w:vAlign w:val="bottom"/>
          </w:tcPr>
          <w:p>
            <w:pPr>
              <w:spacing w:after="0"/>
              <w:rPr>
                <w:sz w:val="1"/>
                <w:szCs w:val="1"/>
                <w:color w:val="auto"/>
              </w:rPr>
            </w:pPr>
          </w:p>
        </w:tc>
      </w:tr>
      <w:tr>
        <w:trPr>
          <w:trHeight w:val="241"/>
        </w:trPr>
        <w:tc>
          <w:tcPr>
            <w:tcW w:w="742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6"/>
              </w:rPr>
              <w:t>Forfeited . . . . . . . . . . . . . . . . . . . . . . . . . . . . . . . . . . . . . . . . . . . . . . . . . . . . . . . . . . . . . . . . . .</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44.1</w:t>
            </w:r>
          </w:p>
        </w:tc>
        <w:tc>
          <w:tcPr>
            <w:tcW w:w="0" w:type="dxa"/>
            <w:vAlign w:val="bottom"/>
          </w:tcPr>
          <w:p>
            <w:pPr>
              <w:spacing w:after="0"/>
              <w:rPr>
                <w:sz w:val="1"/>
                <w:szCs w:val="1"/>
                <w:color w:val="auto"/>
              </w:rPr>
            </w:pPr>
          </w:p>
        </w:tc>
      </w:tr>
      <w:tr>
        <w:trPr>
          <w:trHeight w:val="230"/>
        </w:trPr>
        <w:tc>
          <w:tcPr>
            <w:tcW w:w="740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w w:val="97"/>
              </w:rPr>
              <w:t xml:space="preserve">Outstanding as of December 28, 2024 </w:t>
            </w:r>
            <w:r>
              <w:rPr>
                <w:rFonts w:ascii="Times New Roman" w:cs="Times New Roman" w:eastAsia="Times New Roman" w:hAnsi="Times New Roman"/>
                <w:sz w:val="20"/>
                <w:szCs w:val="20"/>
                <w:color w:val="auto"/>
                <w:w w:val="97"/>
              </w:rPr>
              <w:t>. . . . . . . . . . . . . . . . . . . . . . . . . . . . . . . . . . . . . . . . .</w:t>
            </w:r>
          </w:p>
        </w:tc>
        <w:tc>
          <w:tcPr>
            <w:tcW w:w="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359</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42.8</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Unrecognized expenses</w:t>
      </w:r>
    </w:p>
    <w:p>
      <w:pPr>
        <w:spacing w:after="0" w:line="236"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As of December 28, 2024, the unrecognized compensation cost related to stock options and RSUs granted under the Intel 2006 Plan was $7 million, which will be recognized over a weighted average period of 0.47 years.</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 expense summary (for both Mobileye and Intel Plans)</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Expenses recognized</w:t>
      </w:r>
    </w:p>
    <w:p>
      <w:pPr>
        <w:spacing w:after="0" w:line="237"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20"/>
          <w:szCs w:val="20"/>
          <w:color w:val="auto"/>
        </w:rPr>
        <w:t>Share-based compensation expenses included in the consolidated statements of operations and comprehensive income (loss)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65"/>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6"/>
              <w:spacing w:after="0" w:line="165" w:lineRule="exact"/>
              <w:rPr>
                <w:sz w:val="20"/>
                <w:szCs w:val="20"/>
                <w:color w:val="auto"/>
              </w:rPr>
            </w:pPr>
            <w:r>
              <w:rPr>
                <w:rFonts w:ascii="Times New Roman" w:cs="Times New Roman" w:eastAsia="Times New Roman" w:hAnsi="Times New Roman"/>
                <w:sz w:val="16"/>
                <w:szCs w:val="16"/>
                <w:b w:val="1"/>
                <w:bCs w:val="1"/>
                <w:color w:val="auto"/>
                <w:w w:val="98"/>
              </w:rPr>
              <w:t>December 28,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7"/>
              <w:spacing w:after="0" w:line="165"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6"/>
              <w:spacing w:after="0" w:line="165" w:lineRule="exact"/>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193"/>
        </w:trPr>
        <w:tc>
          <w:tcPr>
            <w:tcW w:w="6920" w:type="dxa"/>
            <w:vAlign w:val="bottom"/>
          </w:tcPr>
          <w:p>
            <w:pPr>
              <w:jc w:val="right"/>
              <w:ind w:right="5283"/>
              <w:spacing w:after="0"/>
              <w:rPr>
                <w:sz w:val="20"/>
                <w:szCs w:val="20"/>
                <w:color w:val="auto"/>
              </w:rPr>
            </w:pPr>
            <w:r>
              <w:rPr>
                <w:rFonts w:ascii="Times New Roman" w:cs="Times New Roman" w:eastAsia="Times New Roman" w:hAnsi="Times New Roman"/>
                <w:sz w:val="16"/>
                <w:szCs w:val="16"/>
                <w:b w:val="1"/>
                <w:bCs w:val="1"/>
                <w:color w:val="auto"/>
                <w:w w:val="97"/>
              </w:rPr>
              <w:t>U.S. dollars in millions</w:t>
            </w: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9"/>
        </w:trPr>
        <w:tc>
          <w:tcPr>
            <w:tcW w:w="6920" w:type="dxa"/>
            <w:vAlign w:val="bottom"/>
          </w:tcPr>
          <w:p>
            <w:pPr>
              <w:jc w:val="right"/>
              <w:ind w:right="203"/>
              <w:spacing w:after="0" w:line="209"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.Costofrevenue</w:t>
            </w:r>
          </w:p>
        </w:tc>
        <w:tc>
          <w:tcPr>
            <w:tcW w:w="20" w:type="dxa"/>
            <w:vAlign w:val="bottom"/>
          </w:tcPr>
          <w:p>
            <w:pPr>
              <w:spacing w:after="0"/>
              <w:rPr>
                <w:sz w:val="18"/>
                <w:szCs w:val="18"/>
                <w:color w:val="auto"/>
              </w:rPr>
            </w:pPr>
          </w:p>
        </w:tc>
        <w:tc>
          <w:tcPr>
            <w:tcW w:w="1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w:t>
            </w:r>
          </w:p>
        </w:tc>
      </w:tr>
      <w:tr>
        <w:trPr>
          <w:trHeight w:val="230"/>
        </w:trPr>
        <w:tc>
          <w:tcPr>
            <w:tcW w:w="6920" w:type="dxa"/>
            <w:vAlign w:val="bottom"/>
          </w:tcPr>
          <w:p>
            <w:pPr>
              <w:jc w:val="right"/>
              <w:ind w:right="203"/>
              <w:spacing w:after="0"/>
              <w:rPr>
                <w:sz w:val="20"/>
                <w:szCs w:val="20"/>
                <w:color w:val="auto"/>
              </w:rPr>
            </w:pPr>
            <w:r>
              <w:rPr>
                <w:rFonts w:ascii="Times New Roman" w:cs="Times New Roman" w:eastAsia="Times New Roman" w:hAnsi="Times New Roman"/>
                <w:sz w:val="20"/>
                <w:szCs w:val="20"/>
                <w:color w:val="auto"/>
                <w:w w:val="97"/>
              </w:rPr>
              <w:t>Research and development, net . . .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229"/>
        </w:trPr>
        <w:tc>
          <w:tcPr>
            <w:tcW w:w="6920" w:type="dxa"/>
            <w:vAlign w:val="bottom"/>
          </w:tcPr>
          <w:p>
            <w:pPr>
              <w:jc w:val="right"/>
              <w:ind w:right="203"/>
              <w:spacing w:after="0"/>
              <w:rPr>
                <w:sz w:val="20"/>
                <w:szCs w:val="20"/>
                <w:color w:val="auto"/>
              </w:rPr>
            </w:pPr>
            <w:r>
              <w:rPr>
                <w:rFonts w:ascii="Times New Roman" w:cs="Times New Roman" w:eastAsia="Times New Roman" w:hAnsi="Times New Roman"/>
                <w:sz w:val="20"/>
                <w:szCs w:val="20"/>
                <w:color w:val="auto"/>
                <w:w w:val="96"/>
              </w:rPr>
              <w:t>Sales and marketing . . . . . . . . . . . . . . . . . . . . . . . . . . . . .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41"/>
        </w:trPr>
        <w:tc>
          <w:tcPr>
            <w:tcW w:w="6920" w:type="dxa"/>
            <w:vAlign w:val="bottom"/>
          </w:tcPr>
          <w:p>
            <w:pPr>
              <w:jc w:val="right"/>
              <w:ind w:right="203"/>
              <w:spacing w:after="0"/>
              <w:rPr>
                <w:sz w:val="20"/>
                <w:szCs w:val="20"/>
                <w:color w:val="auto"/>
              </w:rPr>
            </w:pPr>
            <w:r>
              <w:rPr>
                <w:rFonts w:ascii="Times New Roman" w:cs="Times New Roman" w:eastAsia="Times New Roman" w:hAnsi="Times New Roman"/>
                <w:sz w:val="20"/>
                <w:szCs w:val="20"/>
                <w:color w:val="auto"/>
                <w:w w:val="97"/>
              </w:rPr>
              <w:t>General and administrative . . . . . . . . . . . . . . . . . . . . . . . . . . . . . . . . . . . . . . . . . . . . . .</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40"/>
        </w:trPr>
        <w:tc>
          <w:tcPr>
            <w:tcW w:w="6920" w:type="dxa"/>
            <w:vAlign w:val="bottom"/>
          </w:tcPr>
          <w:p>
            <w:pPr>
              <w:jc w:val="right"/>
              <w:ind w:right="203"/>
              <w:spacing w:after="0"/>
              <w:rPr>
                <w:sz w:val="20"/>
                <w:szCs w:val="20"/>
                <w:color w:val="auto"/>
              </w:rPr>
            </w:pPr>
            <w:r>
              <w:rPr>
                <w:rFonts w:ascii="Times New Roman" w:cs="Times New Roman" w:eastAsia="Times New Roman" w:hAnsi="Times New Roman"/>
                <w:sz w:val="20"/>
                <w:szCs w:val="20"/>
                <w:color w:val="auto"/>
                <w:w w:val="99"/>
              </w:rPr>
              <w:t>. . . . . . . . . . . . . . . . . . . . . . . . . . . . . . . . . . . . . . . .</w:t>
            </w:r>
            <w:r>
              <w:rPr>
                <w:rFonts w:ascii="Times New Roman" w:cs="Times New Roman" w:eastAsia="Times New Roman" w:hAnsi="Times New Roman"/>
                <w:sz w:val="20"/>
                <w:szCs w:val="20"/>
                <w:b w:val="1"/>
                <w:bCs w:val="1"/>
                <w:color w:val="auto"/>
                <w:w w:val="99"/>
              </w:rPr>
              <w:t>Totalshare-basedcompensation</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279</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252</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174</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EARNINGS (LOSS) PER SHARE</w:t>
      </w:r>
    </w:p>
    <w:p>
      <w:pPr>
        <w:spacing w:after="0" w:line="242"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Before the Mobileye IPO, Intel held directly or indirectly 100 shares of common stock of Mobileye, with a par value of $0.01 per share, that were issued and outstanding. Immediately prior to the Mobileye IPO, those 100 shares of common stock held by Intel were reclassified into 100 shares of Class B common stock with a par value of $0.01 per share. Concurrently, we issued to Intel an additional 749,999,900 shares of our Class B common stock pursuant to an agreement with Intel. Accordingly, as of the completion of the Mobileye IPO, we had 750,000,000 Class B shares, all held by Intel. Per ASC 260 -10-55-12, this share amount is being retroactively utilized for the calculation of basic and diluted earnings (loss) per share (“EPS”) for periods prior to the Mobileye IPO.</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ectPr>
          <w:pgSz w:w="11880" w:h="15480" w:orient="portrait"/>
          <w:cols w:equalWidth="0" w:num="1">
            <w:col w:w="10800"/>
          </w:cols>
          <w:pgMar w:left="540" w:top="984" w:right="540" w:bottom="0" w:gutter="0" w:footer="0" w:header="0"/>
          <w:type w:val="continuous"/>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In connection with the Mobileye IPO, we issued 41,000,000 shares of our Class A common stock to the public at a public offering price of $ 21.00 per share and an additional 4,761,905 Class A shares at a private placement. The Mobileye IPO closed on October 28, 2022. On November 1, 2022, we closed the sale of an additional 6,150,000 shares pursuant to the exercise of the underwriters’ over-allotment option. In accordance with ASC 260, the Class A shares issued in connection with the Mobileye IPO are included in earnings (loss) per share calculations for periods subsequent to the closing of the Mobileye IPO and are not included in the earnings (loss) per share calculations for periods prior to the closing of the Mobileye IPO.</w:t>
      </w:r>
    </w:p>
    <w:p>
      <w:pPr>
        <w:spacing w:after="0" w:line="19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On June 12, 2023, we completed the Secondary Offering, pursuant to which 38,500,000 shares of Class B common stock held by Intel were converted into an equal number of shares of Class A common stock. Accordingly, as of December 28, 2024, we have 711,500,000 Class B shares, all held by Intel, and 100,226,477 Class A shares, both of which are utilized for the calculation of basic and diluted EPS. The outstanding Class A shares also include shares issued upon vesting of outstanding RSUs, see note 6.</w:t>
      </w:r>
    </w:p>
    <w:p>
      <w:pPr>
        <w:spacing w:after="0" w:line="19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For the years ended December 28, 2024, December 30, 2023 and December 31, 2022, the computation of diluted earnings (loss) per share attributable to common stockholders does not include 18.1 million, 5.9 million and 0.8 million potential common shares, respectively, related to restricted stock units granted under the 2022 Plan to the Company’s employees, as the effect of their inclusion would have been anti-dilutive.</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the calculation of basic and diluted earnings (loss) per share for the periods presented: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6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28,</w:t>
            </w:r>
          </w:p>
        </w:tc>
        <w:tc>
          <w:tcPr>
            <w:tcW w:w="100" w:type="dxa"/>
            <w:vAlign w:val="bottom"/>
          </w:tcPr>
          <w:p>
            <w:pPr>
              <w:spacing w:after="0"/>
              <w:rPr>
                <w:sz w:val="13"/>
                <w:szCs w:val="13"/>
                <w:color w:val="auto"/>
              </w:rPr>
            </w:pPr>
          </w:p>
        </w:tc>
        <w:tc>
          <w:tcPr>
            <w:tcW w:w="124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00" w:type="dxa"/>
            <w:vAlign w:val="bottom"/>
          </w:tcPr>
          <w:p>
            <w:pPr>
              <w:spacing w:after="0"/>
              <w:rPr>
                <w:sz w:val="13"/>
                <w:szCs w:val="13"/>
                <w:color w:val="auto"/>
              </w:rPr>
            </w:pPr>
          </w:p>
        </w:tc>
        <w:tc>
          <w:tcPr>
            <w:tcW w:w="104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6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9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Net income (loss) . . . . . . . . . . . . . . . . . . . . . . . . . . . . . . . . . . . . . . . . . . . . . . . . . . . . . .</w:t>
            </w:r>
          </w:p>
        </w:tc>
        <w:tc>
          <w:tcPr>
            <w:tcW w:w="1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gridSpan w:val="2"/>
          </w:tcPr>
          <w:p>
            <w:pPr>
              <w:jc w:val="right"/>
              <w:ind w:right="220"/>
              <w:spacing w:after="0" w:line="226" w:lineRule="exact"/>
              <w:rPr>
                <w:sz w:val="20"/>
                <w:szCs w:val="20"/>
                <w:color w:val="auto"/>
              </w:rPr>
            </w:pPr>
            <w:r>
              <w:rPr>
                <w:rFonts w:ascii="Times New Roman" w:cs="Times New Roman" w:eastAsia="Times New Roman" w:hAnsi="Times New Roman"/>
                <w:sz w:val="20"/>
                <w:szCs w:val="20"/>
                <w:color w:val="auto"/>
              </w:rPr>
              <w:t>(3,090)</w:t>
            </w:r>
          </w:p>
        </w:tc>
        <w:tc>
          <w:tcPr>
            <w:tcW w:w="1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tcPr>
          <w:p>
            <w:pPr>
              <w:jc w:val="right"/>
              <w:ind w:right="200"/>
              <w:spacing w:after="0" w:line="226" w:lineRule="exact"/>
              <w:rPr>
                <w:sz w:val="20"/>
                <w:szCs w:val="20"/>
                <w:color w:val="auto"/>
              </w:rPr>
            </w:pPr>
            <w:r>
              <w:rPr>
                <w:rFonts w:ascii="Times New Roman" w:cs="Times New Roman" w:eastAsia="Times New Roman" w:hAnsi="Times New Roman"/>
                <w:sz w:val="20"/>
                <w:szCs w:val="20"/>
                <w:color w:val="auto"/>
              </w:rPr>
              <w:t>(27)</w:t>
            </w:r>
          </w:p>
        </w:tc>
        <w:tc>
          <w:tcPr>
            <w:tcW w:w="1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gridSpan w:val="2"/>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96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rPr>
              <w:t>Weighted average common shares - basic and diluted . . . . . . . . . . . . . . . . . . . . . . .</w:t>
            </w:r>
          </w:p>
        </w:tc>
        <w:tc>
          <w:tcPr>
            <w:tcW w:w="100" w:type="dxa"/>
            <w:vAlign w:val="bottom"/>
          </w:tcPr>
          <w:p>
            <w:pPr>
              <w:spacing w:after="0"/>
              <w:rPr>
                <w:sz w:val="19"/>
                <w:szCs w:val="19"/>
                <w:color w:val="auto"/>
              </w:rPr>
            </w:pPr>
          </w:p>
        </w:tc>
        <w:tc>
          <w:tcPr>
            <w:tcW w:w="10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809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805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759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Earnings (loss) per share: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0"/>
                <w:szCs w:val="20"/>
                <w:color w:val="auto"/>
              </w:rPr>
              <w:t>(3.82)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(0.03)</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(0.11)</w:t>
            </w:r>
          </w:p>
        </w:tc>
        <w:tc>
          <w:tcPr>
            <w:tcW w:w="0" w:type="dxa"/>
            <w:vAlign w:val="bottom"/>
          </w:tcPr>
          <w:p>
            <w:pPr>
              <w:spacing w:after="0"/>
              <w:rPr>
                <w:sz w:val="1"/>
                <w:szCs w:val="1"/>
                <w:color w:val="auto"/>
              </w:rPr>
            </w:pPr>
          </w:p>
        </w:tc>
      </w:tr>
      <w:tr>
        <w:trPr>
          <w:trHeight w:val="269"/>
        </w:trPr>
        <w:tc>
          <w:tcPr>
            <w:tcW w:w="69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Basic and diluted . . . . . . . . . . . . . . . . . . . . . . . . . . . . . . . . . . . . . . . . . . . . . . . . . . . . .</w:t>
            </w:r>
          </w:p>
        </w:tc>
        <w:tc>
          <w:tcPr>
            <w:tcW w:w="100" w:type="dxa"/>
            <w:vAlign w:val="bottom"/>
            <w:vMerge w:val="continue"/>
          </w:tcPr>
          <w:p>
            <w:pPr>
              <w:spacing w:after="0"/>
              <w:rPr>
                <w:sz w:val="23"/>
                <w:szCs w:val="23"/>
                <w:color w:val="auto"/>
              </w:rPr>
            </w:pPr>
          </w:p>
        </w:tc>
        <w:tc>
          <w:tcPr>
            <w:tcW w:w="1260" w:type="dxa"/>
            <w:vAlign w:val="bottom"/>
            <w:gridSpan w:val="2"/>
            <w:vMerge w:val="continue"/>
          </w:tcPr>
          <w:p>
            <w:pPr>
              <w:spacing w:after="0"/>
              <w:rPr>
                <w:sz w:val="23"/>
                <w:szCs w:val="23"/>
                <w:color w:val="auto"/>
              </w:rPr>
            </w:pPr>
          </w:p>
        </w:tc>
        <w:tc>
          <w:tcPr>
            <w:tcW w:w="100" w:type="dxa"/>
            <w:vAlign w:val="bottom"/>
            <w:vMerge w:val="continue"/>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100" w:type="dxa"/>
            <w:vAlign w:val="bottom"/>
            <w:vMerge w:val="continue"/>
          </w:tcPr>
          <w:p>
            <w:pPr>
              <w:spacing w:after="0"/>
              <w:rPr>
                <w:sz w:val="23"/>
                <w:szCs w:val="23"/>
                <w:color w:val="auto"/>
              </w:rPr>
            </w:pPr>
          </w:p>
        </w:tc>
        <w:tc>
          <w:tcPr>
            <w:tcW w:w="10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INCOME TAXES</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Income (Loss) before income taxes included in the consolidated statements of operations and comprehensive income (loss)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6"/>
        </w:trPr>
        <w:tc>
          <w:tcPr>
            <w:tcW w:w="6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300"/>
              <w:spacing w:after="0" w:line="156" w:lineRule="exact"/>
              <w:rPr>
                <w:sz w:val="20"/>
                <w:szCs w:val="20"/>
                <w:color w:val="auto"/>
              </w:rPr>
            </w:pPr>
            <w:r>
              <w:rPr>
                <w:rFonts w:ascii="Times New Roman" w:cs="Times New Roman" w:eastAsia="Times New Roman" w:hAnsi="Times New Roman"/>
                <w:sz w:val="16"/>
                <w:szCs w:val="16"/>
                <w:b w:val="1"/>
                <w:bCs w:val="1"/>
                <w:color w:val="auto"/>
                <w:w w:val="98"/>
              </w:rPr>
              <w:t>December 28,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20"/>
              <w:spacing w:after="0" w:line="156" w:lineRule="exact"/>
              <w:rPr>
                <w:sz w:val="20"/>
                <w:szCs w:val="20"/>
                <w:color w:val="auto"/>
              </w:rPr>
            </w:pPr>
            <w:r>
              <w:rPr>
                <w:rFonts w:ascii="Times New Roman" w:cs="Times New Roman" w:eastAsia="Times New Roman" w:hAnsi="Times New Roman"/>
                <w:sz w:val="16"/>
                <w:szCs w:val="16"/>
                <w:b w:val="1"/>
                <w:bCs w:val="1"/>
                <w:color w:val="auto"/>
                <w:w w:val="98"/>
              </w:rPr>
              <w:t>December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8"/>
              <w:spacing w:after="0" w:line="156"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13"/>
                <w:szCs w:val="13"/>
                <w:color w:val="auto"/>
              </w:rPr>
            </w:pPr>
          </w:p>
        </w:tc>
      </w:tr>
      <w:tr>
        <w:trPr>
          <w:trHeight w:val="194"/>
        </w:trPr>
        <w:tc>
          <w:tcPr>
            <w:tcW w:w="6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6"/>
                <w:szCs w:val="16"/>
                <w:color w:val="auto"/>
              </w:rPr>
            </w:pPr>
          </w:p>
        </w:tc>
      </w:tr>
      <w:tr>
        <w:trPr>
          <w:trHeight w:val="210"/>
        </w:trPr>
        <w:tc>
          <w:tcPr>
            <w:tcW w:w="69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Income (loss) before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94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w w:val="96"/>
              </w:rPr>
              <w:t>U.S . . . . . . . . . . . . . . . . . . . . . . . . . . . . . . . . . . . . . . . . . . . . . . . . . . . . . . . . . . . . . . . .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(49)</w:t>
            </w:r>
          </w:p>
        </w:tc>
      </w:tr>
      <w:tr>
        <w:trPr>
          <w:trHeight w:val="242"/>
        </w:trPr>
        <w:tc>
          <w:tcPr>
            <w:tcW w:w="694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w w:val="98"/>
              </w:rPr>
              <w:t>Non-U.S . . . . . . . . . . . . . . . . . . . . . . . . . . . . . . . . . . . . . . . . . . . . . . . . . . .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(3,152)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21"/>
                <w:szCs w:val="21"/>
                <w:color w:val="auto"/>
              </w:rPr>
            </w:pPr>
          </w:p>
        </w:tc>
      </w:tr>
      <w:tr>
        <w:trPr>
          <w:trHeight w:val="242"/>
        </w:trPr>
        <w:tc>
          <w:tcPr>
            <w:tcW w:w="6940" w:type="dxa"/>
            <w:vAlign w:val="bottom"/>
          </w:tcPr>
          <w:p>
            <w:pPr>
              <w:jc w:val="right"/>
              <w:ind w:right="224"/>
              <w:spacing w:after="0"/>
              <w:rPr>
                <w:sz w:val="20"/>
                <w:szCs w:val="20"/>
                <w:color w:val="auto"/>
              </w:rPr>
            </w:pPr>
            <w:r>
              <w:rPr>
                <w:rFonts w:ascii="Times New Roman" w:cs="Times New Roman" w:eastAsia="Times New Roman" w:hAnsi="Times New Roman"/>
                <w:sz w:val="20"/>
                <w:szCs w:val="20"/>
                <w:color w:val="auto"/>
              </w:rPr>
              <w:t>. . . . . . . . . . . . . . . . . . . . . . . . . . . . . . . . . .</w:t>
            </w:r>
            <w:r>
              <w:rPr>
                <w:rFonts w:ascii="Times New Roman" w:cs="Times New Roman" w:eastAsia="Times New Roman" w:hAnsi="Times New Roman"/>
                <w:sz w:val="20"/>
                <w:szCs w:val="20"/>
                <w:b w:val="1"/>
                <w:bCs w:val="1"/>
                <w:color w:val="auto"/>
              </w:rPr>
              <w:t>Totalincome(loss)beforeincometaxes</w:t>
            </w:r>
          </w:p>
        </w:tc>
        <w:tc>
          <w:tcPr>
            <w:tcW w:w="2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(3,163)</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w:t>
            </w:r>
          </w:p>
        </w:tc>
        <w:tc>
          <w:tcPr>
            <w:tcW w:w="20" w:type="dxa"/>
            <w:vAlign w:val="bottom"/>
          </w:tcPr>
          <w:p>
            <w:pPr>
              <w:spacing w:after="0"/>
              <w:rPr>
                <w:sz w:val="21"/>
                <w:szCs w:val="21"/>
                <w:color w:val="auto"/>
              </w:rPr>
            </w:pPr>
          </w:p>
        </w:tc>
      </w:tr>
    </w:tbl>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b w:val="1"/>
          <w:bCs w:val="1"/>
          <w:color w:val="auto"/>
        </w:rPr>
        <w:t>Benefit (provision) for income taxes included in the consolidated statements of operations and comprehensive income (loss)</w:t>
      </w:r>
    </w:p>
    <w:p>
      <w:pPr>
        <w:spacing w:after="0" w:line="21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Benefit (provision) for income taxes for the years ended December 28, 2024, December 30, 2023, and December 31, 2022 was comprised of the following:</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121</w:t>
      </w:r>
    </w:p>
    <w:p>
      <w:pPr>
        <w:sectPr>
          <w:pgSz w:w="11880" w:h="15480" w:orient="portrait"/>
          <w:cols w:equalWidth="0" w:num="1">
            <w:col w:w="10800"/>
          </w:cols>
          <w:pgMar w:left="540" w:top="984" w:right="540" w:bottom="0" w:gutter="0" w:footer="0" w:header="0"/>
          <w:type w:val="continuous"/>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60" w:type="dxa"/>
            <w:vAlign w:val="bottom"/>
          </w:tcPr>
          <w:p>
            <w:pPr>
              <w:spacing w:after="0"/>
              <w:rPr>
                <w:sz w:val="13"/>
                <w:szCs w:val="13"/>
                <w:color w:val="auto"/>
              </w:rPr>
            </w:pPr>
          </w:p>
        </w:tc>
        <w:tc>
          <w:tcPr>
            <w:tcW w:w="1380" w:type="dxa"/>
            <w:vAlign w:val="bottom"/>
            <w:gridSpan w:val="3"/>
          </w:tcPr>
          <w:p>
            <w:pPr>
              <w:jc w:val="center"/>
              <w:ind w:right="360"/>
              <w:spacing w:after="0" w:line="155"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40" w:type="dxa"/>
            <w:vAlign w:val="bottom"/>
          </w:tcPr>
          <w:p>
            <w:pPr>
              <w:spacing w:after="0"/>
              <w:rPr>
                <w:sz w:val="13"/>
                <w:szCs w:val="13"/>
                <w:color w:val="auto"/>
              </w:rPr>
            </w:pPr>
          </w:p>
        </w:tc>
        <w:tc>
          <w:tcPr>
            <w:tcW w:w="1180" w:type="dxa"/>
            <w:vAlign w:val="bottom"/>
          </w:tcPr>
          <w:p>
            <w:pPr>
              <w:jc w:val="right"/>
              <w:ind w:right="104"/>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3"/>
                <w:szCs w:val="13"/>
                <w:color w:val="auto"/>
              </w:rPr>
            </w:pPr>
          </w:p>
        </w:tc>
      </w:tr>
      <w:tr>
        <w:trPr>
          <w:trHeight w:val="194"/>
        </w:trPr>
        <w:tc>
          <w:tcPr>
            <w:tcW w:w="6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6"/>
                <w:szCs w:val="16"/>
                <w:color w:val="auto"/>
              </w:rPr>
            </w:pPr>
          </w:p>
        </w:tc>
      </w:tr>
      <w:tr>
        <w:trPr>
          <w:trHeight w:val="210"/>
        </w:trPr>
        <w:tc>
          <w:tcPr>
            <w:tcW w:w="642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auto"/>
              </w:rPr>
              <w:t>Current income taxes: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64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U.S. . . . . . . . . . . . . . . . . . . . . . . . . . . . . . . . .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64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8"/>
              </w:rPr>
              <w:t>Non-U.S . . . . . . . . . . . . . . . . . . . . . . . . . . . . . . . . . . . . . . . . . . . . . . . . . . . . . . .</w:t>
            </w:r>
          </w:p>
        </w:tc>
        <w:tc>
          <w:tcPr>
            <w:tcW w:w="160" w:type="dxa"/>
            <w:vAlign w:val="bottom"/>
          </w:tcPr>
          <w:p>
            <w:pPr>
              <w:spacing w:after="0"/>
              <w:rPr>
                <w:sz w:val="20"/>
                <w:szCs w:val="20"/>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(28)</w:t>
            </w: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(67)</w:t>
            </w:r>
          </w:p>
        </w:tc>
      </w:tr>
      <w:tr>
        <w:trPr>
          <w:trHeight w:val="232"/>
        </w:trPr>
        <w:tc>
          <w:tcPr>
            <w:tcW w:w="6400" w:type="dxa"/>
            <w:vAlign w:val="bottom"/>
          </w:tcPr>
          <w:p>
            <w:pPr>
              <w:jc w:val="right"/>
              <w:ind w:right="162"/>
              <w:spacing w:after="0"/>
              <w:rPr>
                <w:sz w:val="20"/>
                <w:szCs w:val="20"/>
                <w:color w:val="auto"/>
              </w:rPr>
            </w:pPr>
            <w:r>
              <w:rPr>
                <w:rFonts w:ascii="Times New Roman" w:cs="Times New Roman" w:eastAsia="Times New Roman" w:hAnsi="Times New Roman"/>
                <w:sz w:val="20"/>
                <w:szCs w:val="20"/>
                <w:b w:val="1"/>
                <w:bCs w:val="1"/>
                <w:color w:val="auto"/>
                <w:w w:val="97"/>
              </w:rPr>
              <w:t xml:space="preserve">Total current provision for income taxes </w:t>
            </w:r>
            <w:r>
              <w:rPr>
                <w:rFonts w:ascii="Times New Roman" w:cs="Times New Roman" w:eastAsia="Times New Roman" w:hAnsi="Times New Roman"/>
                <w:sz w:val="20"/>
                <w:szCs w:val="20"/>
                <w:color w:val="auto"/>
                <w:w w:val="97"/>
              </w:rPr>
              <w:t>. . . . . . . . . . . . . . . . . . . . . . . . . . . .</w:t>
            </w: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(28)</w:t>
            </w: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(67)</w:t>
            </w:r>
          </w:p>
        </w:tc>
        <w:tc>
          <w:tcPr>
            <w:tcW w:w="20" w:type="dxa"/>
            <w:vAlign w:val="bottom"/>
          </w:tcPr>
          <w:p>
            <w:pPr>
              <w:spacing w:after="0"/>
              <w:rPr>
                <w:sz w:val="20"/>
                <w:szCs w:val="20"/>
                <w:color w:val="auto"/>
              </w:rPr>
            </w:pPr>
          </w:p>
        </w:tc>
      </w:tr>
      <w:tr>
        <w:trPr>
          <w:trHeight w:val="243"/>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Deferred income taxes:</w:t>
            </w: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64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U.S. . . . . . . . . . . . . . . . . . . . . . . . . . . . . . . . . . . . . . . . . . . . . . . . . . . . . . . . . . . .</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(28)</w:t>
            </w:r>
          </w:p>
        </w:tc>
      </w:tr>
      <w:tr>
        <w:trPr>
          <w:trHeight w:val="242"/>
        </w:trPr>
        <w:tc>
          <w:tcPr>
            <w:tcW w:w="64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Non-U.S. . . . . . . . . . . . . . . . . . . . . . . . . . . . . . . . . . . . . . . . . . . . . . . . . . . . . . . .</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20" w:type="dxa"/>
            <w:vAlign w:val="bottom"/>
          </w:tcPr>
          <w:p>
            <w:pPr>
              <w:spacing w:after="0"/>
              <w:rPr>
                <w:sz w:val="21"/>
                <w:szCs w:val="21"/>
                <w:color w:val="auto"/>
              </w:rPr>
            </w:pPr>
          </w:p>
        </w:tc>
      </w:tr>
      <w:tr>
        <w:trPr>
          <w:trHeight w:val="220"/>
        </w:trPr>
        <w:tc>
          <w:tcPr>
            <w:tcW w:w="6420" w:type="dxa"/>
            <w:vAlign w:val="bottom"/>
            <w:gridSpan w:val="2"/>
          </w:tcPr>
          <w:p>
            <w:pPr>
              <w:jc w:val="right"/>
              <w:ind w:right="280"/>
              <w:spacing w:after="0" w:line="217" w:lineRule="exact"/>
              <w:rPr>
                <w:sz w:val="20"/>
                <w:szCs w:val="20"/>
                <w:color w:val="auto"/>
              </w:rPr>
            </w:pPr>
            <w:r>
              <w:rPr>
                <w:rFonts w:ascii="Times New Roman" w:cs="Times New Roman" w:eastAsia="Times New Roman" w:hAnsi="Times New Roman"/>
                <w:sz w:val="20"/>
                <w:szCs w:val="20"/>
                <w:color w:val="auto"/>
              </w:rPr>
              <w:t>. . . . . . . . . . . . . . . . . . . . . .Totaldeferredbenefit(provision)forincometaxes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101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15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19"/>
                <w:szCs w:val="19"/>
                <w:color w:val="auto"/>
              </w:rPr>
            </w:pPr>
          </w:p>
        </w:tc>
      </w:tr>
      <w:tr>
        <w:trPr>
          <w:trHeight w:val="242"/>
        </w:trPr>
        <w:tc>
          <w:tcPr>
            <w:tcW w:w="6400" w:type="dxa"/>
            <w:vAlign w:val="bottom"/>
          </w:tcPr>
          <w:p>
            <w:pPr>
              <w:jc w:val="right"/>
              <w:ind w:right="162"/>
              <w:spacing w:after="0"/>
              <w:rPr>
                <w:sz w:val="20"/>
                <w:szCs w:val="20"/>
                <w:color w:val="auto"/>
              </w:rPr>
            </w:pPr>
            <w:r>
              <w:rPr>
                <w:rFonts w:ascii="Times New Roman" w:cs="Times New Roman" w:eastAsia="Times New Roman" w:hAnsi="Times New Roman"/>
                <w:sz w:val="20"/>
                <w:szCs w:val="20"/>
                <w:b w:val="1"/>
                <w:bCs w:val="1"/>
                <w:color w:val="auto"/>
                <w:w w:val="98"/>
              </w:rPr>
              <w:t xml:space="preserve">Total benefit (provision) for income taxes </w:t>
            </w:r>
            <w:r>
              <w:rPr>
                <w:rFonts w:ascii="Times New Roman" w:cs="Times New Roman" w:eastAsia="Times New Roman" w:hAnsi="Times New Roman"/>
                <w:sz w:val="20"/>
                <w:szCs w:val="20"/>
                <w:color w:val="auto"/>
                <w:w w:val="98"/>
              </w:rPr>
              <w:t>. . . . . . . . . . . . . . . . . . . . . . . . . . .</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(43)</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(50)</w:t>
            </w:r>
          </w:p>
        </w:tc>
        <w:tc>
          <w:tcPr>
            <w:tcW w:w="20" w:type="dxa"/>
            <w:vAlign w:val="bottom"/>
          </w:tcPr>
          <w:p>
            <w:pPr>
              <w:spacing w:after="0"/>
              <w:rPr>
                <w:sz w:val="21"/>
                <w:szCs w:val="21"/>
                <w:color w:val="auto"/>
              </w:rPr>
            </w:pPr>
          </w:p>
        </w:tc>
      </w:tr>
    </w:tbl>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Effective income tax rate reconciliation</w:t>
      </w:r>
    </w:p>
    <w:p>
      <w:pPr>
        <w:spacing w:after="0" w:line="203"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20"/>
          <w:szCs w:val="20"/>
          <w:color w:val="auto"/>
        </w:rPr>
        <w:t>The difference between the tax provision at the statutory federal income tax rate and the benefit (provision) for income taxes as a percentage of loss before income taxes (effective tax rate) for each year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2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6"/>
        </w:trPr>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2"/>
          </w:tcPr>
          <w:p>
            <w:pPr>
              <w:jc w:val="right"/>
              <w:ind w:right="360"/>
              <w:spacing w:after="0" w:line="156"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460" w:type="dxa"/>
            <w:vAlign w:val="bottom"/>
            <w:gridSpan w:val="3"/>
          </w:tcPr>
          <w:p>
            <w:pPr>
              <w:jc w:val="center"/>
              <w:ind w:right="200"/>
              <w:spacing w:after="0" w:line="156"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240" w:type="dxa"/>
            <w:vAlign w:val="bottom"/>
          </w:tcPr>
          <w:p>
            <w:pPr>
              <w:jc w:val="right"/>
              <w:ind w:right="63"/>
              <w:spacing w:after="0" w:line="156"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3"/>
                <w:szCs w:val="13"/>
                <w:color w:val="auto"/>
              </w:rPr>
            </w:pPr>
          </w:p>
        </w:tc>
      </w:tr>
      <w:tr>
        <w:trPr>
          <w:trHeight w:val="205"/>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r>
      <w:tr>
        <w:trPr>
          <w:trHeight w:val="210"/>
        </w:trPr>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505"/>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60"/>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Statutory federal income tax rate . . . . . . . . . . . . . . . . . . . . . . . . . . . . . . . . . . . . . . .</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0" w:type="dxa"/>
            <w:vAlign w:val="bottom"/>
          </w:tcPr>
          <w:p>
            <w:pPr>
              <w:spacing w:after="0"/>
              <w:rPr>
                <w:sz w:val="24"/>
                <w:szCs w:val="24"/>
                <w:color w:val="auto"/>
              </w:rPr>
            </w:pPr>
          </w:p>
        </w:tc>
      </w:tr>
      <w:tr>
        <w:trPr>
          <w:trHeight w:val="232"/>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Increase (reduction) in rate resulting from:</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rate differential . . . . . . . . . . . . . . . . . . . . . . . . . . . . . . . . . . . . . . . . . . . . . .</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w:t>
            </w:r>
          </w:p>
        </w:tc>
      </w:tr>
      <w:tr>
        <w:trPr>
          <w:trHeight w:val="232"/>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Technology incentives – current . . . . . . . . . . . . . . . . . . . . . . . . . . . . . . . . . . . . . . .</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2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(568.7)</w:t>
            </w:r>
          </w:p>
        </w:tc>
        <w:tc>
          <w:tcPr>
            <w:tcW w:w="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312.7</w:t>
            </w:r>
          </w:p>
        </w:tc>
        <w:tc>
          <w:tcPr>
            <w:tcW w:w="20" w:type="dxa"/>
            <w:vAlign w:val="bottom"/>
          </w:tcPr>
          <w:p>
            <w:pPr>
              <w:spacing w:after="0"/>
              <w:rPr>
                <w:sz w:val="20"/>
                <w:szCs w:val="20"/>
                <w:color w:val="auto"/>
              </w:rPr>
            </w:pPr>
          </w:p>
        </w:tc>
      </w:tr>
      <w:tr>
        <w:trPr>
          <w:trHeight w:val="230"/>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Technology incentives – deferred . . . . . . . . . . . . . . . . . . . . . . . . . . . . . . . . . . . . . .</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(3.1)</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(230.6)</w:t>
            </w:r>
          </w:p>
        </w:tc>
      </w:tr>
      <w:tr>
        <w:trPr>
          <w:trHeight w:val="232"/>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branch taxation of foreign operations . . . . . . . . . . . . . . . . . . . . . . . . . . . . . . .</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(127.3)</w:t>
            </w:r>
          </w:p>
        </w:tc>
      </w:tr>
      <w:tr>
        <w:trPr>
          <w:trHeight w:val="230"/>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Changes in uncertain tax position, net . . . . . . . . . . . . . . . . . . . . . . . . . . . . . . . . . . .</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(0.2)</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20" w:type="dxa"/>
            <w:vAlign w:val="bottom"/>
          </w:tcPr>
          <w:p>
            <w:pPr>
              <w:spacing w:after="0"/>
              <w:rPr>
                <w:sz w:val="20"/>
                <w:szCs w:val="20"/>
                <w:color w:val="auto"/>
              </w:rPr>
            </w:pPr>
          </w:p>
        </w:tc>
      </w:tr>
      <w:tr>
        <w:trPr>
          <w:trHeight w:val="232"/>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Share-based compensation related adjustments . . . . . . . . . . . . . . . . . . . . . . . . . . .</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(2.4)</w:t>
            </w:r>
          </w:p>
        </w:tc>
        <w:tc>
          <w:tcPr>
            <w:tcW w:w="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(0.5)</w:t>
            </w:r>
          </w:p>
        </w:tc>
      </w:tr>
      <w:tr>
        <w:trPr>
          <w:trHeight w:val="230"/>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Changes in valuation allowance . . . . . . . . . . . . . . . . . . . . . . . . . . . . . . . . . . . . . . .</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(0.3)</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(151.9)</w:t>
            </w:r>
          </w:p>
        </w:tc>
      </w:tr>
      <w:tr>
        <w:trPr>
          <w:trHeight w:val="230"/>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Non-deductible expenses and other . . . . . . . . . . . . . . . . . . . . . . . . . . . . . . . . . . . . .</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(0.1)</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(6.5)</w:t>
            </w:r>
          </w:p>
        </w:tc>
      </w:tr>
      <w:tr>
        <w:trPr>
          <w:trHeight w:val="232"/>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Withholding taxes, net of credit . . . . . . . . . . . . . . . . . . . . . . . . . . . . . . . . . . . . . . . .</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20" w:type="dxa"/>
            <w:vAlign w:val="bottom"/>
          </w:tcPr>
          <w:p>
            <w:pPr>
              <w:spacing w:after="0"/>
              <w:rPr>
                <w:sz w:val="20"/>
                <w:szCs w:val="20"/>
                <w:color w:val="auto"/>
              </w:rPr>
            </w:pPr>
          </w:p>
        </w:tc>
      </w:tr>
      <w:tr>
        <w:trPr>
          <w:trHeight w:val="241"/>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Goodwill impairment* . . . . . . . . . . . . . . . . . . . . . . . . . . . . . . . . . . . . . . . . . . . . . . .</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(18.8)</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42"/>
        </w:trPr>
        <w:tc>
          <w:tcPr>
            <w:tcW w:w="6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Effective tax rate </w:t>
            </w:r>
            <w:r>
              <w:rPr>
                <w:rFonts w:ascii="Times New Roman" w:cs="Times New Roman" w:eastAsia="Times New Roman" w:hAnsi="Times New Roman"/>
                <w:sz w:val="20"/>
                <w:szCs w:val="20"/>
                <w:color w:val="auto"/>
              </w:rPr>
              <w:t>. . . . . . . . . . . . . . . . . . . . . . . . . . . . . . . . . . . . . . . . . . . . . . . . . .</w:t>
            </w:r>
          </w:p>
        </w:tc>
        <w:tc>
          <w:tcPr>
            <w:tcW w:w="20" w:type="dxa"/>
            <w:vAlign w:val="bottom"/>
            <w:tcBorders>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2.3</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268.6</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(156.1)</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150495</wp:posOffset>
                </wp:positionV>
                <wp:extent cx="171386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1.85pt" to="134.9pt,11.85pt" o:allowincell="f" strokecolor="#000000" strokeweight="1.0199pt"/>
            </w:pict>
          </mc:Fallback>
        </mc:AlternateContent>
      </w:r>
    </w:p>
    <w:p>
      <w:pPr>
        <w:spacing w:after="0" w:line="258" w:lineRule="exact"/>
        <w:rPr>
          <w:sz w:val="20"/>
          <w:szCs w:val="20"/>
          <w:color w:val="auto"/>
        </w:rPr>
      </w:pPr>
    </w:p>
    <w:p>
      <w:pPr>
        <w:spacing w:after="0" w:line="280" w:lineRule="auto"/>
        <w:tabs>
          <w:tab w:leader="none" w:pos="20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tax impacts of the goodwill impairment is reflected in the U.S. branch taxation of foreign operations line item while the goodwill impairment line item reflects the Israeli tax impact.</w:t>
      </w:r>
    </w:p>
    <w:p>
      <w:pPr>
        <w:spacing w:after="0" w:line="163" w:lineRule="exact"/>
        <w:rPr>
          <w:sz w:val="20"/>
          <w:szCs w:val="20"/>
          <w:color w:val="auto"/>
        </w:rPr>
      </w:pPr>
    </w:p>
    <w:p>
      <w:pPr>
        <w:jc w:val="both"/>
        <w:ind w:firstLine="361"/>
        <w:spacing w:after="0" w:line="250" w:lineRule="auto"/>
        <w:rPr>
          <w:sz w:val="20"/>
          <w:szCs w:val="20"/>
          <w:color w:val="auto"/>
        </w:rPr>
      </w:pPr>
      <w:r>
        <w:rPr>
          <w:rFonts w:ascii="Times New Roman" w:cs="Times New Roman" w:eastAsia="Times New Roman" w:hAnsi="Times New Roman"/>
          <w:sz w:val="20"/>
          <w:szCs w:val="20"/>
          <w:color w:val="auto"/>
        </w:rPr>
        <w:t>In the fiscal years ended 2024, 2023 and 2022, certain Israeli operations are taxable in the U.S. as branch activities due to restructuring activities prior to Mobileye IPO. As a result, these operations are taxed both in the U.S. and locally in Israel. For U.S. tax purposes, due to cumulative losses, deferred tax assets have not been benefited which results in a residual tax provision associated with a deferred tax liability recorded for goodwill. Such deferred tax liability was reduced in 2024 due to goodwill impairment recorded for the Mobileye reporting unit, resulting in a tax benefit recorded in 2024.</w:t>
      </w:r>
    </w:p>
    <w:p>
      <w:pPr>
        <w:spacing w:after="0" w:line="19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decrease in the effective tax rate for the year ended December 28, 2024, as compared to the year ended December 30, 2023, is mainly due to the deferred tax effects of goodwill impairment to the Mobileye reporting unit, as well as loss before income taxes compared to profit before income taxes in prior year, and an increase in unbenefited U.S. deferred tax assets subject to a valuation allowance.</w:t>
      </w:r>
    </w:p>
    <w:p>
      <w:pPr>
        <w:spacing w:after="0" w:line="190"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In Israel, the Company benefits from a reduced tax rate under the Special Preferred Technological Enterprise status under the Law for the Encouragement of Capital Investments, 1959, or the Investment Law.</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ectPr>
          <w:pgSz w:w="11880" w:h="15480" w:orient="portrait"/>
          <w:cols w:equalWidth="0" w:num="1">
            <w:col w:w="10800"/>
          </w:cols>
          <w:pgMar w:left="540" w:top="984" w:right="540" w:bottom="0"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Under the Investment Law, income derived by Preferred Companies from ‘Special Preferred Technological Enterprises’ (as defined in the 2017 Amendment), would be subject to 6% tax rate on income deriving from intellectual property, subject to a number of conditions being fulfilled, including a minimal amount or ratio of annual research and development expenditures and research and development employees, as well as having at least 25% of annual income derived from exports. Special Preferred Technological Enterprise is defined as an enterprise which meets the aforementioned conditions and for which total consolidated revenue of its parent company and all subsidiaries are more than ILS 10 billion.</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Deferred income taxes</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Deferred income taxes reflect the net tax effects of temporary differences between the carrying amounts of assets and increase in unbenefited U.S. deferred tax assets subject to a valuation allowance.</w:t>
      </w:r>
    </w:p>
    <w:p>
      <w:pPr>
        <w:spacing w:after="0" w:line="16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Due to the fact that certain Israeli operations were taxable in the U.S. as branch activities, the Company recognized in the years ended December 28, 2024 and December 30, 2023 the tax effects of temporary differences between the carrying amount of assets and liabilities for financial reporting purposes and the amounts used for U.S. income tax purposes which resulted in a net deferred tax liability after evaluation of deferred tax assets for realizability.</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Significant components of the Company’s deferred tax assets and deferred tax liabilities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30,</w:t>
            </w:r>
          </w:p>
        </w:tc>
      </w:tr>
      <w:tr>
        <w:trPr>
          <w:trHeight w:val="193"/>
        </w:trPr>
        <w:tc>
          <w:tcPr>
            <w:tcW w:w="6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6"/>
                <w:szCs w:val="16"/>
                <w:color w:val="auto"/>
              </w:rPr>
            </w:pPr>
          </w:p>
        </w:tc>
      </w:tr>
      <w:tr>
        <w:trPr>
          <w:trHeight w:val="209"/>
        </w:trPr>
        <w:tc>
          <w:tcPr>
            <w:tcW w:w="642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Deferred tax assets: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Share-based compensation . . . . . . . . . . . . . . . . . . . . . . . . . . . . . . . . . . . . . . . . . . . . .</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 . . . . . .   $</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20" w:type="dxa"/>
            <w:vAlign w:val="bottom"/>
          </w:tcPr>
          <w:p>
            <w:pPr>
              <w:spacing w:after="0"/>
              <w:rPr>
                <w:sz w:val="19"/>
                <w:szCs w:val="19"/>
                <w:color w:val="auto"/>
              </w:rPr>
            </w:pPr>
          </w:p>
        </w:tc>
      </w:tr>
      <w:tr>
        <w:trPr>
          <w:trHeight w:val="230"/>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Provisions for employee benefits . .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0" w:type="dxa"/>
            <w:vAlign w:val="bottom"/>
          </w:tcPr>
          <w:p>
            <w:pPr>
              <w:spacing w:after="0"/>
              <w:rPr>
                <w:sz w:val="20"/>
                <w:szCs w:val="20"/>
                <w:color w:val="auto"/>
              </w:rPr>
            </w:pPr>
          </w:p>
        </w:tc>
      </w:tr>
      <w:tr>
        <w:trPr>
          <w:trHeight w:val="230"/>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Net operating losses carryforward .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20" w:type="dxa"/>
            <w:vAlign w:val="bottom"/>
          </w:tcPr>
          <w:p>
            <w:pPr>
              <w:spacing w:after="0"/>
              <w:rPr>
                <w:sz w:val="20"/>
                <w:szCs w:val="20"/>
                <w:color w:val="auto"/>
              </w:rPr>
            </w:pPr>
          </w:p>
        </w:tc>
      </w:tr>
      <w:tr>
        <w:trPr>
          <w:trHeight w:val="229"/>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Research and development expenses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w:t>
            </w:r>
          </w:p>
        </w:tc>
        <w:tc>
          <w:tcPr>
            <w:tcW w:w="20" w:type="dxa"/>
            <w:vAlign w:val="bottom"/>
          </w:tcPr>
          <w:p>
            <w:pPr>
              <w:spacing w:after="0"/>
              <w:rPr>
                <w:sz w:val="19"/>
                <w:szCs w:val="19"/>
                <w:color w:val="auto"/>
              </w:rPr>
            </w:pPr>
          </w:p>
        </w:tc>
      </w:tr>
      <w:tr>
        <w:trPr>
          <w:trHeight w:val="230"/>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6"/>
              </w:rPr>
              <w:t>Operating lease liabilities . . . . . . . . .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20"/>
                <w:szCs w:val="20"/>
                <w:color w:val="auto"/>
              </w:rPr>
            </w:pPr>
          </w:p>
        </w:tc>
      </w:tr>
      <w:tr>
        <w:trPr>
          <w:trHeight w:val="230"/>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Foreign tax credit and deferrals  . . .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0" w:type="dxa"/>
            <w:vAlign w:val="bottom"/>
          </w:tcPr>
          <w:p>
            <w:pPr>
              <w:spacing w:after="0"/>
              <w:rPr>
                <w:sz w:val="20"/>
                <w:szCs w:val="20"/>
                <w:color w:val="auto"/>
              </w:rPr>
            </w:pPr>
          </w:p>
        </w:tc>
      </w:tr>
      <w:tr>
        <w:trPr>
          <w:trHeight w:val="229"/>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Intangible assets . . . . . . . . . . . . . . . .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20" w:type="dxa"/>
            <w:vAlign w:val="bottom"/>
          </w:tcPr>
          <w:p>
            <w:pPr>
              <w:spacing w:after="0"/>
              <w:rPr>
                <w:sz w:val="19"/>
                <w:szCs w:val="19"/>
                <w:color w:val="auto"/>
              </w:rPr>
            </w:pPr>
          </w:p>
        </w:tc>
      </w:tr>
      <w:tr>
        <w:trPr>
          <w:trHeight w:val="241"/>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6"/>
              </w:rPr>
              <w:t>Other . . . . . . . . . . . . . . . . . . . . . . . . .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 w:type="dxa"/>
            <w:vAlign w:val="bottom"/>
          </w:tcPr>
          <w:p>
            <w:pPr>
              <w:spacing w:after="0"/>
              <w:rPr>
                <w:sz w:val="20"/>
                <w:szCs w:val="20"/>
                <w:color w:val="auto"/>
              </w:rPr>
            </w:pPr>
          </w:p>
        </w:tc>
      </w:tr>
      <w:tr>
        <w:trPr>
          <w:trHeight w:val="209"/>
        </w:trPr>
        <w:tc>
          <w:tcPr>
            <w:tcW w:w="656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 . . . . . . . .Grossdeferredtaxassets</w:t>
            </w:r>
          </w:p>
        </w:tc>
        <w:tc>
          <w:tcPr>
            <w:tcW w:w="900" w:type="dxa"/>
            <w:vAlign w:val="bottom"/>
          </w:tcPr>
          <w:p>
            <w:pPr>
              <w:ind w:left="20"/>
              <w:spacing w:after="0" w:line="209" w:lineRule="exact"/>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1,133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890</w:t>
            </w:r>
          </w:p>
        </w:tc>
        <w:tc>
          <w:tcPr>
            <w:tcW w:w="20" w:type="dxa"/>
            <w:vAlign w:val="bottom"/>
          </w:tcPr>
          <w:p>
            <w:pPr>
              <w:spacing w:after="0"/>
              <w:rPr>
                <w:sz w:val="18"/>
                <w:szCs w:val="18"/>
                <w:color w:val="auto"/>
              </w:rPr>
            </w:pPr>
          </w:p>
        </w:tc>
      </w:tr>
      <w:tr>
        <w:trPr>
          <w:trHeight w:val="241"/>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6"/>
              </w:rPr>
              <w:t>Valuation allowance . . . . . . . . . . . . .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(1,007)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(579)</w:t>
            </w:r>
          </w:p>
        </w:tc>
      </w:tr>
      <w:tr>
        <w:trPr>
          <w:trHeight w:val="208"/>
        </w:trPr>
        <w:tc>
          <w:tcPr>
            <w:tcW w:w="6560" w:type="dxa"/>
            <w:vAlign w:val="bottom"/>
            <w:gridSpan w:val="3"/>
          </w:tcPr>
          <w:p>
            <w:pPr>
              <w:jc w:val="right"/>
              <w:spacing w:after="0" w:line="208" w:lineRule="exact"/>
              <w:rPr>
                <w:sz w:val="20"/>
                <w:szCs w:val="20"/>
                <w:color w:val="auto"/>
              </w:rPr>
            </w:pPr>
            <w:r>
              <w:rPr>
                <w:rFonts w:ascii="Times New Roman" w:cs="Times New Roman" w:eastAsia="Times New Roman" w:hAnsi="Times New Roman"/>
                <w:sz w:val="20"/>
                <w:szCs w:val="20"/>
                <w:color w:val="auto"/>
              </w:rPr>
              <w:t>. . . . . . . . . . . . . . . . . . . . . . . . . . . . . . . . . . . . . . . . . . . . . .</w:t>
            </w:r>
            <w:r>
              <w:rPr>
                <w:rFonts w:ascii="Times New Roman" w:cs="Times New Roman" w:eastAsia="Times New Roman" w:hAnsi="Times New Roman"/>
                <w:sz w:val="20"/>
                <w:szCs w:val="20"/>
                <w:b w:val="1"/>
                <w:bCs w:val="1"/>
                <w:color w:val="auto"/>
              </w:rPr>
              <w:t>Totaldeferredtaxassets</w:t>
            </w:r>
          </w:p>
        </w:tc>
        <w:tc>
          <w:tcPr>
            <w:tcW w:w="900" w:type="dxa"/>
            <w:vAlign w:val="bottom"/>
          </w:tcPr>
          <w:p>
            <w:pPr>
              <w:ind w:left="20"/>
              <w:spacing w:after="0" w:line="208" w:lineRule="exact"/>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126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311</w:t>
            </w:r>
          </w:p>
        </w:tc>
        <w:tc>
          <w:tcPr>
            <w:tcW w:w="20" w:type="dxa"/>
            <w:vAlign w:val="bottom"/>
          </w:tcPr>
          <w:p>
            <w:pPr>
              <w:spacing w:after="0"/>
              <w:rPr>
                <w:sz w:val="18"/>
                <w:szCs w:val="18"/>
                <w:color w:val="auto"/>
              </w:rPr>
            </w:pP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Intangible assets . . . . . . . . . . . . . . . .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20" w:type="dxa"/>
            <w:vAlign w:val="bottom"/>
          </w:tcPr>
          <w:p>
            <w:pPr>
              <w:spacing w:after="0"/>
              <w:rPr>
                <w:sz w:val="20"/>
                <w:szCs w:val="20"/>
                <w:color w:val="auto"/>
              </w:rPr>
            </w:pPr>
          </w:p>
        </w:tc>
      </w:tr>
      <w:tr>
        <w:trPr>
          <w:trHeight w:val="229"/>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6"/>
              </w:rPr>
              <w:t>Goodwill . . . . . . . . . . . . . . . . . . . . . .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w:t>
            </w:r>
          </w:p>
        </w:tc>
        <w:tc>
          <w:tcPr>
            <w:tcW w:w="20" w:type="dxa"/>
            <w:vAlign w:val="bottom"/>
          </w:tcPr>
          <w:p>
            <w:pPr>
              <w:spacing w:after="0"/>
              <w:rPr>
                <w:sz w:val="19"/>
                <w:szCs w:val="19"/>
                <w:color w:val="auto"/>
              </w:rPr>
            </w:pPr>
          </w:p>
        </w:tc>
      </w:tr>
      <w:tr>
        <w:trPr>
          <w:trHeight w:val="230"/>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Right of use assets . . . . . . . . . . . . . .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20"/>
                <w:szCs w:val="20"/>
                <w:color w:val="auto"/>
              </w:rPr>
            </w:pPr>
          </w:p>
        </w:tc>
      </w:tr>
      <w:tr>
        <w:trPr>
          <w:trHeight w:val="241"/>
        </w:trPr>
        <w:tc>
          <w:tcPr>
            <w:tcW w:w="65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6"/>
              </w:rPr>
              <w:t>Other . . . . . . . . . . . . . . . . . . . . . . . . . . . . . . . . . . . . . . . . . . . . . . . . . . . . . . . . . . . . . . .</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20"/>
        </w:trPr>
        <w:tc>
          <w:tcPr>
            <w:tcW w:w="6560" w:type="dxa"/>
            <w:vAlign w:val="bottom"/>
            <w:gridSpan w:val="3"/>
          </w:tcPr>
          <w:p>
            <w:pPr>
              <w:jc w:val="right"/>
              <w:spacing w:after="0" w:line="215" w:lineRule="exact"/>
              <w:rPr>
                <w:sz w:val="20"/>
                <w:szCs w:val="20"/>
                <w:color w:val="auto"/>
              </w:rPr>
            </w:pPr>
            <w:r>
              <w:rPr>
                <w:rFonts w:ascii="Times New Roman" w:cs="Times New Roman" w:eastAsia="Times New Roman" w:hAnsi="Times New Roman"/>
                <w:sz w:val="20"/>
                <w:szCs w:val="20"/>
                <w:color w:val="auto"/>
              </w:rPr>
              <w:t>. . . . . . . . . . . . . . . . . . . . . . . . . . . . . . . . . . . . . . . . . . .</w:t>
            </w:r>
            <w:r>
              <w:rPr>
                <w:rFonts w:ascii="Times New Roman" w:cs="Times New Roman" w:eastAsia="Times New Roman" w:hAnsi="Times New Roman"/>
                <w:sz w:val="20"/>
                <w:szCs w:val="20"/>
                <w:b w:val="1"/>
                <w:bCs w:val="1"/>
                <w:color w:val="auto"/>
              </w:rPr>
              <w:t>Totaldeferredtaxliabilities</w:t>
            </w:r>
          </w:p>
        </w:tc>
        <w:tc>
          <w:tcPr>
            <w:tcW w:w="900" w:type="dxa"/>
            <w:vAlign w:val="bottom"/>
          </w:tcPr>
          <w:p>
            <w:pPr>
              <w:ind w:left="20"/>
              <w:spacing w:after="0" w:line="215" w:lineRule="exact"/>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(173)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(459)</w:t>
            </w:r>
          </w:p>
        </w:tc>
        <w:tc>
          <w:tcPr>
            <w:tcW w:w="20" w:type="dxa"/>
            <w:vAlign w:val="bottom"/>
          </w:tcPr>
          <w:p>
            <w:pPr>
              <w:spacing w:after="0"/>
              <w:rPr>
                <w:sz w:val="19"/>
                <w:szCs w:val="19"/>
                <w:color w:val="auto"/>
              </w:rPr>
            </w:pPr>
          </w:p>
        </w:tc>
      </w:tr>
      <w:tr>
        <w:trPr>
          <w:trHeight w:val="240"/>
        </w:trPr>
        <w:tc>
          <w:tcPr>
            <w:tcW w:w="6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 . . . . . . . . . . . . . . . . . . . . . . . . . . . . . . . . . . . . . . . . . . . .</w:t>
            </w:r>
            <w:r>
              <w:rPr>
                <w:rFonts w:ascii="Times New Roman" w:cs="Times New Roman" w:eastAsia="Times New Roman" w:hAnsi="Times New Roman"/>
                <w:sz w:val="20"/>
                <w:szCs w:val="20"/>
                <w:b w:val="1"/>
                <w:bCs w:val="1"/>
                <w:color w:val="auto"/>
                <w:w w:val="99"/>
              </w:rPr>
              <w:t>Netdeferredtaxliabilities</w:t>
            </w:r>
          </w:p>
        </w:tc>
        <w:tc>
          <w:tcPr>
            <w:tcW w:w="900" w:type="dxa"/>
            <w:vAlign w:val="bottom"/>
          </w:tcPr>
          <w:p>
            <w:pPr>
              <w:ind w:left="20"/>
              <w:spacing w:after="0" w:line="187" w:lineRule="exact"/>
              <w:rPr>
                <w:sz w:val="20"/>
                <w:szCs w:val="20"/>
                <w:color w:val="auto"/>
              </w:rPr>
            </w:pPr>
            <w:r>
              <w:rPr>
                <w:rFonts w:ascii="Times New Roman" w:cs="Times New Roman" w:eastAsia="Times New Roman" w:hAnsi="Times New Roman"/>
                <w:sz w:val="20"/>
                <w:szCs w:val="20"/>
                <w:color w:val="auto"/>
              </w:rPr>
              <w:t>. . . . . . .</w:t>
            </w:r>
          </w:p>
        </w:tc>
        <w:tc>
          <w:tcPr>
            <w:tcW w:w="20" w:type="dxa"/>
            <w:vAlign w:val="bottom"/>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(47)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(148)</w:t>
            </w:r>
          </w:p>
        </w:tc>
        <w:tc>
          <w:tcPr>
            <w:tcW w:w="20" w:type="dxa"/>
            <w:vAlign w:val="bottom"/>
          </w:tcPr>
          <w:p>
            <w:pPr>
              <w:spacing w:after="0"/>
              <w:rPr>
                <w:sz w:val="20"/>
                <w:szCs w:val="20"/>
                <w:color w:val="auto"/>
              </w:rPr>
            </w:pPr>
          </w:p>
        </w:tc>
      </w:tr>
      <w:tr>
        <w:trPr>
          <w:trHeight w:val="476"/>
        </w:trPr>
        <w:tc>
          <w:tcPr>
            <w:tcW w:w="64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Changes in valuation allowance for deferred tax assets were as follows: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102"/>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3"/>
                <w:szCs w:val="13"/>
                <w:color w:val="auto"/>
              </w:rPr>
            </w:pPr>
          </w:p>
        </w:tc>
      </w:tr>
      <w:tr>
        <w:trPr>
          <w:trHeight w:val="194"/>
        </w:trPr>
        <w:tc>
          <w:tcPr>
            <w:tcW w:w="6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left="6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6"/>
                <w:szCs w:val="16"/>
                <w:color w:val="auto"/>
              </w:rPr>
            </w:pPr>
          </w:p>
        </w:tc>
      </w:tr>
      <w:tr>
        <w:trPr>
          <w:trHeight w:val="210"/>
        </w:trPr>
        <w:tc>
          <w:tcPr>
            <w:tcW w:w="642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auto"/>
              </w:rPr>
              <w:t>. . . . . . . . . . . . . . . . . . . . . . . . . . . . . .Valuationallowanceatbeginningofyear</w:t>
            </w:r>
          </w:p>
        </w:tc>
        <w:tc>
          <w:tcPr>
            <w:tcW w:w="1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20"/>
                <w:szCs w:val="20"/>
                <w:color w:val="auto"/>
              </w:rPr>
              <w:t>579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tcPr>
          <w:p>
            <w:pPr>
              <w:jc w:val="right"/>
              <w:ind w:right="20"/>
              <w:spacing w:after="0" w:line="210" w:lineRule="exact"/>
              <w:rPr>
                <w:sz w:val="20"/>
                <w:szCs w:val="20"/>
                <w:color w:val="auto"/>
              </w:rPr>
            </w:pPr>
            <w:r>
              <w:rPr>
                <w:rFonts w:ascii="Times New Roman" w:cs="Times New Roman" w:eastAsia="Times New Roman" w:hAnsi="Times New Roman"/>
                <w:sz w:val="20"/>
                <w:szCs w:val="20"/>
                <w:color w:val="auto"/>
              </w:rPr>
              <w:t>533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229</w:t>
            </w:r>
          </w:p>
        </w:tc>
        <w:tc>
          <w:tcPr>
            <w:tcW w:w="20" w:type="dxa"/>
            <w:vAlign w:val="bottom"/>
          </w:tcPr>
          <w:p>
            <w:pPr>
              <w:spacing w:after="0"/>
              <w:rPr>
                <w:sz w:val="18"/>
                <w:szCs w:val="18"/>
                <w:color w:val="auto"/>
              </w:rPr>
            </w:pPr>
          </w:p>
        </w:tc>
      </w:tr>
      <w:tr>
        <w:trPr>
          <w:trHeight w:val="242"/>
        </w:trPr>
        <w:tc>
          <w:tcPr>
            <w:tcW w:w="6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valuation allowance . . . . . . . . . . . . . . . . . . . . . . . . . . . . . . . . . . . . . .</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428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46</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304</w:t>
            </w:r>
          </w:p>
        </w:tc>
        <w:tc>
          <w:tcPr>
            <w:tcW w:w="20" w:type="dxa"/>
            <w:vAlign w:val="bottom"/>
          </w:tcPr>
          <w:p>
            <w:pPr>
              <w:spacing w:after="0"/>
              <w:rPr>
                <w:sz w:val="21"/>
                <w:szCs w:val="21"/>
                <w:color w:val="auto"/>
              </w:rPr>
            </w:pPr>
          </w:p>
        </w:tc>
      </w:tr>
      <w:tr>
        <w:trPr>
          <w:trHeight w:val="242"/>
        </w:trPr>
        <w:tc>
          <w:tcPr>
            <w:tcW w:w="6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Valuation allowance at end of year </w:t>
            </w:r>
            <w:r>
              <w:rPr>
                <w:rFonts w:ascii="Times New Roman" w:cs="Times New Roman" w:eastAsia="Times New Roman" w:hAnsi="Times New Roman"/>
                <w:sz w:val="20"/>
                <w:szCs w:val="20"/>
                <w:color w:val="auto"/>
              </w:rPr>
              <w:t>. . . . . . . . . . . . . . . . . . . . . . . . . . . . . . . . .</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1,007</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579</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533</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ectPr>
          <w:pgSz w:w="11880" w:h="15480" w:orient="portrait"/>
          <w:cols w:equalWidth="0" w:num="1">
            <w:col w:w="10800"/>
          </w:cols>
          <w:pgMar w:left="540" w:top="984" w:right="540" w:bottom="0"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Realization of deferred tax assets is based on the Company’s judgment and various factors including reversal of deferred tax liabilities, the ability to generate future taxable income in jurisdictions where such assets have arisen, and potential tax planning strategies. A valuation allowance is recorded in order to reduce the deferred tax assets to the amount expected to be realized in the future. The valuation allowance for the years presented are primarily related to U.S. branch deferred tax assets not currently expected to be realized given that the Company has sustained recent losses based on the separate return method.</w:t>
      </w:r>
    </w:p>
    <w:p>
      <w:pPr>
        <w:spacing w:after="0" w:line="192"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For purposes of these financial statements, the income tax expense and deferred tax balances have been prepared as if the Company filed income tax returns on the separate return method. As of December 28, 2024, the Company has U.S. net operating loss carryforwards of $144 million, subject to separate return limitation year rules, which were generated before the Company joined its Parent’s consolidated income tax return on July 17, 2021. The Company also has $316 million of separate return method net operating loss carryforwards that were generated after joining its Parent’s consolidated income tax filing group which have been utilized by its Parent. These net operating losses generated by the Company that have been utilized as part of the Parent consolidated income tax return filings but have not been utilized by the Company under the separate return method approach, have been reflected in these consolidated financial statements because the Company will recognize a benefit for the separate return method net operating losses when determined to be realizable.</w:t>
      </w:r>
    </w:p>
    <w:p>
      <w:pPr>
        <w:spacing w:after="0" w:line="197"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 has a non-U.S. net operating loss carryforward of $213 million as of December 28, 2024. This net operating loss carryforward amount relates primarily to operations in Israel and has an indefinite carry-forward period.</w:t>
      </w:r>
    </w:p>
    <w:p>
      <w:pPr>
        <w:spacing w:after="0" w:line="16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Company intends to indefinitely reinvest undistributed foreign earnings into foreign operations and expects future U.S. cash generated to be sufficient to meet future U.S. cash needs. Therefore, the Company has not provided for deferred income taxes on undistributed foreign earnings. In making this determination, the Company evaluates both near-term and long-term fiscal needs of its U.S. domestic operations and its foreign subsidiaries. The estimation of the unrecognized deferred tax liability on undistributed foreign earnings is not practicable for the consolidated balance sheets dates presented.</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Uncertain tax positions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A reconciliation of the beginning and ending amount of unrecognized tax benefits related to uncertain tax positions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6"/>
        </w:trPr>
        <w:tc>
          <w:tcPr>
            <w:tcW w:w="6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86"/>
              <w:spacing w:after="0" w:line="156"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47"/>
              <w:spacing w:after="0" w:line="156"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3"/>
                <w:szCs w:val="13"/>
                <w:color w:val="auto"/>
              </w:rPr>
            </w:pPr>
          </w:p>
        </w:tc>
      </w:tr>
      <w:tr>
        <w:trPr>
          <w:trHeight w:val="194"/>
        </w:trPr>
        <w:tc>
          <w:tcPr>
            <w:tcW w:w="6520" w:type="dxa"/>
            <w:vAlign w:val="bottom"/>
          </w:tcPr>
          <w:p>
            <w:pPr>
              <w:jc w:val="right"/>
              <w:ind w:right="4863"/>
              <w:spacing w:after="0"/>
              <w:rPr>
                <w:sz w:val="20"/>
                <w:szCs w:val="20"/>
                <w:color w:val="auto"/>
              </w:rPr>
            </w:pPr>
            <w:r>
              <w:rPr>
                <w:rFonts w:ascii="Times New Roman" w:cs="Times New Roman" w:eastAsia="Times New Roman" w:hAnsi="Times New Roman"/>
                <w:sz w:val="16"/>
                <w:szCs w:val="16"/>
                <w:b w:val="1"/>
                <w:bCs w:val="1"/>
                <w:color w:val="auto"/>
                <w:w w:val="99"/>
              </w:rPr>
              <w:t>U.S. dollars in millions</w:t>
            </w: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6520" w:type="dxa"/>
            <w:vAlign w:val="bottom"/>
          </w:tcPr>
          <w:p>
            <w:pPr>
              <w:jc w:val="right"/>
              <w:ind w:right="183"/>
              <w:spacing w:after="0" w:line="210" w:lineRule="exact"/>
              <w:rPr>
                <w:sz w:val="20"/>
                <w:szCs w:val="20"/>
                <w:color w:val="auto"/>
              </w:rPr>
            </w:pPr>
            <w:r>
              <w:rPr>
                <w:rFonts w:ascii="Times New Roman" w:cs="Times New Roman" w:eastAsia="Times New Roman" w:hAnsi="Times New Roman"/>
                <w:sz w:val="20"/>
                <w:szCs w:val="20"/>
                <w:color w:val="auto"/>
              </w:rPr>
              <w:t>. . . . . . . . . . . . . . . . . . . . . . . . . . . . . . . . .</w:t>
            </w:r>
            <w:r>
              <w:rPr>
                <w:rFonts w:ascii="Times New Roman" w:cs="Times New Roman" w:eastAsia="Times New Roman" w:hAnsi="Times New Roman"/>
                <w:sz w:val="20"/>
                <w:szCs w:val="20"/>
                <w:b w:val="1"/>
                <w:bCs w:val="1"/>
                <w:color w:val="auto"/>
              </w:rPr>
              <w:t>Balanceatthebeginningoftheyear</w:t>
            </w:r>
          </w:p>
        </w:tc>
        <w:tc>
          <w:tcPr>
            <w:tcW w:w="20" w:type="dxa"/>
            <w:vAlign w:val="bottom"/>
          </w:tcPr>
          <w:p>
            <w:pPr>
              <w:spacing w:after="0"/>
              <w:rPr>
                <w:sz w:val="18"/>
                <w:szCs w:val="18"/>
                <w:color w:val="auto"/>
              </w:rPr>
            </w:pPr>
          </w:p>
        </w:tc>
        <w:tc>
          <w:tcPr>
            <w:tcW w:w="1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b w:val="1"/>
                <w:bCs w:val="1"/>
                <w:color w:val="auto"/>
              </w:rPr>
              <w:t>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b w:val="1"/>
                <w:bCs w:val="1"/>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b w:val="1"/>
                <w:bCs w:val="1"/>
                <w:color w:val="auto"/>
              </w:rPr>
              <w:t>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52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w w:val="99"/>
              </w:rPr>
              <w:t>Changes in balances related to tax positions taken during current period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2"/>
        </w:trPr>
        <w:tc>
          <w:tcPr>
            <w:tcW w:w="652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w w:val="97"/>
              </w:rPr>
              <w:t>Settlements with taxing authorities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652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w w:val="97"/>
              </w:rPr>
              <w:t>Lapse of statute of limitations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w:t>
            </w:r>
          </w:p>
        </w:tc>
      </w:tr>
      <w:tr>
        <w:trPr>
          <w:trHeight w:val="242"/>
        </w:trPr>
        <w:tc>
          <w:tcPr>
            <w:tcW w:w="6520" w:type="dxa"/>
            <w:vAlign w:val="bottom"/>
          </w:tcPr>
          <w:p>
            <w:pPr>
              <w:jc w:val="right"/>
              <w:ind w:right="183"/>
              <w:spacing w:after="0"/>
              <w:rPr>
                <w:sz w:val="20"/>
                <w:szCs w:val="20"/>
                <w:color w:val="auto"/>
              </w:rPr>
            </w:pPr>
            <w:r>
              <w:rPr>
                <w:rFonts w:ascii="Times New Roman" w:cs="Times New Roman" w:eastAsia="Times New Roman" w:hAnsi="Times New Roman"/>
                <w:sz w:val="20"/>
                <w:szCs w:val="20"/>
                <w:color w:val="auto"/>
              </w:rPr>
              <w:t>. . . . . . . . . . . . . . . . . . . . . . . . . . . . . . . . . . . . . .</w:t>
            </w:r>
            <w:r>
              <w:rPr>
                <w:rFonts w:ascii="Times New Roman" w:cs="Times New Roman" w:eastAsia="Times New Roman" w:hAnsi="Times New Roman"/>
                <w:sz w:val="20"/>
                <w:szCs w:val="20"/>
                <w:b w:val="1"/>
                <w:bCs w:val="1"/>
                <w:color w:val="auto"/>
              </w:rPr>
              <w:t>Balanceattheendoftheyear</w:t>
            </w: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bl>
    <w:p>
      <w:pPr>
        <w:spacing w:after="0" w:line="208"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If the remaining balance of unrecognized tax benefits were recognized in a future period, it would result in a tax benefit of $13 million as of December 28, 2024. The balance of uncertain tax positions, which also includes accrued penalties and interest, is included in other long-term liabilities on the consolidated balance sheets. There are no material changes anticipated in the uncertain tax positions in the next twelve months.</w:t>
      </w:r>
    </w:p>
    <w:p>
      <w:pPr>
        <w:spacing w:after="0" w:line="191"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Company files income tax returns in the U.S., Israel, and in other certain foreign jurisdictions. The Company is no longer subject to U.S. and Israeli tax examinations for years prior to 2021 and 2020, respectively.</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124</w:t>
      </w:r>
    </w:p>
    <w:p>
      <w:pPr>
        <w:sectPr>
          <w:pgSz w:w="11880" w:h="15480" w:orient="portrait"/>
          <w:cols w:equalWidth="0" w:num="1">
            <w:col w:w="10800"/>
          </w:cols>
          <w:pgMar w:left="540" w:top="984" w:right="540" w:bottom="0"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RELATED PARTY TRANSACTIONS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has entered into a series of related party arrangements with Intel. The arrangements were as follows:</w:t>
      </w:r>
    </w:p>
    <w:p>
      <w:pPr>
        <w:spacing w:after="0" w:line="236" w:lineRule="exact"/>
        <w:rPr>
          <w:sz w:val="20"/>
          <w:szCs w:val="20"/>
          <w:color w:val="auto"/>
        </w:rPr>
      </w:pPr>
    </w:p>
    <w:p>
      <w:pPr>
        <w:ind w:left="720" w:hanging="360"/>
        <w:spacing w:after="0"/>
        <w:tabs>
          <w:tab w:leader="none" w:pos="72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 Compensation Recharge Agreement</w:t>
      </w:r>
    </w:p>
    <w:p>
      <w:pPr>
        <w:spacing w:after="0" w:line="244"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The Company entered into a stock compensation recharge agreement with Intel, which requires the Company to reimburse Intel for certain amounts, net of any related withholding tax, relating to the value of share-based compensation provided to the Company’s employees for RSUs or stock options exercisable in Intel stock. The reimbursement amounts recorded as an adjustment to additional paid-in capital (and to parent net investment prior to the Mobileye IPO) in the consolidated statement of changes in equity were $0 million, $100 million and $118 million for the years ended December 28, 2024, December 30, 2023 and December 31, 2022, respectively. As for the inclusion of the Company’s employees in Intel’s equity incentive plan, see Note 6.</w:t>
      </w:r>
    </w:p>
    <w:p>
      <w:pPr>
        <w:spacing w:after="0" w:line="191" w:lineRule="exact"/>
        <w:rPr>
          <w:sz w:val="20"/>
          <w:szCs w:val="20"/>
          <w:color w:val="auto"/>
        </w:rPr>
      </w:pPr>
    </w:p>
    <w:p>
      <w:pPr>
        <w:ind w:left="720" w:hanging="360"/>
        <w:spacing w:after="0"/>
        <w:tabs>
          <w:tab w:leader="none" w:pos="72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Hedging services</w:t>
      </w:r>
    </w:p>
    <w:p>
      <w:pPr>
        <w:spacing w:after="0" w:line="24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9"/>
          <w:szCs w:val="19"/>
          <w:color w:val="auto"/>
        </w:rPr>
        <w:t xml:space="preserve">Intel centrally hedges its exposure to changes in foreign exchange rates. At the beginning of 2021, the Company entered into a hedging services agreement with Intel, pursuant to which the Company was entitled to a certain allocation of the gains and obligated to a certain allocation of the losses arising from the execution of the hedging contracts. In October 2022, we de-designated our outstanding hedge instruments and ceased participation in the hedging services agreement with Intel. As of October 25, 2022, the Company is no longer a party to this agreement. For further information, see Note 2, </w:t>
      </w:r>
      <w:r>
        <w:rPr>
          <w:rFonts w:ascii="Times New Roman" w:cs="Times New Roman" w:eastAsia="Times New Roman" w:hAnsi="Times New Roman"/>
          <w:sz w:val="19"/>
          <w:szCs w:val="19"/>
          <w:i w:val="1"/>
          <w:iCs w:val="1"/>
          <w:color w:val="auto"/>
        </w:rPr>
        <w:t>Significant Accounting Policies</w:t>
      </w:r>
      <w:r>
        <w:rPr>
          <w:rFonts w:ascii="Times New Roman" w:cs="Times New Roman" w:eastAsia="Times New Roman" w:hAnsi="Times New Roman"/>
          <w:sz w:val="19"/>
          <w:szCs w:val="19"/>
          <w:color w:val="auto"/>
        </w:rPr>
        <w:t xml:space="preserve"> related to Derivatives and hedging.</w:t>
      </w:r>
    </w:p>
    <w:p>
      <w:pPr>
        <w:spacing w:after="0" w:line="177" w:lineRule="exact"/>
        <w:rPr>
          <w:sz w:val="20"/>
          <w:szCs w:val="20"/>
          <w:color w:val="auto"/>
        </w:rPr>
      </w:pPr>
    </w:p>
    <w:p>
      <w:pPr>
        <w:ind w:left="720" w:hanging="360"/>
        <w:spacing w:after="0"/>
        <w:tabs>
          <w:tab w:leader="none" w:pos="72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 agreements</w:t>
      </w:r>
    </w:p>
    <w:p>
      <w:pPr>
        <w:spacing w:after="0" w:line="24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Under lease agreements with Intel, the Company leases office space in Intel’s buildings. The costs are included in the consolidated statements of operations and comprehensive income (loss) primarily on a specific and direct attribution basis, as described in Note 2. The leasing costs for the years ended December 28, 2024, December 30, 2023 and December 31, 2022 were $3 million, $4 million and $3 million, respectively.</w:t>
      </w:r>
    </w:p>
    <w:p>
      <w:pPr>
        <w:spacing w:after="0" w:line="188" w:lineRule="exact"/>
        <w:rPr>
          <w:sz w:val="20"/>
          <w:szCs w:val="20"/>
          <w:color w:val="auto"/>
        </w:rPr>
      </w:pPr>
    </w:p>
    <w:p>
      <w:pPr>
        <w:ind w:left="720" w:hanging="360"/>
        <w:spacing w:after="0"/>
        <w:tabs>
          <w:tab w:leader="none" w:pos="72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services to a related party</w:t>
      </w:r>
    </w:p>
    <w:p>
      <w:pPr>
        <w:spacing w:after="0" w:line="24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Company reimbursed its Chief Executive Officer for reasonable travel related expenses incurred while conducting business on behalf of the Company as well as paid for certain security related costs. For the years ended December 28, 2024, December 30, 2023, and December 31, 2022, travel related reimbursements and security related costs were $2.0 million, $1.8 million and $1.1 million, respectively.</w:t>
      </w:r>
    </w:p>
    <w:p>
      <w:pPr>
        <w:spacing w:after="0" w:line="188" w:lineRule="exact"/>
        <w:rPr>
          <w:sz w:val="20"/>
          <w:szCs w:val="20"/>
          <w:color w:val="auto"/>
        </w:rPr>
      </w:pPr>
    </w:p>
    <w:p>
      <w:pPr>
        <w:ind w:left="720" w:hanging="360"/>
        <w:spacing w:after="0"/>
        <w:tabs>
          <w:tab w:leader="none" w:pos="72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Reorganization and the Mobileye IPO</w:t>
      </w:r>
    </w:p>
    <w:p>
      <w:pPr>
        <w:spacing w:after="0" w:line="244"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In connection with the Mobileye IPO, which was completed in October 2022, we have consummated the following transactions and agreements.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Equity transaction in connection with the legal purchase of Moovit entities</w:t>
      </w:r>
    </w:p>
    <w:p>
      <w:pPr>
        <w:spacing w:after="0" w:line="284"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On May 31, 2022, we entered into an agreement with Intel pursuant to which we legally purchased from Intel 100% of the issued and outstanding equity interests of the Moovit entities for an aggregate amount of $900 million that was paid in December 2022 to Intel using cash that we concurrently received from Intel’s payment of such amount it owed us under the Bilateral Loan Arrangements. Moovit’s operations were already reflected as part of the Mobileye Group as further detailed in Note 1 and, therefore the transaction was treated within equity.</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125</w:t>
      </w:r>
    </w:p>
    <w:p>
      <w:pPr>
        <w:sectPr>
          <w:pgSz w:w="11880" w:h="15480" w:orient="portrait"/>
          <w:cols w:equalWidth="0" w:num="1">
            <w:col w:w="10800"/>
          </w:cols>
          <w:pgMar w:left="540" w:top="984" w:right="540" w:bottom="0" w:gutter="0" w:footer="0" w:header="0"/>
          <w:type w:val="continuous"/>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Dividend Note</w:t>
      </w:r>
    </w:p>
    <w:p>
      <w:pPr>
        <w:spacing w:after="0" w:line="284"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On April 21, 2022, Intel and Mobileye Group signed a loan agreement whereby Mobileye Group issued a promissory note to Intel in an aggregate principal amount of $3.5 billion (the “Dividend Note”). The Dividend Note was scheduled to mature on April 21, 2025 and accrued interest at a rate equal to 1.26% per annum, such interest to accrue quarterly. Prior to June 30, 2024, such interest would be paid by being automatically added to the outstanding principal amount of the loan and would thereafter be payable quarterly in cash in arrears and shall also be payable upon any prepayment, whether in whole or in part, to the extent accrued on the amount being prepaid and upon maturity. Under the Dividend Note, Mobileye Group had the right, at its option, on any business day, to prepay the loan, including principal and any accrued interest thereon, in whole or in part without premium or penalty. In November 2022, the Company used approximately $0.9 billion out of the net proceeds from the Mobileye IPO to repay a portion of the indebtedness under the Dividend Note and Intel has contributed to the Company the remaining portion of the Dividend Note (plus related accrued interest) in the amount of $2.6 billion such that no amounts under the Dividend Note remain owed by us to Intel as of December 31, 2022. Interest expense recognized by the Company totaled $24 million for the year ended December 31, 2022.</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Contribution and Subscription Agreement</w:t>
      </w:r>
    </w:p>
    <w:p>
      <w:pPr>
        <w:spacing w:after="0" w:line="284"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In connection with the Mobileye IPO, we entered into the Contribution and Subscription Agreement with Intel, pursuant to which Intel transferred to Mobileye Global Inc., collectively as a contribution on existing capital in exchange for 749,999,900 shares of our Class B common stock: (i) 100% of the equity interests of Cyclops Holdings Corporation, such that Cyclops Holdings Corporation became a direct, wholly owned subsidiary of Mobileye Global Inc.; and (ii) the Dividend Note with respect to any principal and accrued interest thereon in excess of the principal amount that we repaid out of the net proceeds that we received from the Mobileye IPO and the Concurrent Private Placement. After the completion of the Mobileye IPO and the Concurrent Private Placement, no amounts under the Dividend Note remain owed by us to Intel. The actual amount of the Dividend Note which was repaid was based upon the amount of net proceeds from the Mobileye IPO that were available after we retained the required $1.0 billion of cash, cash equivalents, or marketable securities that Intel agreed to ensure that we had immediately after completion of the IPO under the Master Transaction Agreement.</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Intercompany Agreements</w:t>
      </w:r>
    </w:p>
    <w:p>
      <w:pPr>
        <w:spacing w:after="0" w:line="28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color w:val="auto"/>
        </w:rPr>
        <w:t>In connection with the Mobileye IPO, the Company entered into certain intercompany agreements (collectively, the “Intercompany Agreements”), including a Master Transaction Agreement, an Administrative Services Agreement, an Employee Matters Agreement, a Technology and Services Agreement, a LiDAR Product Collaboration Agreement, and a Tax Sharing Agreement, in each case with Intel and certain of its subsidiaries, to outline a framework for the Company’s ongoing relationship with Intel, whereby, among other matters, Intel will continue to provide certain administrative and operational services, including the supply and license of certain technologies, whereby the Company will supply Intel with certain technologies, and whereby Intel’s and the Company’s respective rights, responsibilities and obligations with respect to all tax matters will be governed (including tax liabilities, tax attributes, tax returns and tax audits). The Intercompany Agreements became effective as of the completion of the Mobileye IPO. See below for further detail.</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Administrative Services Agreement</w:t>
      </w:r>
    </w:p>
    <w:p>
      <w:pPr>
        <w:spacing w:after="0" w:line="236"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Under the Administrative Services Agreement, Intel provides the Company with administrative and other services. The Company pays fees to Intel for the services rendered based on pricing per service agreed between the Company and Intel.</w:t>
      </w:r>
    </w:p>
    <w:p>
      <w:pPr>
        <w:spacing w:after="0" w:line="163"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initial term of the Administrative Services Agreement expires two years from the completion of the Mobileye IPO and extends automatically for successive three-month terms unless one of the parties elects not to renew. We have the right to terminate any of the services provided by Intel under the Administrative Services Agreement at any time upon thirty days prior written notice of termination to Intel, or if Intel fails to perform any of its material obligations under the Administrative Services Agreement and such failure continues for at least thirty days after receipt by Intel of written notice of such failure from Mobileye.</w:t>
      </w:r>
    </w:p>
    <w:p>
      <w:pPr>
        <w:spacing w:after="0" w:line="19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costs incurred under this agreement for the years ended December 28, 2024, December 30, 2023 and December 31, 2022 were $3 million, $4 million and $3 million, respectively.</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126</w:t>
      </w:r>
    </w:p>
    <w:p>
      <w:pPr>
        <w:sectPr>
          <w:pgSz w:w="11880" w:h="15480" w:orient="portrait"/>
          <w:cols w:equalWidth="0" w:num="1">
            <w:col w:w="10800"/>
          </w:cols>
          <w:pgMar w:left="540" w:top="984" w:right="540" w:bottom="0"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Technology and Services Agreement</w:t>
      </w:r>
    </w:p>
    <w:p>
      <w:pPr>
        <w:spacing w:after="0" w:line="236"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The Technology and Services Agreement provides a framework for the collaboration on technology projects and services between the Company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the Company. The Technology and Services Agreement does not apply to projects for the development and manufacture of a lidar sensor system for automobiles, which the LiDAR Product Collaboration Agreement previously covered. Pursuant to the Technology and Services Agreement, the Company and Intel will agree to statements of work with additional terms for Technology Projects.</w:t>
      </w:r>
    </w:p>
    <w:p>
      <w:pPr>
        <w:spacing w:after="0" w:line="20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Technology and Services Agreement has a term of two years, and automatically renews for one-year renewal periods, unless the agreement is terminated for a party’s material breach, a party’s bankruptcy or insolvency, or advance notice of non-renewal is given. The amount incurred under this agreement for the years ended December 28, 2024, December 30, 2023 and December 31, 2022 were $4 million, $5 million and $0.4, respectively.</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LiDAR Product Collaboration Agreement</w:t>
      </w:r>
    </w:p>
    <w:p>
      <w:pPr>
        <w:spacing w:after="0" w:line="237"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The LiDAR Product Collaboration Agreement provided the terms that applied to the Company’s collaboration with Intel for the development and manufacture of a Lidar sensor system for ADAS and AV in automobiles (“LiDAR Project”). On some of the LiDAR programs, joint funding would have applied between Intel and Mobileye until the end of 2027 whereby Mobileye would have borne its own Lidar sensor system development costs up to the first $40 million per year and Intel would have borne up to $20 million per year of Mobileye’s Lidar sensor system development costs that were greater than $40 million per year.</w:t>
      </w:r>
    </w:p>
    <w:p>
      <w:pPr>
        <w:spacing w:after="0" w:line="19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LiDAR Product Collaboration Agreement further provided that Intel would manufacture certain components for the Company to market and sell as part of a FMCW (frequency-modulated continuous wave) Lidar sensor system solely for external environment sensing for ADAS and AV in automobiles.</w:t>
      </w:r>
    </w:p>
    <w:p>
      <w:pPr>
        <w:spacing w:after="0" w:line="18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price for the components Intel would have manufactured for the Company would have been based on a cost-plus model. In addition, the agreement included a profit-sharing model under which Mobileye would pay Intel a share of the gross profit for each Lidar sensor system or components thereof, based on Intel technology, sold by Mobileye.</w:t>
      </w:r>
    </w:p>
    <w:p>
      <w:pPr>
        <w:spacing w:after="0" w:line="183"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On September 9, 2024, Mobileye announced the cessation of further internal development of FMCW lidar and the wind down of the Lidar R&amp;D Unit. In connection with Mobileye’s decision, Mobileye and Intel terminated the LiDAR Product Collaboration Agreement as of October 2, 2024.</w:t>
      </w:r>
    </w:p>
    <w:p>
      <w:pPr>
        <w:spacing w:after="0" w:line="183"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There were no amounts received or receivable from Intel under this agreement for the years ended December 28, 2024 and December 30, 2023.</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Tax Sharing Agreement</w:t>
      </w:r>
    </w:p>
    <w:p>
      <w:pPr>
        <w:spacing w:after="0" w:line="237" w:lineRule="exact"/>
        <w:rPr>
          <w:sz w:val="20"/>
          <w:szCs w:val="20"/>
          <w:color w:val="auto"/>
        </w:rPr>
      </w:pPr>
    </w:p>
    <w:p>
      <w:pPr>
        <w:jc w:val="both"/>
        <w:ind w:firstLine="361"/>
        <w:spacing w:after="0" w:line="244" w:lineRule="auto"/>
        <w:rPr>
          <w:sz w:val="20"/>
          <w:szCs w:val="20"/>
          <w:color w:val="auto"/>
        </w:rPr>
      </w:pPr>
      <w:r>
        <w:rPr>
          <w:rFonts w:ascii="Times New Roman" w:cs="Times New Roman" w:eastAsia="Times New Roman" w:hAnsi="Times New Roman"/>
          <w:sz w:val="20"/>
          <w:szCs w:val="20"/>
          <w:color w:val="auto"/>
        </w:rPr>
        <w:t>The Tax Sharing Agreement establishes the respective rights, responsibilities and obligations of the Company and Intel after the completion of the Mobileye IPO with respect to tax matters, including the amount of cash the Company will pay to Intel for its share of the tax liability owed on the consolidated filings in which the Company or any of the Company’s subsidiaries are included, including audit or other tax proceedings. According to the terms of the Tax Sharing Agreement, the Company and Intel will calculate and agree to estimated amounts owed quarterly but final amounts will also be calculated and paid upon consolidated tax return filings. Amounts payable under the Tax Sharing Agreement will be recorded in the same manner as other contractual obligations entered into by the Company. On August 14, 2024, Mobileye and Intel entered into an Amended and Restated Tax Sharing Agreement, which incorporated certain clarifying amendments into the original Tax Sharing Agreement. As of December 28, 2024 and December 30, 2023, the related party payable to Intel, pursuant to the Tax Sharing Agreement, was $3 million and $37 million, respectively. The decrease was due to finalizing 2023 amounts upon filing of the US consolidated tax return with Intel.</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127</w:t>
      </w:r>
    </w:p>
    <w:p>
      <w:pPr>
        <w:sectPr>
          <w:pgSz w:w="11880" w:h="15480" w:orient="portrait"/>
          <w:cols w:equalWidth="0" w:num="1">
            <w:col w:w="10800"/>
          </w:cols>
          <w:pgMar w:left="540" w:top="984" w:right="540" w:bottom="0" w:gutter="0" w:footer="0" w:header="0"/>
          <w:type w:val="continuous"/>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1" w:lineRule="exact"/>
        <w:rPr>
          <w:sz w:val="20"/>
          <w:szCs w:val="20"/>
          <w:color w:val="auto"/>
        </w:rPr>
      </w:pPr>
    </w:p>
    <w:p>
      <w:pPr>
        <w:ind w:left="720" w:hanging="360"/>
        <w:spacing w:after="0"/>
        <w:tabs>
          <w:tab w:leader="none" w:pos="72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Intel sublicense</w:t>
      </w:r>
    </w:p>
    <w:p>
      <w:pPr>
        <w:spacing w:after="0" w:line="242"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In June 2024, Intel and its affiliates, including Mobileye, were granted a sublicense to certain patents relating to network-on-chip and other technologies (the “Sublicense”). In connection with Mobileye’s use of the Sublicense, Intel and Mobileye agreed that Mobileye would pay to Intel $0.3 million as Mobileye’s allocation of the consideration paid by Intel for the Sublicense.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GOODWILL</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presents the carrying amount of goodwill by segment as of December 28, 2024 and December 30, 2023.</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220" w:type="dxa"/>
            <w:vAlign w:val="bottom"/>
          </w:tcPr>
          <w:p>
            <w:pPr>
              <w:spacing w:after="0"/>
              <w:rPr>
                <w:sz w:val="16"/>
                <w:szCs w:val="16"/>
                <w:color w:val="auto"/>
              </w:rPr>
            </w:pPr>
          </w:p>
        </w:tc>
        <w:tc>
          <w:tcPr>
            <w:tcW w:w="13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Mobileye</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6460" w:type="dxa"/>
            <w:vAlign w:val="bottom"/>
            <w:gridSpan w:val="2"/>
          </w:tcPr>
          <w:p>
            <w:pPr>
              <w:jc w:val="right"/>
              <w:ind w:right="320"/>
              <w:spacing w:after="0" w:line="225" w:lineRule="exact"/>
              <w:rPr>
                <w:sz w:val="20"/>
                <w:szCs w:val="20"/>
                <w:color w:val="auto"/>
              </w:rPr>
            </w:pPr>
            <w:r>
              <w:rPr>
                <w:rFonts w:ascii="Times New Roman" w:cs="Times New Roman" w:eastAsia="Times New Roman" w:hAnsi="Times New Roman"/>
                <w:sz w:val="20"/>
                <w:szCs w:val="20"/>
                <w:color w:val="auto"/>
                <w:w w:val="99"/>
              </w:rPr>
              <w:t>. . . . . . . . . . . . . . . . . . . . . . . . . . . . . . . . . . . . . . . . . . . . . . .</w:t>
            </w:r>
            <w:r>
              <w:rPr>
                <w:rFonts w:ascii="Times New Roman" w:cs="Times New Roman" w:eastAsia="Times New Roman" w:hAnsi="Times New Roman"/>
                <w:sz w:val="20"/>
                <w:szCs w:val="20"/>
                <w:b w:val="1"/>
                <w:bCs w:val="1"/>
                <w:color w:val="auto"/>
                <w:w w:val="99"/>
              </w:rPr>
              <w:t>December30,2023</w:t>
            </w:r>
          </w:p>
        </w:tc>
        <w:tc>
          <w:tcPr>
            <w:tcW w:w="220" w:type="dxa"/>
            <w:vAlign w:val="bottom"/>
            <w:tcBorders>
              <w:top w:val="single" w:sz="8" w:color="auto"/>
            </w:tcBorders>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10,784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auto"/>
            </w:tcBorders>
          </w:tcPr>
          <w:p>
            <w:pPr>
              <w:jc w:val="right"/>
              <w:ind w:right="707"/>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111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10,895</w:t>
            </w:r>
          </w:p>
        </w:tc>
        <w:tc>
          <w:tcPr>
            <w:tcW w:w="20" w:type="dxa"/>
            <w:vAlign w:val="bottom"/>
          </w:tcPr>
          <w:p>
            <w:pPr>
              <w:spacing w:after="0"/>
              <w:rPr>
                <w:sz w:val="19"/>
                <w:szCs w:val="19"/>
                <w:color w:val="auto"/>
              </w:rPr>
            </w:pPr>
          </w:p>
        </w:tc>
      </w:tr>
      <w:tr>
        <w:trPr>
          <w:trHeight w:val="241"/>
        </w:trPr>
        <w:tc>
          <w:tcPr>
            <w:tcW w:w="64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6"/>
              </w:rPr>
              <w:t>Impairment . . . . . . . . . . . . . . . . . . . . . . . . . . . . . . . . . . . . . . . . . . . . . . . . . . . . . .</w:t>
            </w:r>
          </w:p>
        </w:tc>
        <w:tc>
          <w:tcPr>
            <w:tcW w:w="2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(2,695)</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(2,695)</w:t>
            </w:r>
          </w:p>
        </w:tc>
      </w:tr>
      <w:tr>
        <w:trPr>
          <w:trHeight w:val="242"/>
        </w:trPr>
        <w:tc>
          <w:tcPr>
            <w:tcW w:w="6440" w:type="dxa"/>
            <w:vAlign w:val="bottom"/>
          </w:tcPr>
          <w:p>
            <w:pPr>
              <w:jc w:val="right"/>
              <w:ind w:right="205"/>
              <w:spacing w:after="0"/>
              <w:rPr>
                <w:sz w:val="20"/>
                <w:szCs w:val="20"/>
                <w:color w:val="auto"/>
              </w:rPr>
            </w:pPr>
            <w:r>
              <w:rPr>
                <w:rFonts w:ascii="Times New Roman" w:cs="Times New Roman" w:eastAsia="Times New Roman" w:hAnsi="Times New Roman"/>
                <w:sz w:val="20"/>
                <w:szCs w:val="20"/>
                <w:b w:val="1"/>
                <w:bCs w:val="1"/>
                <w:color w:val="auto"/>
                <w:w w:val="96"/>
              </w:rPr>
              <w:t xml:space="preserve">December 28, 2024 </w:t>
            </w:r>
            <w:r>
              <w:rPr>
                <w:rFonts w:ascii="Times New Roman" w:cs="Times New Roman" w:eastAsia="Times New Roman" w:hAnsi="Times New Roman"/>
                <w:sz w:val="20"/>
                <w:szCs w:val="20"/>
                <w:color w:val="auto"/>
                <w:w w:val="96"/>
              </w:rPr>
              <w:t>. . . . . . . . . . . . . . . . . . . . . . . . . . . . . . . . . . . . . . . . . . . . . . .</w:t>
            </w:r>
          </w:p>
        </w:tc>
        <w:tc>
          <w:tcPr>
            <w:tcW w:w="20" w:type="dxa"/>
            <w:vAlign w:val="bottom"/>
            <w:tcBorders>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8,089</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707"/>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8,200</w:t>
            </w:r>
          </w:p>
        </w:tc>
        <w:tc>
          <w:tcPr>
            <w:tcW w:w="20" w:type="dxa"/>
            <w:vAlign w:val="bottom"/>
          </w:tcPr>
          <w:p>
            <w:pPr>
              <w:spacing w:after="0"/>
              <w:rPr>
                <w:sz w:val="21"/>
                <w:szCs w:val="21"/>
                <w:color w:val="auto"/>
              </w:rPr>
            </w:pPr>
          </w:p>
        </w:tc>
      </w:tr>
    </w:tbl>
    <w:p>
      <w:pPr>
        <w:spacing w:after="0" w:line="208"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During the third quarter of 2024, the Company performed an interim quantitative goodwill impairment analysis for the “Mobileye” reporting unit, due to a recent decline (from August) in the price of the Company’s Class A common stock, and corresponding market capitalization, as well as macroeconomic and industry factors. The quantitative assessment was performed by measuring the reporting unit’s fair value (which substantially constitutes the entire value of the Company) using the income approach, based on the expected present value of estimated future cash flows.</w:t>
      </w:r>
    </w:p>
    <w:p>
      <w:pPr>
        <w:spacing w:after="0" w:line="19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fair value measurement is categorized as Level 3 within the fair value hierarchy due to the use of unobservable inputs such as financial projections, terminal growth rate, and discount rate. The results of the impairment analysis indicated that the carrying value of the Mobileye reporting unit was in excess of its fair value. Therefore, the Company has recorded a non-cash impairment loss of $2,695 million ($2,613 million, net of tax), under “goodwill impairment” in the Consolidated Statements of Operations.</w:t>
      </w:r>
    </w:p>
    <w:p>
      <w:pPr>
        <w:spacing w:after="0" w:line="19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During the fourth quarter of 2024, we completed our annual impairment assessment. Based on the assessment, the fair value of the “Mobileye” reporting unit exceeds its book value. We also performed a detailed quantitative analysis for the “Other” reporting unit which showed that no impairment was required. Fair value was estimated using the expected present value of future cash flows and is categorized as Level 3 within the fair value hierarchy due to the use of unobservable inputs.</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did not record any impairment of goodwill in 2023 and 2022.</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IDENTIFIED INTANGIBLE ASSETS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85"/>
        </w:trPr>
        <w:tc>
          <w:tcPr>
            <w:tcW w:w="5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December 28, 2024</w:t>
            </w: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9"/>
          </w:tcPr>
          <w:p>
            <w:pPr>
              <w:jc w:val="right"/>
              <w:ind w:right="567"/>
              <w:spacing w:after="0"/>
              <w:rPr>
                <w:sz w:val="20"/>
                <w:szCs w:val="20"/>
                <w:color w:val="auto"/>
              </w:rPr>
            </w:pPr>
            <w:r>
              <w:rPr>
                <w:rFonts w:ascii="Times New Roman" w:cs="Times New Roman" w:eastAsia="Times New Roman" w:hAnsi="Times New Roman"/>
                <w:sz w:val="16"/>
                <w:szCs w:val="16"/>
                <w:b w:val="1"/>
                <w:bCs w:val="1"/>
                <w:color w:val="auto"/>
                <w:w w:val="98"/>
              </w:rPr>
              <w:t>December 30, 2023</w:t>
            </w:r>
          </w:p>
        </w:tc>
      </w:tr>
      <w:tr>
        <w:trPr>
          <w:trHeight w:val="165"/>
        </w:trPr>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jc w:val="right"/>
              <w:ind w:right="8"/>
              <w:spacing w:after="0" w:line="165" w:lineRule="exact"/>
              <w:rPr>
                <w:sz w:val="20"/>
                <w:szCs w:val="20"/>
                <w:color w:val="auto"/>
              </w:rPr>
            </w:pPr>
            <w:r>
              <w:rPr>
                <w:rFonts w:ascii="Times New Roman" w:cs="Times New Roman" w:eastAsia="Times New Roman" w:hAnsi="Times New Roman"/>
                <w:sz w:val="16"/>
                <w:szCs w:val="16"/>
                <w:b w:val="1"/>
                <w:bCs w:val="1"/>
                <w:color w:val="auto"/>
              </w:rPr>
              <w:t>Gross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jc w:val="right"/>
              <w:ind w:right="10"/>
              <w:spacing w:after="0" w:line="165" w:lineRule="exact"/>
              <w:rPr>
                <w:sz w:val="20"/>
                <w:szCs w:val="20"/>
                <w:color w:val="auto"/>
              </w:rPr>
            </w:pPr>
            <w:r>
              <w:rPr>
                <w:rFonts w:ascii="Times New Roman" w:cs="Times New Roman" w:eastAsia="Times New Roman" w:hAnsi="Times New Roman"/>
                <w:sz w:val="16"/>
                <w:szCs w:val="16"/>
                <w:b w:val="1"/>
                <w:bCs w:val="1"/>
                <w:color w:val="auto"/>
              </w:rPr>
              <w:t>Gross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3"/>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Net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09"/>
        </w:trPr>
        <w:tc>
          <w:tcPr>
            <w:tcW w:w="5420" w:type="dxa"/>
            <w:vAlign w:val="bottom"/>
            <w:gridSpan w:val="2"/>
          </w:tcPr>
          <w:p>
            <w:pPr>
              <w:jc w:val="right"/>
              <w:ind w:right="320"/>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.Developedtechnology</w:t>
            </w:r>
          </w:p>
        </w:tc>
        <w:tc>
          <w:tcPr>
            <w:tcW w:w="6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$ 3,705</w:t>
            </w:r>
          </w:p>
        </w:tc>
        <w:tc>
          <w:tcPr>
            <w:tcW w:w="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2,384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96"/>
              </w:rPr>
              <w:t>$ 1,321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99"/>
              </w:rPr>
              <w:t>$ 3,705</w:t>
            </w: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2,008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96"/>
              </w:rPr>
              <w:t>$ 1,697</w:t>
            </w:r>
          </w:p>
        </w:tc>
      </w:tr>
      <w:tr>
        <w:trPr>
          <w:trHeight w:val="241"/>
        </w:trPr>
        <w:tc>
          <w:tcPr>
            <w:tcW w:w="542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Customer relationships &amp; brands . . . . . . . . . . . . . . . . . . . . . . . .</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786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356</w:t>
            </w:r>
          </w:p>
        </w:tc>
      </w:tr>
      <w:tr>
        <w:trPr>
          <w:trHeight w:val="240"/>
        </w:trPr>
        <w:tc>
          <w:tcPr>
            <w:tcW w:w="5400" w:type="dxa"/>
            <w:vAlign w:val="bottom"/>
          </w:tcPr>
          <w:p>
            <w:pPr>
              <w:jc w:val="right"/>
              <w:ind w:right="205"/>
              <w:spacing w:after="0"/>
              <w:rPr>
                <w:sz w:val="20"/>
                <w:szCs w:val="20"/>
                <w:color w:val="auto"/>
              </w:rPr>
            </w:pPr>
            <w:r>
              <w:rPr>
                <w:rFonts w:ascii="Times New Roman" w:cs="Times New Roman" w:eastAsia="Times New Roman" w:hAnsi="Times New Roman"/>
                <w:sz w:val="20"/>
                <w:szCs w:val="20"/>
                <w:b w:val="1"/>
                <w:bCs w:val="1"/>
                <w:color w:val="auto"/>
                <w:w w:val="98"/>
              </w:rPr>
              <w:t xml:space="preserve">Total </w:t>
            </w:r>
            <w:r>
              <w:rPr>
                <w:rFonts w:ascii="Times New Roman" w:cs="Times New Roman" w:eastAsia="Times New Roman" w:hAnsi="Times New Roman"/>
                <w:sz w:val="20"/>
                <w:szCs w:val="20"/>
                <w:color w:val="auto"/>
                <w:w w:val="98"/>
              </w:rPr>
              <w:t>. . . . . . . . . . . . . . . . . . . . . . . . . . . . . . . . . . . . . . . . . . . . . . .</w:t>
            </w:r>
          </w:p>
        </w:tc>
        <w:tc>
          <w:tcPr>
            <w:tcW w:w="20" w:type="dxa"/>
            <w:vAlign w:val="bottom"/>
            <w:tcBorders>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$ 4,491</w:t>
            </w:r>
          </w:p>
        </w:tc>
        <w:tc>
          <w:tcPr>
            <w:tcW w:w="60" w:type="dxa"/>
            <w:vAlign w:val="bottom"/>
            <w:tcBorders>
              <w:top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2,882</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6"/>
              </w:rPr>
              <w:t>$ 1,609</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$ 4,491</w:t>
            </w:r>
          </w:p>
        </w:tc>
        <w:tc>
          <w:tcPr>
            <w:tcW w:w="40" w:type="dxa"/>
            <w:vAlign w:val="bottom"/>
            <w:tcBorders>
              <w:top w:val="single" w:sz="8" w:color="auto"/>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2,438</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6"/>
              </w:rPr>
              <w:t>$ 2,053</w:t>
            </w:r>
          </w:p>
        </w:tc>
      </w:tr>
    </w:tbl>
    <w:p>
      <w:pPr>
        <w:spacing w:after="0" w:line="20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Amortization expenses recorded for developed technology and customer relationships and brands were recorded in cost of revenue and sales and marketing, respectively, in the consolidated statements of operations and comprehensive income (loss) for each year presented.</w:t>
      </w:r>
    </w:p>
    <w:p>
      <w:pPr>
        <w:spacing w:after="0" w:line="18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During the third quarter of 2024, we performed an impairment assessment of intangible assets and concluded that the sum of the expected future undiscounted cash flows expected to be generated by the intangible assets is substantially above their carrying amount and therefore no impairment was identified. The Company did not record any impairment of intangible assets for any of the periods presented.</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128</w:t>
      </w:r>
    </w:p>
    <w:p>
      <w:pPr>
        <w:sectPr>
          <w:pgSz w:w="11880" w:h="15480" w:orient="portrait"/>
          <w:cols w:equalWidth="0" w:num="1">
            <w:col w:w="10800"/>
          </w:cols>
          <w:pgMar w:left="540" w:top="984" w:right="540" w:bottom="0" w:gutter="0" w:footer="0" w:header="0"/>
          <w:type w:val="continuous"/>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ind w:firstLine="360"/>
        <w:spacing w:after="0" w:line="279" w:lineRule="auto"/>
        <w:rPr>
          <w:sz w:val="20"/>
          <w:szCs w:val="20"/>
          <w:color w:val="auto"/>
        </w:rPr>
      </w:pPr>
      <w:r>
        <w:rPr>
          <w:rFonts w:ascii="Times New Roman" w:cs="Times New Roman" w:eastAsia="Times New Roman" w:hAnsi="Times New Roman"/>
          <w:sz w:val="20"/>
          <w:szCs w:val="20"/>
          <w:color w:val="auto"/>
        </w:rPr>
        <w:t>The following table presents the amortization expenses recorded for these identified intangible assets and their weighted average useful lives: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30, 2023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0" w:type="dxa"/>
            <w:vAlign w:val="bottom"/>
          </w:tcPr>
          <w:p>
            <w:pPr>
              <w:spacing w:after="0"/>
              <w:rPr>
                <w:sz w:val="1"/>
                <w:szCs w:val="1"/>
                <w:color w:val="auto"/>
              </w:rPr>
            </w:pPr>
          </w:p>
        </w:tc>
      </w:tr>
      <w:tr>
        <w:trPr>
          <w:trHeight w:val="208"/>
        </w:trPr>
        <w:tc>
          <w:tcPr>
            <w:tcW w:w="4960" w:type="dxa"/>
            <w:vAlign w:val="bottom"/>
            <w:gridSpan w:val="2"/>
          </w:tcPr>
          <w:p>
            <w:pPr>
              <w:jc w:val="right"/>
              <w:ind w:right="260"/>
              <w:spacing w:after="0" w:line="208" w:lineRule="exact"/>
              <w:rPr>
                <w:sz w:val="20"/>
                <w:szCs w:val="20"/>
                <w:color w:val="auto"/>
              </w:rPr>
            </w:pPr>
            <w:r>
              <w:rPr>
                <w:rFonts w:ascii="Times New Roman" w:cs="Times New Roman" w:eastAsia="Times New Roman" w:hAnsi="Times New Roman"/>
                <w:sz w:val="20"/>
                <w:szCs w:val="20"/>
                <w:color w:val="auto"/>
              </w:rPr>
              <w:t>. . . . . . . . . . . . . . . . . . . . . . . . . . . .Developedtechnology</w:t>
            </w:r>
          </w:p>
        </w:tc>
        <w:tc>
          <w:tcPr>
            <w:tcW w:w="540" w:type="dxa"/>
            <w:vAlign w:val="bottom"/>
          </w:tcPr>
          <w:p>
            <w:pPr>
              <w:spacing w:after="0" w:line="208"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376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line="208"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406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line="208"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469</w:t>
            </w:r>
          </w:p>
        </w:tc>
        <w:tc>
          <w:tcPr>
            <w:tcW w:w="200" w:type="dxa"/>
            <w:vAlign w:val="bottom"/>
          </w:tcPr>
          <w:p>
            <w:pPr>
              <w:spacing w:after="0"/>
              <w:rPr>
                <w:sz w:val="18"/>
                <w:szCs w:val="18"/>
                <w:color w:val="auto"/>
              </w:rPr>
            </w:pPr>
          </w:p>
        </w:tc>
        <w:tc>
          <w:tcPr>
            <w:tcW w:w="1260" w:type="dxa"/>
            <w:vAlign w:val="bottom"/>
          </w:tcPr>
          <w:p>
            <w:pPr>
              <w:jc w:val="center"/>
              <w:spacing w:after="0" w:line="208" w:lineRule="exact"/>
              <w:rPr>
                <w:sz w:val="20"/>
                <w:szCs w:val="20"/>
                <w:color w:val="auto"/>
              </w:rPr>
            </w:pPr>
            <w:r>
              <w:rPr>
                <w:rFonts w:ascii="Times New Roman" w:cs="Times New Roman" w:eastAsia="Times New Roman" w:hAnsi="Times New Roman"/>
                <w:sz w:val="20"/>
                <w:szCs w:val="20"/>
                <w:color w:val="auto"/>
                <w:w w:val="99"/>
              </w:rPr>
              <w:t>10</w:t>
            </w:r>
          </w:p>
        </w:tc>
        <w:tc>
          <w:tcPr>
            <w:tcW w:w="0" w:type="dxa"/>
            <w:vAlign w:val="bottom"/>
          </w:tcPr>
          <w:p>
            <w:pPr>
              <w:spacing w:after="0"/>
              <w:rPr>
                <w:sz w:val="1"/>
                <w:szCs w:val="1"/>
                <w:color w:val="auto"/>
              </w:rPr>
            </w:pPr>
          </w:p>
        </w:tc>
      </w:tr>
      <w:tr>
        <w:trPr>
          <w:trHeight w:val="241"/>
        </w:trPr>
        <w:tc>
          <w:tcPr>
            <w:tcW w:w="49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Customer relationships &amp; brands . . . . . . . . . . . . . . . . . . . .</w:t>
            </w:r>
          </w:p>
        </w:tc>
        <w:tc>
          <w:tcPr>
            <w:tcW w:w="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146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12</w:t>
            </w:r>
          </w:p>
        </w:tc>
        <w:tc>
          <w:tcPr>
            <w:tcW w:w="0" w:type="dxa"/>
            <w:vAlign w:val="bottom"/>
          </w:tcPr>
          <w:p>
            <w:pPr>
              <w:spacing w:after="0"/>
              <w:rPr>
                <w:sz w:val="1"/>
                <w:szCs w:val="1"/>
                <w:color w:val="auto"/>
              </w:rPr>
            </w:pPr>
          </w:p>
        </w:tc>
      </w:tr>
      <w:tr>
        <w:trPr>
          <w:trHeight w:val="240"/>
        </w:trPr>
        <w:tc>
          <w:tcPr>
            <w:tcW w:w="4940" w:type="dxa"/>
            <w:vAlign w:val="bottom"/>
          </w:tcPr>
          <w:p>
            <w:pPr>
              <w:jc w:val="right"/>
              <w:ind w:right="145"/>
              <w:spacing w:after="0"/>
              <w:rPr>
                <w:sz w:val="20"/>
                <w:szCs w:val="20"/>
                <w:color w:val="auto"/>
              </w:rPr>
            </w:pPr>
            <w:r>
              <w:rPr>
                <w:rFonts w:ascii="Times New Roman" w:cs="Times New Roman" w:eastAsia="Times New Roman" w:hAnsi="Times New Roman"/>
                <w:sz w:val="20"/>
                <w:szCs w:val="20"/>
                <w:b w:val="1"/>
                <w:bCs w:val="1"/>
                <w:color w:val="auto"/>
                <w:w w:val="99"/>
              </w:rPr>
              <w:t xml:space="preserve">Total amortization expenses </w:t>
            </w:r>
            <w:r>
              <w:rPr>
                <w:rFonts w:ascii="Times New Roman" w:cs="Times New Roman" w:eastAsia="Times New Roman" w:hAnsi="Times New Roman"/>
                <w:sz w:val="20"/>
                <w:szCs w:val="20"/>
                <w:color w:val="auto"/>
                <w:w w:val="99"/>
              </w:rPr>
              <w:t>. . . . . . . . . . . . . . . . . . . . . . .</w:t>
            </w: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544</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expects future amortization expenses for the next five years and thereafter to be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2027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2028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2029</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Thereafter</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4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Future amortization expenses . . . . . . . . . . . . . . . . . . . . . . . .</w:t>
            </w:r>
          </w:p>
        </w:tc>
        <w:tc>
          <w:tcPr>
            <w:tcW w:w="20" w:type="dxa"/>
            <w:vAlign w:val="bottom"/>
            <w:tcBorders>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443</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   348</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$ 1,609</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SEGMENT INFORMATION</w:t>
      </w:r>
    </w:p>
    <w:p>
      <w:pPr>
        <w:spacing w:after="0" w:line="24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spacing w:after="0" w:line="184"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 Mobileye is presented as a reportable operating segment and Moovit, which is a mobility-as-a-service company, is presented within “Other” as per ASC 280, Segment Reporting.</w:t>
      </w:r>
    </w:p>
    <w:p>
      <w:pPr>
        <w:spacing w:after="0" w:line="19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Segment performance is the operating income (loss) reported excluding the amortization of acquisition-related intangible assets and impairment of goodwill. The CODM uses segment performance to allocate resources (including employees and financial resources) to segments in the annual budget and forecasting process and also uses that measure to assess the segment performance. The measure of assets has not been disclosed for each segment as it is not regularly provided to the CODM.</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 xml:space="preserve">The accounting policies of the individual segments are the same as those described in the </w:t>
      </w:r>
      <w:r>
        <w:rPr>
          <w:rFonts w:ascii="Times New Roman" w:cs="Times New Roman" w:eastAsia="Times New Roman" w:hAnsi="Times New Roman"/>
          <w:sz w:val="19"/>
          <w:szCs w:val="19"/>
          <w:i w:val="1"/>
          <w:iCs w:val="1"/>
          <w:color w:val="auto"/>
        </w:rPr>
        <w:t>Significant Accounting Policies</w:t>
      </w:r>
      <w:r>
        <w:rPr>
          <w:rFonts w:ascii="Times New Roman" w:cs="Times New Roman" w:eastAsia="Times New Roman" w:hAnsi="Times New Roman"/>
          <w:sz w:val="19"/>
          <w:szCs w:val="19"/>
          <w:color w:val="auto"/>
        </w:rPr>
        <w:t xml:space="preserve"> in Note 2.</w:t>
      </w:r>
    </w:p>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is segment results for each year: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28, 2024</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6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5"/>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Amounts not</w:t>
            </w: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4"/>
        </w:trPr>
        <w:tc>
          <w:tcPr>
            <w:tcW w:w="6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allocated to</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6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segments profit</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4"/>
        </w:trPr>
        <w:tc>
          <w:tcPr>
            <w:tcW w:w="6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40" w:type="dxa"/>
            <w:vAlign w:val="bottom"/>
          </w:tcPr>
          <w:p>
            <w:pPr>
              <w:spacing w:after="0"/>
              <w:rPr>
                <w:sz w:val="16"/>
                <w:szCs w:val="16"/>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Mobileye</w:t>
            </w:r>
          </w:p>
        </w:tc>
        <w:tc>
          <w:tcPr>
            <w:tcW w:w="180" w:type="dxa"/>
            <w:vAlign w:val="bottom"/>
          </w:tcPr>
          <w:p>
            <w:pPr>
              <w:spacing w:after="0"/>
              <w:rPr>
                <w:sz w:val="16"/>
                <w:szCs w:val="16"/>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6"/>
                <w:szCs w:val="16"/>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or loss</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08"/>
        </w:trPr>
        <w:tc>
          <w:tcPr>
            <w:tcW w:w="6180" w:type="dxa"/>
            <w:vAlign w:val="bottom"/>
            <w:gridSpan w:val="2"/>
          </w:tcPr>
          <w:p>
            <w:pPr>
              <w:jc w:val="right"/>
              <w:ind w:right="320"/>
              <w:spacing w:after="0" w:line="208"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.Revenues</w:t>
            </w:r>
          </w:p>
        </w:tc>
        <w:tc>
          <w:tcPr>
            <w:tcW w:w="14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1,613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41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tcBorders>
            <w:gridSpan w:val="2"/>
          </w:tcPr>
          <w:p>
            <w:pPr>
              <w:jc w:val="right"/>
              <w:ind w:right="80"/>
              <w:spacing w:after="0" w:line="208"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jc w:val="right"/>
              <w:ind w:right="67"/>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1,654</w:t>
            </w:r>
          </w:p>
        </w:tc>
        <w:tc>
          <w:tcPr>
            <w:tcW w:w="20" w:type="dxa"/>
            <w:vAlign w:val="bottom"/>
          </w:tcPr>
          <w:p>
            <w:pPr>
              <w:spacing w:after="0"/>
              <w:rPr>
                <w:sz w:val="18"/>
                <w:szCs w:val="18"/>
                <w:color w:val="auto"/>
              </w:rPr>
            </w:pPr>
          </w:p>
        </w:tc>
      </w:tr>
      <w:tr>
        <w:trPr>
          <w:trHeight w:val="230"/>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6"/>
              </w:rPr>
              <w:t>Cost of revenues . . . . . . . . . . . . . . . . . . . . . . . . . . . . . . . . . . . . . . . . . . . . . .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913</w:t>
            </w:r>
          </w:p>
        </w:tc>
        <w:tc>
          <w:tcPr>
            <w:tcW w:w="20" w:type="dxa"/>
            <w:vAlign w:val="bottom"/>
          </w:tcPr>
          <w:p>
            <w:pPr>
              <w:spacing w:after="0"/>
              <w:rPr>
                <w:sz w:val="20"/>
                <w:szCs w:val="20"/>
                <w:color w:val="auto"/>
              </w:rPr>
            </w:pPr>
          </w:p>
        </w:tc>
      </w:tr>
      <w:tr>
        <w:trPr>
          <w:trHeight w:val="230"/>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7"/>
              </w:rPr>
              <w:t>Research and development, net . . . . . . . . . . . . . . . . . . . . . . . . . . . . . . . . . .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1,083</w:t>
            </w:r>
          </w:p>
        </w:tc>
        <w:tc>
          <w:tcPr>
            <w:tcW w:w="20" w:type="dxa"/>
            <w:vAlign w:val="bottom"/>
          </w:tcPr>
          <w:p>
            <w:pPr>
              <w:spacing w:after="0"/>
              <w:rPr>
                <w:sz w:val="20"/>
                <w:szCs w:val="20"/>
                <w:color w:val="auto"/>
              </w:rPr>
            </w:pPr>
          </w:p>
        </w:tc>
      </w:tr>
      <w:tr>
        <w:trPr>
          <w:trHeight w:val="229"/>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6"/>
              </w:rPr>
              <w:t>Sales and marketing . . . . . . . . . . . . . . . . . . . . . . . . . . . . . . . . . . . . . . . . . . . .</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20" w:type="dxa"/>
            <w:vAlign w:val="bottom"/>
          </w:tcPr>
          <w:p>
            <w:pPr>
              <w:spacing w:after="0"/>
              <w:rPr>
                <w:sz w:val="19"/>
                <w:szCs w:val="19"/>
                <w:color w:val="auto"/>
              </w:rPr>
            </w:pPr>
          </w:p>
        </w:tc>
      </w:tr>
      <w:tr>
        <w:trPr>
          <w:trHeight w:val="230"/>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7"/>
              </w:rPr>
              <w:t>General and administrative . . . . . . . . . . . . . . . . . . . . . . . . . . . . . . . . . . . . .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20" w:type="dxa"/>
            <w:vAlign w:val="bottom"/>
          </w:tcPr>
          <w:p>
            <w:pPr>
              <w:spacing w:after="0"/>
              <w:rPr>
                <w:sz w:val="20"/>
                <w:szCs w:val="20"/>
                <w:color w:val="auto"/>
              </w:rPr>
            </w:pPr>
          </w:p>
        </w:tc>
      </w:tr>
      <w:tr>
        <w:trPr>
          <w:trHeight w:val="241"/>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6"/>
              </w:rPr>
              <w:t>Goodwill impairment . . . . . . . . . . . . . . . . . . . . . . . . . . . . . . . . . . . . . . . . . . .</w:t>
            </w:r>
          </w:p>
        </w:tc>
        <w:tc>
          <w:tcPr>
            <w:tcW w:w="140" w:type="dxa"/>
            <w:vAlign w:val="bottom"/>
          </w:tcPr>
          <w:p>
            <w:pPr>
              <w:spacing w:after="0"/>
              <w:rPr>
                <w:sz w:val="20"/>
                <w:szCs w:val="20"/>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2,695</w:t>
            </w:r>
          </w:p>
        </w:tc>
        <w:tc>
          <w:tcPr>
            <w:tcW w:w="20" w:type="dxa"/>
            <w:vAlign w:val="bottom"/>
          </w:tcPr>
          <w:p>
            <w:pPr>
              <w:spacing w:after="0"/>
              <w:rPr>
                <w:sz w:val="20"/>
                <w:szCs w:val="20"/>
                <w:color w:val="auto"/>
              </w:rPr>
            </w:pPr>
          </w:p>
        </w:tc>
      </w:tr>
      <w:tr>
        <w:trPr>
          <w:trHeight w:val="239"/>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9"/>
              </w:rPr>
              <w:t>. . . . . . . . . . . . . . . . . . . . . . . . . . . . . . . . . . . . . . . . .</w:t>
            </w:r>
            <w:r>
              <w:rPr>
                <w:rFonts w:ascii="Times New Roman" w:cs="Times New Roman" w:eastAsia="Times New Roman" w:hAnsi="Times New Roman"/>
                <w:sz w:val="20"/>
                <w:szCs w:val="20"/>
                <w:b w:val="1"/>
                <w:bCs w:val="1"/>
                <w:color w:val="auto"/>
                <w:w w:val="99"/>
              </w:rPr>
              <w:t>Segmentperformance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(3,139)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jc w:val="right"/>
              <w:ind w:right="67"/>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(3,225)</w:t>
            </w:r>
          </w:p>
        </w:tc>
        <w:tc>
          <w:tcPr>
            <w:tcW w:w="20" w:type="dxa"/>
            <w:vAlign w:val="bottom"/>
          </w:tcPr>
          <w:p>
            <w:pPr>
              <w:spacing w:after="0"/>
              <w:rPr>
                <w:sz w:val="20"/>
                <w:szCs w:val="20"/>
                <w:color w:val="auto"/>
              </w:rPr>
            </w:pPr>
          </w:p>
        </w:tc>
      </w:tr>
      <w:tr>
        <w:trPr>
          <w:trHeight w:val="220"/>
        </w:trPr>
        <w:tc>
          <w:tcPr>
            <w:tcW w:w="6180" w:type="dxa"/>
            <w:vAlign w:val="bottom"/>
            <w:gridSpan w:val="2"/>
          </w:tcPr>
          <w:p>
            <w:pPr>
              <w:jc w:val="right"/>
              <w:ind w:right="320"/>
              <w:spacing w:after="0" w:line="215" w:lineRule="exact"/>
              <w:rPr>
                <w:sz w:val="20"/>
                <w:szCs w:val="20"/>
                <w:color w:val="auto"/>
              </w:rPr>
            </w:pPr>
            <w:r>
              <w:rPr>
                <w:rFonts w:ascii="Times New Roman" w:cs="Times New Roman" w:eastAsia="Times New Roman" w:hAnsi="Times New Roman"/>
                <w:sz w:val="20"/>
                <w:szCs w:val="20"/>
                <w:color w:val="auto"/>
              </w:rPr>
              <w:t>. . . . . . . . . . . . . . . . . . . . . . . . . . . . . .Otherfinancialincome(expense),net</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62</w:t>
            </w:r>
          </w:p>
        </w:tc>
        <w:tc>
          <w:tcPr>
            <w:tcW w:w="20" w:type="dxa"/>
            <w:vAlign w:val="bottom"/>
          </w:tcPr>
          <w:p>
            <w:pPr>
              <w:spacing w:after="0"/>
              <w:rPr>
                <w:sz w:val="19"/>
                <w:szCs w:val="19"/>
                <w:color w:val="auto"/>
              </w:rPr>
            </w:pPr>
          </w:p>
        </w:tc>
      </w:tr>
      <w:tr>
        <w:trPr>
          <w:trHeight w:val="239"/>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 . . . . . . . . . . . . . . . . . . . . . . . . . . .</w:t>
            </w:r>
            <w:r>
              <w:rPr>
                <w:rFonts w:ascii="Times New Roman" w:cs="Times New Roman" w:eastAsia="Times New Roman" w:hAnsi="Times New Roman"/>
                <w:sz w:val="20"/>
                <w:szCs w:val="20"/>
                <w:b w:val="1"/>
                <w:bCs w:val="1"/>
                <w:color w:val="auto"/>
              </w:rPr>
              <w:t>Income(loss)beforetaxesonincome</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(3,163)</w:t>
            </w:r>
          </w:p>
        </w:tc>
        <w:tc>
          <w:tcPr>
            <w:tcW w:w="20" w:type="dxa"/>
            <w:vAlign w:val="bottom"/>
          </w:tcPr>
          <w:p>
            <w:pPr>
              <w:spacing w:after="0"/>
              <w:rPr>
                <w:sz w:val="20"/>
                <w:szCs w:val="20"/>
                <w:color w:val="auto"/>
              </w:rPr>
            </w:pPr>
          </w:p>
        </w:tc>
      </w:tr>
      <w:tr>
        <w:trPr>
          <w:trHeight w:val="240"/>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8"/>
              </w:rPr>
              <w:t>. . . . . . . . . . . . . . . . . . . . . . . . . . . . . . . . . . . . . . .Share-basedcompensation</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20" w:type="dxa"/>
            <w:vAlign w:val="bottom"/>
          </w:tcPr>
          <w:p>
            <w:pPr>
              <w:spacing w:after="0"/>
              <w:rPr>
                <w:sz w:val="20"/>
                <w:szCs w:val="20"/>
                <w:color w:val="auto"/>
              </w:rPr>
            </w:pPr>
          </w:p>
        </w:tc>
      </w:tr>
      <w:tr>
        <w:trPr>
          <w:trHeight w:val="242"/>
        </w:trPr>
        <w:tc>
          <w:tcPr>
            <w:tcW w:w="61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97"/>
              </w:rPr>
              <w:t>Depreciation of property and equipment . . . . . . . . . . . . . . . . . . . . . . . . . . . .</w:t>
            </w: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129</w:t>
      </w:r>
    </w:p>
    <w:p>
      <w:pPr>
        <w:sectPr>
          <w:pgSz w:w="11880" w:h="15480" w:orient="portrait"/>
          <w:cols w:equalWidth="0" w:num="1">
            <w:col w:w="10800"/>
          </w:cols>
          <w:pgMar w:left="540" w:top="984" w:right="540" w:bottom="0" w:gutter="0" w:footer="0" w:header="0"/>
          <w:type w:val="continuous"/>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30, 2023</w:t>
            </w: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6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5"/>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Amounts not</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4"/>
        </w:trPr>
        <w:tc>
          <w:tcPr>
            <w:tcW w:w="6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allocated to</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6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segments profit</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4"/>
        </w:trPr>
        <w:tc>
          <w:tcPr>
            <w:tcW w:w="6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40" w:type="dxa"/>
            <w:vAlign w:val="bottom"/>
          </w:tcPr>
          <w:p>
            <w:pPr>
              <w:spacing w:after="0"/>
              <w:rPr>
                <w:sz w:val="16"/>
                <w:szCs w:val="16"/>
                <w:color w:val="auto"/>
              </w:rPr>
            </w:pPr>
          </w:p>
        </w:tc>
        <w:tc>
          <w:tcPr>
            <w:tcW w:w="86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Mobileye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6"/>
                <w:szCs w:val="16"/>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or loss</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08"/>
        </w:trPr>
        <w:tc>
          <w:tcPr>
            <w:tcW w:w="6180" w:type="dxa"/>
            <w:vAlign w:val="bottom"/>
            <w:gridSpan w:val="2"/>
          </w:tcPr>
          <w:p>
            <w:pPr>
              <w:jc w:val="right"/>
              <w:ind w:right="320"/>
              <w:spacing w:after="0" w:line="208"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.Revenues</w:t>
            </w:r>
          </w:p>
        </w:tc>
        <w:tc>
          <w:tcPr>
            <w:tcW w:w="14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2,045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tcBorders>
            <w:gridSpan w:val="2"/>
          </w:tcPr>
          <w:p>
            <w:pPr>
              <w:jc w:val="right"/>
              <w:ind w:right="80"/>
              <w:spacing w:after="0" w:line="208"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07"/>
              <w:spacing w:after="0" w:line="208"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2,079</w:t>
            </w:r>
          </w:p>
        </w:tc>
        <w:tc>
          <w:tcPr>
            <w:tcW w:w="20" w:type="dxa"/>
            <w:vAlign w:val="bottom"/>
          </w:tcPr>
          <w:p>
            <w:pPr>
              <w:spacing w:after="0"/>
              <w:rPr>
                <w:sz w:val="18"/>
                <w:szCs w:val="18"/>
                <w:color w:val="auto"/>
              </w:rPr>
            </w:pPr>
          </w:p>
        </w:tc>
      </w:tr>
      <w:tr>
        <w:trPr>
          <w:trHeight w:val="230"/>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6"/>
              </w:rPr>
              <w:t>Cost of revenues . . . . . . . . . . . . . . . . . . . . . . . . . . . . . . . . . . . . . . . . . . . . . .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1,032</w:t>
            </w:r>
          </w:p>
        </w:tc>
        <w:tc>
          <w:tcPr>
            <w:tcW w:w="20" w:type="dxa"/>
            <w:vAlign w:val="bottom"/>
          </w:tcPr>
          <w:p>
            <w:pPr>
              <w:spacing w:after="0"/>
              <w:rPr>
                <w:sz w:val="20"/>
                <w:szCs w:val="20"/>
                <w:color w:val="auto"/>
              </w:rPr>
            </w:pPr>
          </w:p>
        </w:tc>
      </w:tr>
      <w:tr>
        <w:trPr>
          <w:trHeight w:val="229"/>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7"/>
              </w:rPr>
              <w:t>Research and development, net . . . . . . . . . . . . . . . . . . . . . . . . . . . . . . . . . . .</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889</w:t>
            </w:r>
          </w:p>
        </w:tc>
        <w:tc>
          <w:tcPr>
            <w:tcW w:w="20" w:type="dxa"/>
            <w:vAlign w:val="bottom"/>
          </w:tcPr>
          <w:p>
            <w:pPr>
              <w:spacing w:after="0"/>
              <w:rPr>
                <w:sz w:val="19"/>
                <w:szCs w:val="19"/>
                <w:color w:val="auto"/>
              </w:rPr>
            </w:pPr>
          </w:p>
        </w:tc>
      </w:tr>
      <w:tr>
        <w:trPr>
          <w:trHeight w:val="230"/>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6"/>
              </w:rPr>
              <w:t>Sales and marketing . . . . . . . . . . . . . . . . . . . . . . . . . . . . . . . . . . . . . . . . . . .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20" w:type="dxa"/>
            <w:vAlign w:val="bottom"/>
          </w:tcPr>
          <w:p>
            <w:pPr>
              <w:spacing w:after="0"/>
              <w:rPr>
                <w:sz w:val="20"/>
                <w:szCs w:val="20"/>
                <w:color w:val="auto"/>
              </w:rPr>
            </w:pPr>
          </w:p>
        </w:tc>
      </w:tr>
      <w:tr>
        <w:trPr>
          <w:trHeight w:val="230"/>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7"/>
              </w:rPr>
              <w:t>General and administrative . . . . . . . . . . . . . . . . . . . . . . . . . . . . . . . . . . . . .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0" w:type="dxa"/>
            <w:vAlign w:val="bottom"/>
          </w:tcPr>
          <w:p>
            <w:pPr>
              <w:spacing w:after="0"/>
              <w:rPr>
                <w:sz w:val="20"/>
                <w:szCs w:val="20"/>
                <w:color w:val="auto"/>
              </w:rPr>
            </w:pPr>
          </w:p>
        </w:tc>
      </w:tr>
      <w:tr>
        <w:trPr>
          <w:trHeight w:val="241"/>
        </w:trPr>
        <w:tc>
          <w:tcPr>
            <w:tcW w:w="6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Goodwill impairment</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9"/>
              </w:rPr>
              <w:t>. . . . . . . . . . . . . . . . . . . . . . . . . . . . . . . . . . . . . . . . .</w:t>
            </w:r>
            <w:r>
              <w:rPr>
                <w:rFonts w:ascii="Times New Roman" w:cs="Times New Roman" w:eastAsia="Times New Roman" w:hAnsi="Times New Roman"/>
                <w:sz w:val="20"/>
                <w:szCs w:val="20"/>
                <w:b w:val="1"/>
                <w:bCs w:val="1"/>
                <w:color w:val="auto"/>
                <w:w w:val="99"/>
              </w:rPr>
              <w:t>Segmentperformance</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477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(474)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07"/>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(33)</w:t>
            </w:r>
          </w:p>
        </w:tc>
        <w:tc>
          <w:tcPr>
            <w:tcW w:w="20" w:type="dxa"/>
            <w:vAlign w:val="bottom"/>
          </w:tcPr>
          <w:p>
            <w:pPr>
              <w:spacing w:after="0"/>
              <w:rPr>
                <w:sz w:val="20"/>
                <w:szCs w:val="20"/>
                <w:color w:val="auto"/>
              </w:rPr>
            </w:pPr>
          </w:p>
        </w:tc>
      </w:tr>
      <w:tr>
        <w:trPr>
          <w:trHeight w:val="238"/>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 . . . . . . . . . . . . . . . . . . . .Interestincome(expense)withrelatedparty,net</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r>
      <w:tr>
        <w:trPr>
          <w:trHeight w:val="250"/>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7"/>
              </w:rPr>
              <w:t>Other financial income (expense), net. . . . . . . . . . . . . . . . . . . . . . . . . . . . . .</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20" w:type="dxa"/>
            <w:vAlign w:val="bottom"/>
          </w:tcPr>
          <w:p>
            <w:pPr>
              <w:spacing w:after="0"/>
              <w:rPr>
                <w:sz w:val="21"/>
                <w:szCs w:val="21"/>
                <w:color w:val="auto"/>
              </w:rPr>
            </w:pPr>
          </w:p>
        </w:tc>
      </w:tr>
      <w:tr>
        <w:trPr>
          <w:trHeight w:val="244"/>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 . . . . . . . . . . . . . . . . . . . . . . . . . . .</w:t>
            </w:r>
            <w:r>
              <w:rPr>
                <w:rFonts w:ascii="Times New Roman" w:cs="Times New Roman" w:eastAsia="Times New Roman" w:hAnsi="Times New Roman"/>
                <w:sz w:val="20"/>
                <w:szCs w:val="20"/>
                <w:b w:val="1"/>
                <w:bCs w:val="1"/>
                <w:color w:val="auto"/>
              </w:rPr>
              <w:t>Income(loss)beforetaxesonincome</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w:t>
            </w:r>
          </w:p>
        </w:tc>
        <w:tc>
          <w:tcPr>
            <w:tcW w:w="20" w:type="dxa"/>
            <w:vAlign w:val="bottom"/>
          </w:tcPr>
          <w:p>
            <w:pPr>
              <w:spacing w:after="0"/>
              <w:rPr>
                <w:sz w:val="21"/>
                <w:szCs w:val="21"/>
                <w:color w:val="auto"/>
              </w:rPr>
            </w:pPr>
          </w:p>
        </w:tc>
      </w:tr>
      <w:tr>
        <w:trPr>
          <w:trHeight w:val="240"/>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8"/>
              </w:rPr>
              <w:t>. . . . . . . . . . . . . . . . . . . . . . . . . . . . . . . . . . . . . . .Share-basedcompensation</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20" w:type="dxa"/>
            <w:vAlign w:val="bottom"/>
          </w:tcPr>
          <w:p>
            <w:pPr>
              <w:spacing w:after="0"/>
              <w:rPr>
                <w:sz w:val="20"/>
                <w:szCs w:val="20"/>
                <w:color w:val="auto"/>
              </w:rPr>
            </w:pPr>
          </w:p>
        </w:tc>
      </w:tr>
      <w:tr>
        <w:trPr>
          <w:trHeight w:val="242"/>
        </w:trPr>
        <w:tc>
          <w:tcPr>
            <w:tcW w:w="61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97"/>
              </w:rPr>
              <w:t>Depreciation of property and equipment . . . . . . . . . . . . . . . . . . . . . . . . . . . .</w:t>
            </w: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20" w:type="dxa"/>
            <w:vAlign w:val="bottom"/>
          </w:tcPr>
          <w:p>
            <w:pPr>
              <w:spacing w:after="0"/>
              <w:rPr>
                <w:sz w:val="21"/>
                <w:szCs w:val="21"/>
                <w:color w:val="auto"/>
              </w:rPr>
            </w:pPr>
          </w:p>
        </w:tc>
      </w:tr>
      <w:tr>
        <w:trPr>
          <w:trHeight w:val="433"/>
        </w:trPr>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6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5"/>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Amounts not</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4"/>
        </w:trPr>
        <w:tc>
          <w:tcPr>
            <w:tcW w:w="6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allocated to</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6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segments profit</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3"/>
        </w:trPr>
        <w:tc>
          <w:tcPr>
            <w:tcW w:w="6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40" w:type="dxa"/>
            <w:vAlign w:val="bottom"/>
          </w:tcPr>
          <w:p>
            <w:pPr>
              <w:spacing w:after="0"/>
              <w:rPr>
                <w:sz w:val="16"/>
                <w:szCs w:val="16"/>
                <w:color w:val="auto"/>
              </w:rPr>
            </w:pPr>
          </w:p>
        </w:tc>
        <w:tc>
          <w:tcPr>
            <w:tcW w:w="86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Mobileye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6"/>
                <w:szCs w:val="16"/>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or loss</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09"/>
        </w:trPr>
        <w:tc>
          <w:tcPr>
            <w:tcW w:w="6180" w:type="dxa"/>
            <w:vAlign w:val="bottom"/>
            <w:gridSpan w:val="2"/>
          </w:tcPr>
          <w:p>
            <w:pPr>
              <w:jc w:val="right"/>
              <w:ind w:right="320"/>
              <w:spacing w:after="0" w:line="209"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.Revenues</w:t>
            </w:r>
          </w:p>
        </w:tc>
        <w:tc>
          <w:tcPr>
            <w:tcW w:w="1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1,843</w:t>
            </w:r>
          </w:p>
        </w:tc>
        <w:tc>
          <w:tcPr>
            <w:tcW w:w="200" w:type="dxa"/>
            <w:vAlign w:val="bottom"/>
            <w:gridSpan w:val="2"/>
          </w:tcPr>
          <w:p>
            <w:pPr>
              <w:spacing w:after="0"/>
              <w:rPr>
                <w:sz w:val="18"/>
                <w:szCs w:val="18"/>
                <w:color w:val="auto"/>
              </w:rPr>
            </w:pP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tcBorders>
            <w:gridSpan w:val="2"/>
          </w:tcPr>
          <w:p>
            <w:pPr>
              <w:jc w:val="right"/>
              <w:ind w:right="80"/>
              <w:spacing w:after="0" w:line="20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spacing w:after="0"/>
              <w:rPr>
                <w:sz w:val="18"/>
                <w:szCs w:val="18"/>
                <w:color w:val="auto"/>
              </w:rPr>
            </w:pPr>
          </w:p>
        </w:tc>
        <w:tc>
          <w:tcPr>
            <w:tcW w:w="300" w:type="dxa"/>
            <w:vAlign w:val="bottom"/>
            <w:tcBorders>
              <w:top w:val="single" w:sz="8" w:color="auto"/>
            </w:tcBorders>
          </w:tcPr>
          <w:p>
            <w:pPr>
              <w:jc w:val="right"/>
              <w:ind w:right="107"/>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1,869</w:t>
            </w:r>
          </w:p>
        </w:tc>
        <w:tc>
          <w:tcPr>
            <w:tcW w:w="20" w:type="dxa"/>
            <w:vAlign w:val="bottom"/>
          </w:tcPr>
          <w:p>
            <w:pPr>
              <w:spacing w:after="0"/>
              <w:rPr>
                <w:sz w:val="18"/>
                <w:szCs w:val="18"/>
                <w:color w:val="auto"/>
              </w:rPr>
            </w:pPr>
          </w:p>
        </w:tc>
      </w:tr>
      <w:tr>
        <w:trPr>
          <w:trHeight w:val="229"/>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6"/>
              </w:rPr>
              <w:t>Cost of revenues . . . . . . . . . . . . . . . . . . . . . . . . . . . . . . . . . . . . . . . . . . . . . . .</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947</w:t>
            </w:r>
          </w:p>
        </w:tc>
        <w:tc>
          <w:tcPr>
            <w:tcW w:w="20" w:type="dxa"/>
            <w:vAlign w:val="bottom"/>
          </w:tcPr>
          <w:p>
            <w:pPr>
              <w:spacing w:after="0"/>
              <w:rPr>
                <w:sz w:val="19"/>
                <w:szCs w:val="19"/>
                <w:color w:val="auto"/>
              </w:rPr>
            </w:pPr>
          </w:p>
        </w:tc>
      </w:tr>
      <w:tr>
        <w:trPr>
          <w:trHeight w:val="230"/>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7"/>
              </w:rPr>
              <w:t>Research and development, net . . . . . . . . . . . . . . . . . . . . . . . . . . . . . . . . . .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w:t>
            </w:r>
          </w:p>
        </w:tc>
        <w:tc>
          <w:tcPr>
            <w:tcW w:w="20" w:type="dxa"/>
            <w:vAlign w:val="bottom"/>
          </w:tcPr>
          <w:p>
            <w:pPr>
              <w:spacing w:after="0"/>
              <w:rPr>
                <w:sz w:val="20"/>
                <w:szCs w:val="20"/>
                <w:color w:val="auto"/>
              </w:rPr>
            </w:pPr>
          </w:p>
        </w:tc>
      </w:tr>
      <w:tr>
        <w:trPr>
          <w:trHeight w:val="230"/>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6"/>
              </w:rPr>
              <w:t>Sales and marketing . . . . . . . . . . . . . . . . . . . . . . . . . . . . . . . . . . . . . . . . . . .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20" w:type="dxa"/>
            <w:vAlign w:val="bottom"/>
          </w:tcPr>
          <w:p>
            <w:pPr>
              <w:spacing w:after="0"/>
              <w:rPr>
                <w:sz w:val="20"/>
                <w:szCs w:val="20"/>
                <w:color w:val="auto"/>
              </w:rPr>
            </w:pPr>
          </w:p>
        </w:tc>
      </w:tr>
      <w:tr>
        <w:trPr>
          <w:trHeight w:val="229"/>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7"/>
              </w:rPr>
              <w:t>General and administrative . . . . . . . . . . . . . . . . . . . . . . . . . . . . . . . . . . . . . .</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0" w:type="dxa"/>
            <w:vAlign w:val="bottom"/>
          </w:tcPr>
          <w:p>
            <w:pPr>
              <w:spacing w:after="0"/>
              <w:rPr>
                <w:sz w:val="19"/>
                <w:szCs w:val="19"/>
                <w:color w:val="auto"/>
              </w:rPr>
            </w:pPr>
          </w:p>
        </w:tc>
      </w:tr>
      <w:tr>
        <w:trPr>
          <w:trHeight w:val="241"/>
        </w:trPr>
        <w:tc>
          <w:tcPr>
            <w:tcW w:w="6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Goodwill impairment</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9"/>
              </w:rPr>
              <w:t>. . . . . . . . . . . . . . . . . . . . . . . . . . . . . . . . . . . . . . . . .</w:t>
            </w:r>
            <w:r>
              <w:rPr>
                <w:rFonts w:ascii="Times New Roman" w:cs="Times New Roman" w:eastAsia="Times New Roman" w:hAnsi="Times New Roman"/>
                <w:sz w:val="20"/>
                <w:szCs w:val="20"/>
                <w:b w:val="1"/>
                <w:bCs w:val="1"/>
                <w:color w:val="auto"/>
                <w:w w:val="99"/>
              </w:rPr>
              <w:t>Segmentperformance</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555</w:t>
            </w:r>
          </w:p>
        </w:tc>
        <w:tc>
          <w:tcPr>
            <w:tcW w:w="200" w:type="dxa"/>
            <w:vAlign w:val="bottom"/>
            <w:gridSpan w:val="2"/>
          </w:tcPr>
          <w:p>
            <w:pPr>
              <w:spacing w:after="0"/>
              <w:rPr>
                <w:sz w:val="20"/>
                <w:szCs w:val="20"/>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(548)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07"/>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(37)</w:t>
            </w:r>
          </w:p>
        </w:tc>
        <w:tc>
          <w:tcPr>
            <w:tcW w:w="20" w:type="dxa"/>
            <w:vAlign w:val="bottom"/>
          </w:tcPr>
          <w:p>
            <w:pPr>
              <w:spacing w:after="0"/>
              <w:rPr>
                <w:sz w:val="20"/>
                <w:szCs w:val="20"/>
                <w:color w:val="auto"/>
              </w:rPr>
            </w:pPr>
          </w:p>
        </w:tc>
      </w:tr>
      <w:tr>
        <w:trPr>
          <w:trHeight w:val="210"/>
        </w:trPr>
        <w:tc>
          <w:tcPr>
            <w:tcW w:w="6180" w:type="dxa"/>
            <w:vAlign w:val="bottom"/>
            <w:gridSpan w:val="2"/>
          </w:tcPr>
          <w:p>
            <w:pPr>
              <w:jc w:val="right"/>
              <w:ind w:right="320"/>
              <w:spacing w:after="0" w:line="210" w:lineRule="exact"/>
              <w:rPr>
                <w:sz w:val="20"/>
                <w:szCs w:val="20"/>
                <w:color w:val="auto"/>
              </w:rPr>
            </w:pPr>
            <w:r>
              <w:rPr>
                <w:rFonts w:ascii="Times New Roman" w:cs="Times New Roman" w:eastAsia="Times New Roman" w:hAnsi="Times New Roman"/>
                <w:sz w:val="20"/>
                <w:szCs w:val="20"/>
                <w:color w:val="auto"/>
              </w:rPr>
              <w:t>. . . . . . . . . . . . . . . . . . . . .Interestincome(expense)withrelatedparty,net</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18"/>
                <w:szCs w:val="18"/>
                <w:color w:val="auto"/>
              </w:rPr>
            </w:pPr>
          </w:p>
        </w:tc>
      </w:tr>
      <w:tr>
        <w:trPr>
          <w:trHeight w:val="241"/>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7"/>
              </w:rPr>
              <w:t>Other financial income (expense), net . . . . . . . . . . . . . . . . . . . . . . . . . . . . . .</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20"/>
                <w:szCs w:val="20"/>
                <w:color w:val="auto"/>
              </w:rPr>
            </w:pPr>
          </w:p>
        </w:tc>
      </w:tr>
      <w:tr>
        <w:trPr>
          <w:trHeight w:val="239"/>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 . . . . . . . . . . . . . . . . . . . . . . . . . . .</w:t>
            </w:r>
            <w:r>
              <w:rPr>
                <w:rFonts w:ascii="Times New Roman" w:cs="Times New Roman" w:eastAsia="Times New Roman" w:hAnsi="Times New Roman"/>
                <w:sz w:val="20"/>
                <w:szCs w:val="20"/>
                <w:b w:val="1"/>
                <w:bCs w:val="1"/>
                <w:color w:val="auto"/>
              </w:rPr>
              <w:t>Income(loss)beforetaxesonincome</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w:t>
            </w:r>
          </w:p>
        </w:tc>
        <w:tc>
          <w:tcPr>
            <w:tcW w:w="20" w:type="dxa"/>
            <w:vAlign w:val="bottom"/>
          </w:tcPr>
          <w:p>
            <w:pPr>
              <w:spacing w:after="0"/>
              <w:rPr>
                <w:sz w:val="20"/>
                <w:szCs w:val="20"/>
                <w:color w:val="auto"/>
              </w:rPr>
            </w:pPr>
          </w:p>
        </w:tc>
      </w:tr>
      <w:tr>
        <w:trPr>
          <w:trHeight w:val="239"/>
        </w:trPr>
        <w:tc>
          <w:tcPr>
            <w:tcW w:w="61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8"/>
              </w:rPr>
              <w:t>. . . . . . . . . . . . . . . . . . . . . . . . . . . . . . . . . . . . . . .Share-basedcompensation</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20" w:type="dxa"/>
            <w:vAlign w:val="bottom"/>
          </w:tcPr>
          <w:p>
            <w:pPr>
              <w:spacing w:after="0"/>
              <w:rPr>
                <w:sz w:val="20"/>
                <w:szCs w:val="20"/>
                <w:color w:val="auto"/>
              </w:rPr>
            </w:pPr>
          </w:p>
        </w:tc>
      </w:tr>
      <w:tr>
        <w:trPr>
          <w:trHeight w:val="242"/>
        </w:trPr>
        <w:tc>
          <w:tcPr>
            <w:tcW w:w="61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97"/>
              </w:rPr>
              <w:t>Depreciation of property and equipment . . . . . . . . . . . . . . . . . . . . . . . . . . . .</w:t>
            </w: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20" w:type="dxa"/>
            <w:vAlign w:val="bottom"/>
          </w:tcPr>
          <w:p>
            <w:pPr>
              <w:spacing w:after="0"/>
              <w:rPr>
                <w:sz w:val="21"/>
                <w:szCs w:val="21"/>
                <w:color w:val="auto"/>
              </w:rPr>
            </w:pPr>
          </w:p>
        </w:tc>
      </w:tr>
    </w:tbl>
    <w:p>
      <w:pPr>
        <w:spacing w:after="0" w:line="2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Total revenues based on the country that the product was shipped to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55"/>
        </w:trPr>
        <w:tc>
          <w:tcPr>
            <w:tcW w:w="6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3"/>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28,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24"/>
              <w:spacing w:after="0" w:line="155" w:lineRule="exact"/>
              <w:rPr>
                <w:sz w:val="20"/>
                <w:szCs w:val="20"/>
                <w:color w:val="auto"/>
              </w:rPr>
            </w:pPr>
            <w:r>
              <w:rPr>
                <w:rFonts w:ascii="Times New Roman" w:cs="Times New Roman" w:eastAsia="Times New Roman" w:hAnsi="Times New Roman"/>
                <w:sz w:val="16"/>
                <w:szCs w:val="16"/>
                <w:b w:val="1"/>
                <w:bCs w:val="1"/>
                <w:color w:val="auto"/>
                <w:w w:val="98"/>
              </w:rPr>
              <w:t>December 30,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2"/>
          </w:tcPr>
          <w:p>
            <w:pPr>
              <w:jc w:val="right"/>
              <w:ind w:right="1"/>
              <w:spacing w:after="0" w:line="155"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3"/>
        </w:trPr>
        <w:tc>
          <w:tcPr>
            <w:tcW w:w="6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U.S. dollars in millions</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9"/>
        </w:trPr>
        <w:tc>
          <w:tcPr>
            <w:tcW w:w="6960" w:type="dxa"/>
            <w:vAlign w:val="bottom"/>
            <w:gridSpan w:val="2"/>
          </w:tcPr>
          <w:p>
            <w:pPr>
              <w:jc w:val="right"/>
              <w:ind w:right="340"/>
              <w:spacing w:after="0" w:line="209"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 . . . . . .China</w:t>
            </w:r>
          </w:p>
        </w:tc>
        <w:tc>
          <w:tcPr>
            <w:tcW w:w="100" w:type="dxa"/>
            <w:vAlign w:val="bottom"/>
          </w:tcPr>
          <w:p>
            <w:pPr>
              <w:spacing w:after="0"/>
              <w:rPr>
                <w:sz w:val="18"/>
                <w:szCs w:val="18"/>
                <w:color w:val="auto"/>
              </w:rPr>
            </w:pPr>
          </w:p>
        </w:tc>
        <w:tc>
          <w:tcPr>
            <w:tcW w:w="10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640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551</w:t>
            </w:r>
          </w:p>
        </w:tc>
      </w:tr>
      <w:tr>
        <w:trPr>
          <w:trHeight w:val="229"/>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5"/>
              </w:rPr>
              <w:t>USA . . . . . . . . . . . . . . . . . . . . . . . . . . . . . . . . . . . . . . . . . . . . . . . . . . . . . . . . . . . . . . . .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w:t>
            </w:r>
          </w:p>
        </w:tc>
      </w:tr>
      <w:tr>
        <w:trPr>
          <w:trHeight w:val="230"/>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Germany . . . . . . . . . . . . . . . . . . . . . . . . . . . . . . . . . . . . . . . . . . . . . . . . . . . . . . . . . . . .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w:t>
            </w:r>
          </w:p>
        </w:tc>
      </w:tr>
      <w:tr>
        <w:trPr>
          <w:trHeight w:val="230"/>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5"/>
              </w:rPr>
              <w:t>South Korea . . . . . . . . . . . . . . . . . . . . . . . . . . . . . . . . . . . . . . . . . . . . . . . . . . . . . . . . . .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29"/>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United Kingdom . . . . . . . . . . . . . . . . . . . . . . . . . . . . . . . . . . . . . . . . . . . . . . . . . . . . . .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w:t>
            </w:r>
          </w:p>
        </w:tc>
      </w:tr>
      <w:tr>
        <w:trPr>
          <w:trHeight w:val="230"/>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Poland . . . . . . . . . . . . . . . . . . . . . . . . . . . . . . . . . . . . . . . . . . . . . . . . . . . . . . . . . . . . . .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30"/>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5"/>
              </w:rPr>
              <w:t>Hungary . . . . . . . . . . . . . . . . . . . . . . . . . . . . . . . . . . . . . . . . . . . . . . . . . . . . . . . . . . . . .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29"/>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Czech Republic . . . . . . . . . . . . . . . . . . . . . . . . . . . . . . . . . . . . . . . . . . . . . . . . . . . . . . .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30"/>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5"/>
              </w:rPr>
              <w:t>Portugal . . . . . . . . . . . . . . . . . . . . . . . . . . . . . . . . . . . . . . . . . . . . . . . . . . . . . . . . . . . . .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69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Rest of World . . . . . . . . . . . . . . . . . . . . . . . . . . . . . . . . . . . . . . . . . . . . . . . . . . . . . . . . .</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40"/>
        </w:trPr>
        <w:tc>
          <w:tcPr>
            <w:tcW w:w="6940" w:type="dxa"/>
            <w:vAlign w:val="bottom"/>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w w:val="96"/>
              </w:rPr>
              <w:t xml:space="preserve">Total </w:t>
            </w:r>
            <w:r>
              <w:rPr>
                <w:rFonts w:ascii="Times New Roman" w:cs="Times New Roman" w:eastAsia="Times New Roman" w:hAnsi="Times New Roman"/>
                <w:sz w:val="20"/>
                <w:szCs w:val="20"/>
                <w:color w:val="auto"/>
                <w:w w:val="96"/>
              </w:rPr>
              <w:t>. . .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1,654</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2,079</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1,869</w:t>
            </w:r>
          </w:p>
        </w:tc>
      </w:tr>
    </w:tbl>
    <w:p>
      <w:pPr>
        <w:spacing w:after="0" w:line="200" w:lineRule="exact"/>
        <w:rPr>
          <w:sz w:val="20"/>
          <w:szCs w:val="20"/>
          <w:color w:val="auto"/>
        </w:rPr>
      </w:pP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130</w:t>
      </w:r>
    </w:p>
    <w:p>
      <w:pPr>
        <w:sectPr>
          <w:pgSz w:w="11880" w:h="15480" w:orient="portrait"/>
          <w:cols w:equalWidth="0" w:num="1">
            <w:col w:w="10800"/>
          </w:cols>
          <w:pgMar w:left="540" w:top="984" w:right="540" w:bottom="0" w:gutter="0" w:footer="0" w:header="0"/>
          <w:type w:val="continuous"/>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ind w:firstLine="360"/>
        <w:spacing w:after="0" w:line="217" w:lineRule="auto"/>
        <w:rPr>
          <w:sz w:val="20"/>
          <w:szCs w:val="20"/>
          <w:color w:val="auto"/>
        </w:rPr>
      </w:pPr>
      <w:r>
        <w:rPr>
          <w:rFonts w:ascii="Times New Roman" w:cs="Times New Roman" w:eastAsia="Times New Roman" w:hAnsi="Times New Roman"/>
          <w:sz w:val="20"/>
          <w:szCs w:val="20"/>
          <w:color w:val="auto"/>
        </w:rPr>
        <w:t>We generate the majority of our revenue from the sale of our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SoCs to OEMs primarily through sales to Tier 1 automotive suppliers. EyeQ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SoC sales represented approximately 86%, 89%, and 89% of our revenue for each of the years ended December 28, 2024, December 30, 2023 and December 31, 2022, respectively.</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Major Customers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Revenue from major customers that amount to 10% or more of total revenue: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0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060" w:type="dxa"/>
            <w:vAlign w:val="bottom"/>
          </w:tcPr>
          <w:p>
            <w:pPr>
              <w:spacing w:after="0"/>
              <w:rPr>
                <w:sz w:val="13"/>
                <w:szCs w:val="13"/>
                <w:color w:val="auto"/>
              </w:rPr>
            </w:pPr>
          </w:p>
        </w:tc>
        <w:tc>
          <w:tcPr>
            <w:tcW w:w="1260" w:type="dxa"/>
            <w:vAlign w:val="bottom"/>
            <w:gridSpan w:val="2"/>
          </w:tcPr>
          <w:p>
            <w:pPr>
              <w:jc w:val="center"/>
              <w:ind w:right="280"/>
              <w:spacing w:after="0" w:line="154" w:lineRule="exact"/>
              <w:rPr>
                <w:sz w:val="20"/>
                <w:szCs w:val="20"/>
                <w:color w:val="auto"/>
              </w:rPr>
            </w:pPr>
            <w:r>
              <w:rPr>
                <w:rFonts w:ascii="Times New Roman" w:cs="Times New Roman" w:eastAsia="Times New Roman" w:hAnsi="Times New Roman"/>
                <w:sz w:val="16"/>
                <w:szCs w:val="16"/>
                <w:b w:val="1"/>
                <w:bCs w:val="1"/>
                <w:color w:val="auto"/>
              </w:rPr>
              <w:t>December 28,</w:t>
            </w:r>
          </w:p>
        </w:tc>
        <w:tc>
          <w:tcPr>
            <w:tcW w:w="1280" w:type="dxa"/>
            <w:vAlign w:val="bottom"/>
            <w:gridSpan w:val="2"/>
          </w:tcPr>
          <w:p>
            <w:pPr>
              <w:jc w:val="center"/>
              <w:ind w:right="300"/>
              <w:spacing w:after="0" w:line="154" w:lineRule="exact"/>
              <w:rPr>
                <w:sz w:val="20"/>
                <w:szCs w:val="20"/>
                <w:color w:val="auto"/>
              </w:rPr>
            </w:pPr>
            <w:r>
              <w:rPr>
                <w:rFonts w:ascii="Times New Roman" w:cs="Times New Roman" w:eastAsia="Times New Roman" w:hAnsi="Times New Roman"/>
                <w:sz w:val="16"/>
                <w:szCs w:val="16"/>
                <w:b w:val="1"/>
                <w:bCs w:val="1"/>
                <w:color w:val="auto"/>
              </w:rPr>
              <w:t>December 30,</w:t>
            </w:r>
          </w:p>
        </w:tc>
        <w:tc>
          <w:tcPr>
            <w:tcW w:w="100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0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Percent of total revenues</w:t>
            </w:r>
          </w:p>
        </w:tc>
        <w:tc>
          <w:tcPr>
            <w:tcW w:w="100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80" w:type="dxa"/>
            <w:vAlign w:val="bottom"/>
          </w:tcPr>
          <w:p>
            <w:pPr>
              <w:spacing w:after="0"/>
              <w:rPr>
                <w:sz w:val="17"/>
                <w:szCs w:val="17"/>
                <w:color w:val="auto"/>
              </w:rPr>
            </w:pPr>
          </w:p>
        </w:tc>
        <w:tc>
          <w:tcPr>
            <w:tcW w:w="100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0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Customer A . . . . . . . . . . . . . . . . . . . . . . . . . . . . . . . . . . . . . . . . . . . . . . . . . . . . . . . . . . . .</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27 %</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30 %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38 %</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Customer B . . . . . . . . . . . . . . . . . . . . . . . . . . . . . . . . . . . . . . . . . . . . . . . . . . . . . . . . . . . .</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20 %</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24 %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18 %</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Customer C . . . . . . . . . . . . . . . . . . . . . . . . . . . . . . . . . . . . . . . . . . . . . . . . . . . . . . . . . . . .</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14 %</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14 %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15 %</w:t>
            </w:r>
          </w:p>
        </w:tc>
        <w:tc>
          <w:tcPr>
            <w:tcW w:w="0" w:type="dxa"/>
            <w:vAlign w:val="bottom"/>
          </w:tcPr>
          <w:p>
            <w:pPr>
              <w:spacing w:after="0"/>
              <w:rPr>
                <w:sz w:val="1"/>
                <w:szCs w:val="1"/>
                <w:color w:val="auto"/>
              </w:rPr>
            </w:pPr>
          </w:p>
        </w:tc>
      </w:tr>
      <w:tr>
        <w:trPr>
          <w:trHeight w:val="268"/>
        </w:trPr>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Customer E . . . . . . . . . . . . . . . . . . . . . . . . . . . . . . . . . . . . . . . . . . . . . . . . . . . . . . . . . . . .</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139700</wp:posOffset>
                </wp:positionV>
                <wp:extent cx="171386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1pt" to="134.9pt,11pt" o:allowincell="f" strokecolor="#000000" strokeweight="1.02pt"/>
            </w:pict>
          </mc:Fallback>
        </mc:AlternateConten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*Less than 10%</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Accounts receivable balances of major customers that amount to 10% or more of total accounts receivable balance: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60" w:type="dxa"/>
            <w:vAlign w:val="bottom"/>
          </w:tcPr>
          <w:p>
            <w:pPr>
              <w:spacing w:after="0"/>
              <w:rPr>
                <w:sz w:val="17"/>
                <w:szCs w:val="17"/>
                <w:color w:val="auto"/>
              </w:rPr>
            </w:pPr>
          </w:p>
        </w:tc>
        <w:tc>
          <w:tcPr>
            <w:tcW w:w="150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8060" w:type="dxa"/>
            <w:vAlign w:val="bottom"/>
          </w:tcPr>
          <w:p>
            <w:pPr>
              <w:spacing w:after="0"/>
              <w:rPr>
                <w:sz w:val="14"/>
                <w:szCs w:val="14"/>
                <w:color w:val="auto"/>
              </w:rPr>
            </w:pPr>
          </w:p>
        </w:tc>
        <w:tc>
          <w:tcPr>
            <w:tcW w:w="1500" w:type="dxa"/>
            <w:vAlign w:val="bottom"/>
            <w:gridSpan w:val="3"/>
          </w:tcPr>
          <w:p>
            <w:pPr>
              <w:jc w:val="center"/>
              <w:ind w:right="340"/>
              <w:spacing w:after="0" w:line="167" w:lineRule="exact"/>
              <w:rPr>
                <w:sz w:val="20"/>
                <w:szCs w:val="20"/>
                <w:color w:val="auto"/>
              </w:rPr>
            </w:pPr>
            <w:r>
              <w:rPr>
                <w:rFonts w:ascii="Times New Roman" w:cs="Times New Roman" w:eastAsia="Times New Roman" w:hAnsi="Times New Roman"/>
                <w:sz w:val="16"/>
                <w:szCs w:val="16"/>
                <w:b w:val="1"/>
                <w:bCs w:val="1"/>
                <w:color w:val="auto"/>
                <w:w w:val="98"/>
              </w:rPr>
              <w:t>December 28,</w:t>
            </w:r>
          </w:p>
        </w:tc>
        <w:tc>
          <w:tcPr>
            <w:tcW w:w="108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w w:val="98"/>
              </w:rPr>
              <w:t>December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0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Percent of total accounts receivables balance</w:t>
            </w: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06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20"/>
                <w:szCs w:val="20"/>
                <w:color w:val="auto"/>
                <w:w w:val="99"/>
              </w:rPr>
              <w:t>Customer A . . . . . . . . . . . . . . . . . . . . . . . . . . . . . . . . . . . . . . . . . . . . . . . . . . . . . . . . . . . . . . . . . . . . . . .</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35 %</w:t>
            </w:r>
          </w:p>
        </w:tc>
        <w:tc>
          <w:tcPr>
            <w:tcW w:w="8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44 %</w:t>
            </w:r>
          </w:p>
        </w:tc>
        <w:tc>
          <w:tcPr>
            <w:tcW w:w="0" w:type="dxa"/>
            <w:vAlign w:val="bottom"/>
          </w:tcPr>
          <w:p>
            <w:pPr>
              <w:spacing w:after="0"/>
              <w:rPr>
                <w:sz w:val="1"/>
                <w:szCs w:val="1"/>
                <w:color w:val="auto"/>
              </w:rPr>
            </w:pPr>
          </w:p>
        </w:tc>
      </w:tr>
      <w:tr>
        <w:trPr>
          <w:trHeight w:val="232"/>
        </w:trPr>
        <w:tc>
          <w:tcPr>
            <w:tcW w:w="8060" w:type="dxa"/>
            <w:vAlign w:val="bottom"/>
          </w:tcPr>
          <w:p>
            <w:pPr>
              <w:spacing w:after="0"/>
              <w:rPr>
                <w:sz w:val="20"/>
                <w:szCs w:val="20"/>
                <w:color w:val="auto"/>
              </w:rPr>
            </w:pPr>
            <w:r>
              <w:rPr>
                <w:rFonts w:ascii="Times New Roman" w:cs="Times New Roman" w:eastAsia="Times New Roman" w:hAnsi="Times New Roman"/>
                <w:sz w:val="20"/>
                <w:szCs w:val="20"/>
                <w:color w:val="auto"/>
                <w:w w:val="99"/>
              </w:rPr>
              <w:t>Customer B . . . . . . . . . . . . . . . . . . . . . . . . . . . . . . . . . . . . . . . . . . . . . . . . . . . . . . . . . . . . . . . . . . . . . . .</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23 %</w:t>
            </w:r>
          </w:p>
        </w:tc>
        <w:tc>
          <w:tcPr>
            <w:tcW w:w="8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0" w:type="dxa"/>
            <w:vAlign w:val="bottom"/>
          </w:tcPr>
          <w:p>
            <w:pPr>
              <w:spacing w:after="0"/>
              <w:rPr>
                <w:sz w:val="1"/>
                <w:szCs w:val="1"/>
                <w:color w:val="auto"/>
              </w:rPr>
            </w:pPr>
          </w:p>
        </w:tc>
      </w:tr>
      <w:tr>
        <w:trPr>
          <w:trHeight w:val="268"/>
        </w:trPr>
        <w:tc>
          <w:tcPr>
            <w:tcW w:w="8060" w:type="dxa"/>
            <w:vAlign w:val="bottom"/>
          </w:tcPr>
          <w:p>
            <w:pPr>
              <w:spacing w:after="0"/>
              <w:rPr>
                <w:sz w:val="20"/>
                <w:szCs w:val="20"/>
                <w:color w:val="auto"/>
              </w:rPr>
            </w:pPr>
            <w:r>
              <w:rPr>
                <w:rFonts w:ascii="Times New Roman" w:cs="Times New Roman" w:eastAsia="Times New Roman" w:hAnsi="Times New Roman"/>
                <w:sz w:val="20"/>
                <w:szCs w:val="20"/>
                <w:color w:val="auto"/>
                <w:w w:val="99"/>
              </w:rPr>
              <w:t>Customer C . . . . . . . . . . . . . . . . . . . . . . . . . . . . . . . . . . . . . . . . . . . . . . . . . . . . . . . . . . . . . . . . . . . . . . .</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13 %</w:t>
            </w:r>
          </w:p>
        </w:tc>
        <w:tc>
          <w:tcPr>
            <w:tcW w:w="8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22 %</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INVESTMENTS</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Debt Investments</w:t>
      </w:r>
    </w:p>
    <w:p>
      <w:pPr>
        <w:spacing w:after="0" w:line="242"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Debt investments include U.S. government bonds and money market funds. U.S. government bonds are for original maturities of up to six months and are classified as available for sale and measured at fair value with the related unrealized gains and losses included in other comprehensive income (expense), net. Money market funds, measured at fair value, consist of institutional investors money market funds and are readily redeemable to cash.</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tables summarize the Company’s marketable debt securities: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U.S. dollars in millions</w:t>
            </w: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28, 2024</w:t>
            </w:r>
          </w:p>
        </w:tc>
        <w:tc>
          <w:tcPr>
            <w:tcW w:w="1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Amortized cost</w:t>
            </w:r>
          </w:p>
        </w:tc>
        <w:tc>
          <w:tcPr>
            <w:tcW w:w="160" w:type="dxa"/>
            <w:vAlign w:val="bottom"/>
          </w:tcPr>
          <w:p>
            <w:pPr>
              <w:spacing w:after="0"/>
              <w:rPr>
                <w:sz w:val="15"/>
                <w:szCs w:val="15"/>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Unrealized gain</w:t>
            </w:r>
          </w:p>
        </w:tc>
        <w:tc>
          <w:tcPr>
            <w:tcW w:w="160" w:type="dxa"/>
            <w:vAlign w:val="bottom"/>
          </w:tcPr>
          <w:p>
            <w:pPr>
              <w:spacing w:after="0"/>
              <w:rPr>
                <w:sz w:val="15"/>
                <w:szCs w:val="15"/>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Unrealized loss</w:t>
            </w:r>
          </w:p>
        </w:tc>
        <w:tc>
          <w:tcPr>
            <w:tcW w:w="160" w:type="dxa"/>
            <w:vAlign w:val="bottom"/>
          </w:tcPr>
          <w:p>
            <w:pPr>
              <w:spacing w:after="0"/>
              <w:rPr>
                <w:sz w:val="15"/>
                <w:szCs w:val="15"/>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580"/>
              <w:spacing w:after="0" w:line="175" w:lineRule="exact"/>
              <w:rPr>
                <w:sz w:val="20"/>
                <w:szCs w:val="20"/>
                <w:color w:val="auto"/>
              </w:rPr>
            </w:pPr>
            <w:r>
              <w:rPr>
                <w:rFonts w:ascii="Times New Roman" w:cs="Times New Roman" w:eastAsia="Times New Roman" w:hAnsi="Times New Roman"/>
                <w:sz w:val="16"/>
                <w:szCs w:val="16"/>
                <w:b w:val="1"/>
                <w:bCs w:val="1"/>
                <w:color w:val="auto"/>
              </w:rPr>
              <w:t>Reported as</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U.S. government bonds</w:t>
            </w: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800" w:type="dxa"/>
            <w:vAlign w:val="bottom"/>
            <w:gridSpan w:val="2"/>
          </w:tcPr>
          <w:p>
            <w:pPr>
              <w:spacing w:after="0" w:line="173" w:lineRule="exact"/>
              <w:rPr>
                <w:sz w:val="20"/>
                <w:szCs w:val="20"/>
                <w:color w:val="auto"/>
              </w:rPr>
            </w:pPr>
            <w:r>
              <w:rPr>
                <w:rFonts w:ascii="Times New Roman" w:cs="Times New Roman" w:eastAsia="Times New Roman" w:hAnsi="Times New Roman"/>
                <w:sz w:val="16"/>
                <w:szCs w:val="16"/>
                <w:b w:val="1"/>
                <w:bCs w:val="1"/>
                <w:color w:val="auto"/>
                <w:w w:val="98"/>
              </w:rPr>
              <w:t>Cash and cash equivalents</w:t>
            </w:r>
          </w:p>
        </w:tc>
        <w:tc>
          <w:tcPr>
            <w:tcW w:w="1560" w:type="dxa"/>
            <w:vAlign w:val="bottom"/>
            <w:gridSpan w:val="3"/>
          </w:tcPr>
          <w:p>
            <w:pPr>
              <w:ind w:left="160"/>
              <w:spacing w:after="0" w:line="173" w:lineRule="exact"/>
              <w:rPr>
                <w:sz w:val="20"/>
                <w:szCs w:val="20"/>
                <w:color w:val="auto"/>
              </w:rPr>
            </w:pPr>
            <w:r>
              <w:rPr>
                <w:rFonts w:ascii="Times New Roman" w:cs="Times New Roman" w:eastAsia="Times New Roman" w:hAnsi="Times New Roman"/>
                <w:sz w:val="16"/>
                <w:szCs w:val="16"/>
                <w:b w:val="1"/>
                <w:bCs w:val="1"/>
                <w:color w:val="auto"/>
                <w:w w:val="98"/>
              </w:rPr>
              <w:t>Other current assets</w:t>
            </w:r>
          </w:p>
        </w:tc>
        <w:tc>
          <w:tcPr>
            <w:tcW w:w="0" w:type="dxa"/>
            <w:vAlign w:val="bottom"/>
          </w:tcPr>
          <w:p>
            <w:pPr>
              <w:spacing w:after="0"/>
              <w:rPr>
                <w:sz w:val="1"/>
                <w:szCs w:val="1"/>
                <w:color w:val="auto"/>
              </w:rPr>
            </w:pPr>
          </w:p>
        </w:tc>
      </w:tr>
      <w:tr>
        <w:trPr>
          <w:trHeight w:val="179"/>
        </w:trPr>
        <w:tc>
          <w:tcPr>
            <w:tcW w:w="2880" w:type="dxa"/>
            <w:vAlign w:val="bottom"/>
            <w:vMerge w:val="continue"/>
          </w:tcPr>
          <w:p>
            <w:pPr>
              <w:jc w:val="right"/>
              <w:ind w:right="185"/>
              <w:spacing w:after="0" w:line="157" w:lineRule="exact"/>
              <w:rPr>
                <w:sz w:val="20"/>
                <w:szCs w:val="20"/>
                <w:color w:val="auto"/>
              </w:rPr>
            </w:pPr>
            <w:r>
              <w:rPr>
                <w:rFonts w:ascii="Times New Roman" w:cs="Times New Roman" w:eastAsia="Times New Roman" w:hAnsi="Times New Roman"/>
                <w:sz w:val="18"/>
                <w:szCs w:val="18"/>
                <w:color w:val="auto"/>
              </w:rPr>
              <w:t>. . . . . . .</w:t>
            </w:r>
          </w:p>
        </w:tc>
        <w:tc>
          <w:tcPr>
            <w:tcW w:w="400" w:type="dxa"/>
            <w:vAlign w:val="bottom"/>
            <w:tcBorders>
              <w:top w:val="single" w:sz="8" w:color="auto"/>
            </w:tcBorders>
          </w:tcPr>
          <w:p>
            <w:pPr>
              <w:spacing w:after="0" w:line="179"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20"/>
                <w:szCs w:val="20"/>
                <w:color w:val="auto"/>
              </w:rPr>
              <w:t>33</w:t>
            </w:r>
          </w:p>
        </w:tc>
        <w:tc>
          <w:tcPr>
            <w:tcW w:w="160" w:type="dxa"/>
            <w:vAlign w:val="bottom"/>
          </w:tcPr>
          <w:p>
            <w:pPr>
              <w:spacing w:after="0"/>
              <w:rPr>
                <w:sz w:val="15"/>
                <w:szCs w:val="15"/>
                <w:color w:val="auto"/>
              </w:rPr>
            </w:pPr>
          </w:p>
        </w:tc>
        <w:tc>
          <w:tcPr>
            <w:tcW w:w="460" w:type="dxa"/>
            <w:vAlign w:val="bottom"/>
            <w:tcBorders>
              <w:top w:val="single" w:sz="8" w:color="auto"/>
            </w:tcBorders>
          </w:tcPr>
          <w:p>
            <w:pPr>
              <w:spacing w:after="0" w:line="179" w:lineRule="exact"/>
              <w:rPr>
                <w:sz w:val="20"/>
                <w:szCs w:val="20"/>
                <w:color w:val="auto"/>
              </w:rPr>
            </w:pPr>
            <w:r>
              <w:rPr>
                <w:rFonts w:ascii="Times New Roman" w:cs="Times New Roman" w:eastAsia="Times New Roman" w:hAnsi="Times New Roman"/>
                <w:sz w:val="20"/>
                <w:szCs w:val="20"/>
                <w:color w:val="auto"/>
              </w:rPr>
              <w:t>$</w:t>
            </w:r>
          </w:p>
        </w:tc>
        <w:tc>
          <w:tcPr>
            <w:tcW w:w="620" w:type="dxa"/>
            <w:vAlign w:val="bottom"/>
            <w:tcBorders>
              <w:top w:val="single" w:sz="8" w:color="auto"/>
            </w:tcBorders>
          </w:tcPr>
          <w:p>
            <w:pPr>
              <w:ind w:left="360"/>
              <w:spacing w:after="0" w:line="17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5"/>
                <w:szCs w:val="15"/>
                <w:color w:val="auto"/>
              </w:rPr>
            </w:pPr>
          </w:p>
        </w:tc>
        <w:tc>
          <w:tcPr>
            <w:tcW w:w="440" w:type="dxa"/>
            <w:vAlign w:val="bottom"/>
            <w:tcBorders>
              <w:top w:val="single" w:sz="8" w:color="auto"/>
            </w:tcBorders>
          </w:tcPr>
          <w:p>
            <w:pPr>
              <w:spacing w:after="0" w:line="179"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top w:val="single" w:sz="8" w:color="auto"/>
            </w:tcBorders>
          </w:tcPr>
          <w:p>
            <w:pPr>
              <w:ind w:left="340"/>
              <w:spacing w:after="0" w:line="17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5"/>
                <w:szCs w:val="15"/>
                <w:color w:val="auto"/>
              </w:rPr>
            </w:pPr>
          </w:p>
        </w:tc>
        <w:tc>
          <w:tcPr>
            <w:tcW w:w="240" w:type="dxa"/>
            <w:vAlign w:val="bottom"/>
            <w:tcBorders>
              <w:top w:val="single" w:sz="8" w:color="auto"/>
            </w:tcBorders>
          </w:tcPr>
          <w:p>
            <w:pPr>
              <w:spacing w:after="0" w:line="179" w:lineRule="exact"/>
              <w:rPr>
                <w:sz w:val="20"/>
                <w:szCs w:val="20"/>
                <w:color w:val="auto"/>
              </w:rPr>
            </w:pPr>
            <w:r>
              <w:rPr>
                <w:rFonts w:ascii="Times New Roman" w:cs="Times New Roman" w:eastAsia="Times New Roman" w:hAnsi="Times New Roman"/>
                <w:sz w:val="20"/>
                <w:szCs w:val="20"/>
                <w:color w:val="auto"/>
              </w:rPr>
              <w:t>$</w:t>
            </w:r>
          </w:p>
        </w:tc>
        <w:tc>
          <w:tcPr>
            <w:tcW w:w="50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20"/>
                <w:szCs w:val="20"/>
                <w:color w:val="auto"/>
              </w:rPr>
              <w:t>33</w:t>
            </w:r>
          </w:p>
        </w:tc>
        <w:tc>
          <w:tcPr>
            <w:tcW w:w="160" w:type="dxa"/>
            <w:vAlign w:val="bottom"/>
          </w:tcPr>
          <w:p>
            <w:pPr>
              <w:spacing w:after="0"/>
              <w:rPr>
                <w:sz w:val="15"/>
                <w:szCs w:val="15"/>
                <w:color w:val="auto"/>
              </w:rPr>
            </w:pPr>
          </w:p>
        </w:tc>
        <w:tc>
          <w:tcPr>
            <w:tcW w:w="680" w:type="dxa"/>
            <w:vAlign w:val="bottom"/>
            <w:tcBorders>
              <w:top w:val="single" w:sz="8" w:color="auto"/>
            </w:tcBorders>
          </w:tcPr>
          <w:p>
            <w:pPr>
              <w:spacing w:after="0" w:line="179"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5"/>
                <w:szCs w:val="15"/>
                <w:color w:val="auto"/>
              </w:rPr>
            </w:pPr>
          </w:p>
        </w:tc>
        <w:tc>
          <w:tcPr>
            <w:tcW w:w="640" w:type="dxa"/>
            <w:vAlign w:val="bottom"/>
            <w:tcBorders>
              <w:top w:val="single" w:sz="8" w:color="auto"/>
            </w:tcBorders>
          </w:tcPr>
          <w:p>
            <w:pPr>
              <w:spacing w:after="0" w:line="179"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41"/>
        </w:trPr>
        <w:tc>
          <w:tcPr>
            <w:tcW w:w="288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funds . . . . . . . . . .</w:t>
            </w: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951</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951</w:t>
            </w:r>
          </w:p>
        </w:tc>
        <w:tc>
          <w:tcPr>
            <w:tcW w:w="1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951</w:t>
            </w:r>
          </w:p>
        </w:tc>
        <w:tc>
          <w:tcPr>
            <w:tcW w:w="1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6"/>
        </w:trPr>
        <w:tc>
          <w:tcPr>
            <w:tcW w:w="2880" w:type="dxa"/>
            <w:vAlign w:val="bottom"/>
          </w:tcPr>
          <w:p>
            <w:pPr>
              <w:spacing w:after="0"/>
              <w:rPr>
                <w:sz w:val="20"/>
                <w:szCs w:val="20"/>
                <w:color w:val="auto"/>
              </w:rPr>
            </w:pPr>
            <w:r>
              <w:rPr>
                <w:rFonts w:ascii="Times New Roman" w:cs="Times New Roman" w:eastAsia="Times New Roman" w:hAnsi="Times New Roman"/>
                <w:sz w:val="20"/>
                <w:szCs w:val="20"/>
                <w:color w:val="auto"/>
              </w:rPr>
              <w:t>. . . . . . . . . . . . . . . . . . . . . .</w:t>
            </w:r>
            <w:r>
              <w:rPr>
                <w:rFonts w:ascii="Times New Roman" w:cs="Times New Roman" w:eastAsia="Times New Roman" w:hAnsi="Times New Roman"/>
                <w:sz w:val="20"/>
                <w:szCs w:val="20"/>
                <w:b w:val="1"/>
                <w:bCs w:val="1"/>
                <w:color w:val="auto"/>
              </w:rPr>
              <w:t>Total</w:t>
            </w:r>
          </w:p>
        </w:tc>
        <w:tc>
          <w:tcPr>
            <w:tcW w:w="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984</w:t>
            </w:r>
          </w:p>
        </w:tc>
        <w:tc>
          <w:tcPr>
            <w:tcW w:w="160" w:type="dxa"/>
            <w:vAlign w:val="bottom"/>
          </w:tcPr>
          <w:p>
            <w:pPr>
              <w:spacing w:after="0"/>
              <w:rPr>
                <w:sz w:val="23"/>
                <w:szCs w:val="23"/>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w:t>
            </w:r>
          </w:p>
        </w:tc>
        <w:tc>
          <w:tcPr>
            <w:tcW w:w="160" w:type="dxa"/>
            <w:vAlign w:val="bottom"/>
          </w:tcPr>
          <w:p>
            <w:pPr>
              <w:spacing w:after="0"/>
              <w:rPr>
                <w:sz w:val="23"/>
                <w:szCs w:val="2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tcPr>
          <w:p>
            <w:pPr>
              <w:ind w:left="340"/>
              <w:spacing w:after="0"/>
              <w:rPr>
                <w:sz w:val="20"/>
                <w:szCs w:val="20"/>
                <w:color w:val="auto"/>
              </w:rPr>
            </w:pPr>
            <w:r>
              <w:rPr>
                <w:rFonts w:ascii="Times New Roman" w:cs="Times New Roman" w:eastAsia="Times New Roman" w:hAnsi="Times New Roman"/>
                <w:sz w:val="20"/>
                <w:szCs w:val="20"/>
                <w:b w:val="1"/>
                <w:bCs w:val="1"/>
                <w:color w:val="auto"/>
              </w:rPr>
              <w:t>—</w:t>
            </w:r>
          </w:p>
        </w:tc>
        <w:tc>
          <w:tcPr>
            <w:tcW w:w="16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984</w:t>
            </w:r>
          </w:p>
        </w:tc>
        <w:tc>
          <w:tcPr>
            <w:tcW w:w="16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951</w:t>
            </w:r>
          </w:p>
        </w:tc>
        <w:tc>
          <w:tcPr>
            <w:tcW w:w="160" w:type="dxa"/>
            <w:vAlign w:val="bottom"/>
          </w:tcPr>
          <w:p>
            <w:pPr>
              <w:spacing w:after="0"/>
              <w:rPr>
                <w:sz w:val="23"/>
                <w:szCs w:val="2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33</w:t>
            </w:r>
          </w:p>
        </w:tc>
        <w:tc>
          <w:tcPr>
            <w:tcW w:w="0" w:type="dxa"/>
            <w:vAlign w:val="bottom"/>
          </w:tcPr>
          <w:p>
            <w:pPr>
              <w:spacing w:after="0"/>
              <w:rPr>
                <w:sz w:val="1"/>
                <w:szCs w:val="1"/>
                <w:color w:val="auto"/>
              </w:rPr>
            </w:pPr>
          </w:p>
        </w:tc>
      </w:tr>
      <w:tr>
        <w:trPr>
          <w:trHeight w:val="389"/>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U.S. dollars in millions</w:t>
            </w: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30, 2023</w:t>
            </w: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Amortized cost</w:t>
            </w:r>
          </w:p>
        </w:tc>
        <w:tc>
          <w:tcPr>
            <w:tcW w:w="160" w:type="dxa"/>
            <w:vAlign w:val="bottom"/>
          </w:tcPr>
          <w:p>
            <w:pPr>
              <w:spacing w:after="0"/>
              <w:rPr>
                <w:sz w:val="15"/>
                <w:szCs w:val="15"/>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Unrealized gain</w:t>
            </w:r>
          </w:p>
        </w:tc>
        <w:tc>
          <w:tcPr>
            <w:tcW w:w="160" w:type="dxa"/>
            <w:vAlign w:val="bottom"/>
          </w:tcPr>
          <w:p>
            <w:pPr>
              <w:spacing w:after="0"/>
              <w:rPr>
                <w:sz w:val="15"/>
                <w:szCs w:val="15"/>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Unrealized loss</w:t>
            </w:r>
          </w:p>
        </w:tc>
        <w:tc>
          <w:tcPr>
            <w:tcW w:w="160" w:type="dxa"/>
            <w:vAlign w:val="bottom"/>
          </w:tcPr>
          <w:p>
            <w:pPr>
              <w:spacing w:after="0"/>
              <w:rPr>
                <w:sz w:val="15"/>
                <w:szCs w:val="15"/>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580"/>
              <w:spacing w:after="0" w:line="173" w:lineRule="exact"/>
              <w:rPr>
                <w:sz w:val="20"/>
                <w:szCs w:val="20"/>
                <w:color w:val="auto"/>
              </w:rPr>
            </w:pPr>
            <w:r>
              <w:rPr>
                <w:rFonts w:ascii="Times New Roman" w:cs="Times New Roman" w:eastAsia="Times New Roman" w:hAnsi="Times New Roman"/>
                <w:sz w:val="16"/>
                <w:szCs w:val="16"/>
                <w:b w:val="1"/>
                <w:bCs w:val="1"/>
                <w:color w:val="auto"/>
              </w:rPr>
              <w:t>Reported as</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Money market funds</w:t>
            </w: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8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8"/>
              </w:rPr>
              <w:t>Cash and cash equivalents</w:t>
            </w:r>
          </w:p>
        </w:tc>
        <w:tc>
          <w:tcPr>
            <w:tcW w:w="1560" w:type="dxa"/>
            <w:vAlign w:val="bottom"/>
            <w:gridSpan w:val="3"/>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w w:val="98"/>
              </w:rPr>
              <w:t>Other current assets</w:t>
            </w:r>
          </w:p>
        </w:tc>
        <w:tc>
          <w:tcPr>
            <w:tcW w:w="0" w:type="dxa"/>
            <w:vAlign w:val="bottom"/>
          </w:tcPr>
          <w:p>
            <w:pPr>
              <w:spacing w:after="0"/>
              <w:rPr>
                <w:sz w:val="1"/>
                <w:szCs w:val="1"/>
                <w:color w:val="auto"/>
              </w:rPr>
            </w:pPr>
          </w:p>
        </w:tc>
      </w:tr>
      <w:tr>
        <w:trPr>
          <w:trHeight w:val="210"/>
        </w:trPr>
        <w:tc>
          <w:tcPr>
            <w:tcW w:w="2880" w:type="dxa"/>
            <w:vAlign w:val="bottom"/>
            <w:vMerge w:val="continue"/>
          </w:tcPr>
          <w:p>
            <w:pPr>
              <w:jc w:val="right"/>
              <w:ind w:right="185"/>
              <w:spacing w:after="0" w:line="177" w:lineRule="exact"/>
              <w:rPr>
                <w:sz w:val="20"/>
                <w:szCs w:val="20"/>
                <w:color w:val="auto"/>
              </w:rPr>
            </w:pPr>
            <w:r>
              <w:rPr>
                <w:rFonts w:ascii="Times New Roman" w:cs="Times New Roman" w:eastAsia="Times New Roman" w:hAnsi="Times New Roman"/>
                <w:sz w:val="20"/>
                <w:szCs w:val="20"/>
                <w:color w:val="auto"/>
              </w:rPr>
              <w:t>. . . . . . . . . .</w:t>
            </w:r>
          </w:p>
        </w:tc>
        <w:tc>
          <w:tcPr>
            <w:tcW w:w="4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932</w:t>
            </w:r>
          </w:p>
        </w:tc>
        <w:tc>
          <w:tcPr>
            <w:tcW w:w="16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ind w:left="360"/>
              <w:spacing w:after="0" w:line="206"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ind w:left="340"/>
              <w:spacing w:after="0" w:line="206"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932</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932</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6"/>
        </w:trPr>
        <w:tc>
          <w:tcPr>
            <w:tcW w:w="2880" w:type="dxa"/>
            <w:vAlign w:val="bottom"/>
          </w:tcPr>
          <w:p>
            <w:pPr>
              <w:spacing w:after="0"/>
              <w:rPr>
                <w:sz w:val="20"/>
                <w:szCs w:val="20"/>
                <w:color w:val="auto"/>
              </w:rPr>
            </w:pPr>
            <w:r>
              <w:rPr>
                <w:rFonts w:ascii="Times New Roman" w:cs="Times New Roman" w:eastAsia="Times New Roman" w:hAnsi="Times New Roman"/>
                <w:sz w:val="20"/>
                <w:szCs w:val="20"/>
                <w:color w:val="auto"/>
              </w:rPr>
              <w:t>. . . . . . . . . . . . . . . . . . . . . .</w:t>
            </w:r>
            <w:r>
              <w:rPr>
                <w:rFonts w:ascii="Times New Roman" w:cs="Times New Roman" w:eastAsia="Times New Roman" w:hAnsi="Times New Roman"/>
                <w:sz w:val="20"/>
                <w:szCs w:val="20"/>
                <w:b w:val="1"/>
                <w:bCs w:val="1"/>
                <w:color w:val="auto"/>
              </w:rPr>
              <w:t>Total</w:t>
            </w:r>
          </w:p>
        </w:tc>
        <w:tc>
          <w:tcPr>
            <w:tcW w:w="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932</w:t>
            </w:r>
          </w:p>
        </w:tc>
        <w:tc>
          <w:tcPr>
            <w:tcW w:w="160" w:type="dxa"/>
            <w:vAlign w:val="bottom"/>
          </w:tcPr>
          <w:p>
            <w:pPr>
              <w:spacing w:after="0"/>
              <w:rPr>
                <w:sz w:val="23"/>
                <w:szCs w:val="23"/>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w:t>
            </w:r>
          </w:p>
        </w:tc>
        <w:tc>
          <w:tcPr>
            <w:tcW w:w="160" w:type="dxa"/>
            <w:vAlign w:val="bottom"/>
          </w:tcPr>
          <w:p>
            <w:pPr>
              <w:spacing w:after="0"/>
              <w:rPr>
                <w:sz w:val="23"/>
                <w:szCs w:val="2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tcPr>
          <w:p>
            <w:pPr>
              <w:ind w:left="340"/>
              <w:spacing w:after="0"/>
              <w:rPr>
                <w:sz w:val="20"/>
                <w:szCs w:val="20"/>
                <w:color w:val="auto"/>
              </w:rPr>
            </w:pPr>
            <w:r>
              <w:rPr>
                <w:rFonts w:ascii="Times New Roman" w:cs="Times New Roman" w:eastAsia="Times New Roman" w:hAnsi="Times New Roman"/>
                <w:sz w:val="20"/>
                <w:szCs w:val="20"/>
                <w:b w:val="1"/>
                <w:bCs w:val="1"/>
                <w:color w:val="auto"/>
              </w:rPr>
              <w:t>—</w:t>
            </w:r>
          </w:p>
        </w:tc>
        <w:tc>
          <w:tcPr>
            <w:tcW w:w="16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932</w:t>
            </w:r>
          </w:p>
        </w:tc>
        <w:tc>
          <w:tcPr>
            <w:tcW w:w="16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932</w:t>
            </w:r>
          </w:p>
        </w:tc>
        <w:tc>
          <w:tcPr>
            <w:tcW w:w="160" w:type="dxa"/>
            <w:vAlign w:val="bottom"/>
          </w:tcPr>
          <w:p>
            <w:pPr>
              <w:spacing w:after="0"/>
              <w:rPr>
                <w:sz w:val="23"/>
                <w:szCs w:val="2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131</w:t>
      </w:r>
    </w:p>
    <w:p>
      <w:pPr>
        <w:sectPr>
          <w:pgSz w:w="11880" w:h="15480" w:orient="portrait"/>
          <w:cols w:equalWidth="0" w:num="1">
            <w:col w:w="10800"/>
          </w:cols>
          <w:pgMar w:left="540" w:top="984" w:right="540" w:bottom="0" w:gutter="0" w:footer="0" w:header="0"/>
          <w:type w:val="continuous"/>
        </w:sectPr>
      </w:pPr>
    </w:p>
    <w:bookmarkStart w:id="135" w:name="page136"/>
    <w:bookmarkEnd w:id="135"/>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Equity Investments</w:t>
      </w:r>
    </w:p>
    <w:p>
      <w:pPr>
        <w:spacing w:after="0" w:line="2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Marketable equity securities</w:t>
      </w:r>
    </w:p>
    <w:p>
      <w:pPr>
        <w:spacing w:after="0" w:line="236"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19"/>
          <w:szCs w:val="19"/>
          <w:color w:val="auto"/>
        </w:rPr>
        <w:t>During the second quarter of 2024, we purchased marketable equity investments in the amount of $10 million,which were classified within other current assets and measured at fair value. During the fourth quarter of 2024, we sold all of the marketable equity investments. Realized gains recorded in other financial income (expense), net for the year ended December 28, 2024 amounted to $3 million.</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Non-marketable equity securities</w:t>
      </w:r>
    </w:p>
    <w:p>
      <w:pPr>
        <w:spacing w:after="0" w:line="237"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In 2024, the Company entered into a series of investment agreements with a privately held company, pursuant to which the Company agreed to purchase up to $25 million of Preferred Stock. In October 2024, the Company purchased $10 million of Preferred Stock in the privately held company. The Company’s obligation to purchase additional Preferred Stock at subsequent closings is subject to the terms of the applicable Preferred Stock investment agreements.</w:t>
      </w:r>
    </w:p>
    <w:p>
      <w:pPr>
        <w:spacing w:after="0" w:line="190" w:lineRule="exact"/>
        <w:rPr>
          <w:sz w:val="20"/>
          <w:szCs w:val="20"/>
          <w:color w:val="auto"/>
        </w:rPr>
      </w:pPr>
    </w:p>
    <w:p>
      <w:pPr>
        <w:jc w:val="both"/>
        <w:ind w:firstLine="360"/>
        <w:spacing w:after="0" w:line="263" w:lineRule="auto"/>
        <w:rPr>
          <w:sz w:val="20"/>
          <w:szCs w:val="20"/>
          <w:color w:val="auto"/>
        </w:rPr>
      </w:pPr>
      <w:r>
        <w:rPr>
          <w:rFonts w:ascii="Times New Roman" w:cs="Times New Roman" w:eastAsia="Times New Roman" w:hAnsi="Times New Roman"/>
          <w:sz w:val="19"/>
          <w:szCs w:val="19"/>
          <w:color w:val="auto"/>
        </w:rPr>
        <w:t>The investment does not provide the Company the ability to control or have significant influence over the operations of the privately held company. We have accounted for the investment using the measurement alternative because the securities are not publicly traded and do not have a readily determinable fair value. Under the measurement alternative, the equity investment is initially recorded at its cost, but the carrying value may be adjusted through earnings upon an impairment or when there is an observable price change involving the same or a similar investment with the same issuer. As of December 28, 2024, we recorded $10 million for our investment as other long-term assets. There was no impairment or other change to the value of the investment as of December 28,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CONTINGENCIES</w:t>
      </w:r>
    </w:p>
    <w:p>
      <w:pPr>
        <w:spacing w:after="0" w:line="2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U.S. Class Action</w:t>
      </w:r>
    </w:p>
    <w:p>
      <w:pPr>
        <w:spacing w:after="0" w:line="236" w:lineRule="exact"/>
        <w:rPr>
          <w:sz w:val="20"/>
          <w:szCs w:val="20"/>
          <w:color w:val="auto"/>
        </w:rPr>
      </w:pPr>
    </w:p>
    <w:p>
      <w:pPr>
        <w:jc w:val="both"/>
        <w:ind w:firstLine="361"/>
        <w:spacing w:after="0" w:line="243" w:lineRule="auto"/>
        <w:rPr>
          <w:sz w:val="20"/>
          <w:szCs w:val="20"/>
          <w:color w:val="auto"/>
        </w:rPr>
      </w:pPr>
      <w:r>
        <w:rPr>
          <w:rFonts w:ascii="Times New Roman" w:cs="Times New Roman" w:eastAsia="Times New Roman" w:hAnsi="Times New Roman"/>
          <w:sz w:val="20"/>
          <w:szCs w:val="20"/>
          <w:color w:val="auto"/>
        </w:rPr>
        <w:t>On January 16, 2024, a putative class action captioned McAuliffe v. Mobileye Global Inc., et al., 1:24-CV-00310 (S.D.N.Y.), was filed in the United States District Court for the Southern District of New York against Mobileye and certain of its current and former officers. Following the consolidation of the action with a substantively identical case, Le v. Mobileye Global Inc., et al., 1:24-CV -01390 (S.D.N.Y.), and the appointment of a lead plaintiff, an amended complaint was filed on September 13, 2024. In response to the defendants’ motion to dismiss, filed on October 25, 2024, lead plaintiff filed a second amended complaint on November 22, 2024. The second amended complaint asserts violations of Sections 10(b) and 20(a) of the Securities Exchange Act of 1934 in connection with defendants’ alleged misstatements and omissions concerning the build-up of excess inventory by certain Tier 1 Mobileye customers, and seeks unspecified damages and other relief on behalf of all persons and entities who purchased or otherwise acquired Mobileye securities between January 26, 2023 and August 8, 2024. The second amended complaint also includes claims asserted by an additional plaintiff under Sections 11 and 15 of the Securities Act of 1933 on behalf of putative purchasers of Mobileye Class A common stock offered in Mobileye’s June 5, 2023 secondary public offering. Mobileye and the individual defendants filed a motion to dismiss the second amended complaint on December 20, 2024. We intend to defend the matter vigorously. No provision was recorded in the financial statements as of December 28, 2024.</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U.S. Derivative Action</w:t>
      </w:r>
    </w:p>
    <w:p>
      <w:pPr>
        <w:spacing w:after="0" w:line="236"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On April 12, 2024, a derivative lawsuit was filed against the members of the Mobileye Board of Directors and Intel Corporation, in its capacity as Mobileye’s controlling shareholder. Mobileye was also named as a nominal defendant. The complaint principally asserts claims for breach of fiduciary duty and unjust enrichment based on alleged failures to take steps to prevent the Company from making allegedly false and misleading statements concerning the build-up of excess inventory by certain Tier 1 Mobileye customers. The complaint also asserts a claim for violation of Section 14(a) of the Securities Exchange Act of 1934 based on alleged misstatements and omissions in Mobileye’s 2023 proxy statement. The complaint seeks unspecified damages and other relief. Since May 24, 2024, the derivative action has been stayed by the court pending resolution of the anticipated motion to dismiss in the consolidated securities action.</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132</w:t>
      </w:r>
    </w:p>
    <w:p>
      <w:pPr>
        <w:sectPr>
          <w:pgSz w:w="11880" w:h="15480" w:orient="portrait"/>
          <w:cols w:equalWidth="0" w:num="1">
            <w:col w:w="10800"/>
          </w:cols>
          <w:pgMar w:left="540" w:top="984" w:right="540" w:bottom="0" w:gutter="0" w:footer="0" w:header="0"/>
          <w:type w:val="continuous"/>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0"/>
          <w:szCs w:val="20"/>
          <w:b w:val="1"/>
          <w:bCs w:val="1"/>
          <w:color w:val="auto"/>
        </w:rPr>
        <w:t>MOBILEYE GLOBAL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4"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On June 27, 2024, an additional derivative lawsuit was filed in the United States District Court for the Southern District of New York against certain members of the Mobileye Board of Directors, certain of Mobileye’s current and former officers, and Intel Corporation, in its capacity as Mobileye’s controlling shareholder. Mobileye was also named as a nominal defendant. On July 9, 2024, this derivative action was consolidated with the derivative action originally filed on April 12, 2024 and the consolidated derivative action was stayed by the court pending resolution of the anticipated motion to dismiss in the consolidated securities action. We intend to defend the derivative claims vigorously. No provision for the consolidated derivative action was recorded in the financial statements as of December 28,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SUBSEQUENT EVENTS</w:t>
      </w:r>
    </w:p>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Share-based compensation</w:t>
      </w:r>
    </w:p>
    <w:p>
      <w:pPr>
        <w:spacing w:after="0" w:line="236"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In January 2025, the Company’s Chief Executive Officer approved, pursuant to the authority delegated by the compensation committee, the issuance of restricted stock units to be issued under our 2022 Equity Incentive Plan. The total aggregate fair value of RSUs granted was $7.5 million, which constituted 476 thousand RSUs, which will vest over a service period of three years.</w:t>
      </w:r>
    </w:p>
    <w:p>
      <w:pPr>
        <w:sectPr>
          <w:pgSz w:w="11880" w:h="15480" w:orient="portrait"/>
          <w:cols w:equalWidth="0" w:num="1">
            <w:col w:w="10800"/>
          </w:cols>
          <w:pgMar w:left="540" w:top="9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133</w:t>
      </w:r>
    </w:p>
    <w:p>
      <w:pPr>
        <w:sectPr>
          <w:pgSz w:w="11880" w:h="15480" w:orient="portrait"/>
          <w:cols w:equalWidth="0" w:num="1">
            <w:col w:w="10800"/>
          </w:cols>
          <w:pgMar w:left="540" w:top="984" w:right="540" w:bottom="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Disclosure Controls and Procedures</w:t>
      </w:r>
    </w:p>
    <w:p>
      <w:pPr>
        <w:spacing w:after="0" w:line="238"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As of the end of the period covered by this report, management conducted an evaluation, under the supervision and with the participation of our Chief Executive Officer and Chief Financial Officer, of the effectiveness of our disclosure controls and procedures (as defined in Rules 13a-15(e) and 15d-15(e) under the Exchange Act. Based on this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and to ensure that information required to be disclosed by us in the reports we file or submit under the Exchange Act is accumulated and communicated to management, including our principal executive and principal financial officers, as appropriate, to allow timely decisions regarding required disclosures.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39"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There were no changes in the Company’s internal control over financial reporting that occurred during the quarter ended December 28, 2024 that have materially affected, or are reasonably likely to materially affect, our internal control over financial reporting.</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Limitations on the Effectiveness of Controls</w:t>
      </w:r>
    </w:p>
    <w:p>
      <w:pPr>
        <w:spacing w:after="0" w:line="238" w:lineRule="exact"/>
        <w:rPr>
          <w:sz w:val="20"/>
          <w:szCs w:val="20"/>
          <w:color w:val="auto"/>
        </w:rPr>
      </w:pPr>
    </w:p>
    <w:p>
      <w:pPr>
        <w:jc w:val="both"/>
        <w:ind w:firstLine="361"/>
        <w:spacing w:after="0" w:line="245" w:lineRule="auto"/>
        <w:rPr>
          <w:sz w:val="20"/>
          <w:szCs w:val="20"/>
          <w:color w:val="auto"/>
        </w:rPr>
      </w:pPr>
      <w:r>
        <w:rPr>
          <w:rFonts w:ascii="Times New Roman" w:cs="Times New Roman" w:eastAsia="Times New Roman" w:hAnsi="Times New Roman"/>
          <w:sz w:val="20"/>
          <w:szCs w:val="20"/>
          <w:color w:val="auto"/>
        </w:rPr>
        <w:t>Our disclosure controls and procedures and internal control over financial reporting are designed to provide reasonable assurance of achieving their objectives as specified above. Because of its inherent limitations, disclosure controls and procedures and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 control system, no matter how well conceived and operated, can provide only reasonable, not absolute, assurance that the objectives of the control system will be attained. Further, no evaluation of controls can provide absolute assurance that misstatements due to error or fraud will not occur or that all control issues and instances of fraud, if any, within the Company have been detected.</w:t>
      </w: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Management’s Report on Internal Control over Financial Reporting</w:t>
      </w:r>
    </w:p>
    <w:p>
      <w:pPr>
        <w:spacing w:after="0" w:line="23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US GAAP.</w:t>
      </w:r>
    </w:p>
    <w:p>
      <w:pPr>
        <w:spacing w:after="0" w:line="18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Management assessed our internal control over financial reporting as of December 28, 2024. Management based its assessment on criteria established in Internal Control-Integrated Framework issued by the Committee of Sponsoring Organizations of the Treadway Commission (2013 framework). Management’s assessment included evaluation of elements such as the design and operating effectiveness of key financial reporting controls, process documentation, accounting policies, and our overall control environment.</w:t>
      </w:r>
    </w:p>
    <w:p>
      <w:pPr>
        <w:spacing w:after="0" w:line="19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20"/>
          <w:szCs w:val="20"/>
          <w:color w:val="auto"/>
        </w:rPr>
        <w:t>Based on this assessment, management has concluded that our internal control over financial reporting was effective as of December 28, 2024 to provide reasonable assurance regarding the reliability of financial reporting and the preparation of consolidated financial statements for external reporting purposes in accordance with US GAAP. We reviewed the results of management’s assessment with the Audit Committee of our Board of Directors.</w:t>
      </w:r>
    </w:p>
    <w:p>
      <w:pPr>
        <w:spacing w:after="0" w:line="190"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The effectiveness of the Company’s internal control over financial reporting as of December 28, 2024 has been audited by Kesselman &amp; Kesselman, Certified Public Accountants (Isr.), a member firm of PricewaterhouseCoopers International Limited, an independent registered public accounting firm, as stated in their report which appears herein.</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134</w:t>
      </w:r>
    </w:p>
    <w:p>
      <w:pPr>
        <w:sectPr>
          <w:pgSz w:w="11880" w:h="15480" w:orient="portrait"/>
          <w:cols w:equalWidth="0" w:num="1">
            <w:col w:w="10800"/>
          </w:cols>
          <w:pgMar w:left="540" w:top="1345" w:right="540" w:bottom="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42"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During the three months ended December 28, 2024, none of our directors or executive officers adopted or terminated any contract, instruction or written plan for the purchase or sale of Mobileye securities that was intended to satisfy the affirmative defense conditions of Rule 10b5-1(c) or any “non-Rule 10b5-1” trading arrangement. Further, during the three months ended December 28, 2024, the Company did not adopt or terminate any contract, instruction or written plan for the purchase or sale of Mobileye securities that was intended to satisfy the affirmative defense conditions of Rule 10b5-1(c) or any “non-Rule 10b5-1 ”trading arrangement.”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135</w:t>
      </w:r>
    </w:p>
    <w:p>
      <w:pPr>
        <w:sectPr>
          <w:pgSz w:w="11880" w:h="15480" w:orient="portrait"/>
          <w:cols w:equalWidth="0" w:num="1">
            <w:col w:w="10800"/>
          </w:cols>
          <w:pgMar w:left="540" w:top="1345" w:right="540" w:bottom="0" w:gutter="0" w:footer="0" w:header="0"/>
          <w:type w:val="continuous"/>
        </w:sectPr>
      </w:pPr>
    </w:p>
    <w:bookmarkStart w:id="139" w:name="page140"/>
    <w:bookmarkEnd w:id="139"/>
    <w:p>
      <w:pPr>
        <w:jc w:val="right"/>
        <w:ind w:right="506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9" w:lineRule="exact"/>
        <w:rPr>
          <w:sz w:val="20"/>
          <w:szCs w:val="20"/>
          <w:color w:val="auto"/>
        </w:rPr>
      </w:pPr>
    </w:p>
    <w:p>
      <w:pPr>
        <w:jc w:val="right"/>
        <w:ind w:right="5140"/>
        <w:spacing w:after="0"/>
        <w:rPr>
          <w:sz w:val="20"/>
          <w:szCs w:val="20"/>
          <w:color w:val="auto"/>
        </w:rPr>
      </w:pPr>
      <w:r>
        <w:rPr>
          <w:rFonts w:ascii="Times New Roman" w:cs="Times New Roman" w:eastAsia="Times New Roman" w:hAnsi="Times New Roman"/>
          <w:sz w:val="19"/>
          <w:szCs w:val="19"/>
          <w:b w:val="1"/>
          <w:bCs w:val="1"/>
          <w:color w:val="auto"/>
        </w:rPr>
        <w:t>Item 10. Directors, Executive Officers and Corporate Governance.</w:t>
      </w:r>
    </w:p>
    <w:p>
      <w:pPr>
        <w:spacing w:after="0" w:line="255"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information required to be disclosed by this item is incorporated herein by reference to the 2025 Proxy Statement, which we expect to file with the SEC within 120 days after the end of our fiscal year ended December 28, 2024.</w:t>
      </w:r>
    </w:p>
    <w:p>
      <w:pPr>
        <w:spacing w:after="0" w:line="163" w:lineRule="exact"/>
        <w:rPr>
          <w:sz w:val="20"/>
          <w:szCs w:val="20"/>
          <w:color w:val="auto"/>
        </w:rPr>
      </w:pPr>
    </w:p>
    <w:p>
      <w:pPr>
        <w:jc w:val="both"/>
        <w:ind w:firstLine="361"/>
        <w:spacing w:after="0" w:line="253" w:lineRule="auto"/>
        <w:rPr>
          <w:sz w:val="20"/>
          <w:szCs w:val="20"/>
          <w:color w:val="auto"/>
        </w:rPr>
      </w:pPr>
      <w:r>
        <w:rPr>
          <w:rFonts w:ascii="Times New Roman" w:cs="Times New Roman" w:eastAsia="Times New Roman" w:hAnsi="Times New Roman"/>
          <w:sz w:val="20"/>
          <w:szCs w:val="20"/>
          <w:color w:val="auto"/>
        </w:rPr>
        <w:t>We maintain insider trading policies and procedures governing the purchase, sale, and/or other dispositions of our company’s securities by directors, officers, and employees that we believe are reasonably designed to promote compliance with insider trading laws, rules, and regulations, as well as Nasdaq listing standards. A copy of our insider trading policy is filed as exhibit 19.1 to our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information required to be disclosed by this item is incorporated herein by reference to the 2025 Proxy Statement, which we expect to file with the SEC within 120 days after the end of our fiscal year ended December 28,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information required to be disclosed by this item is incorporated herein by reference to the 2025 Proxy Statement, which we expect to file with the SEC within 120 days after the end of our fiscal year ended December 28,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information required to be disclosed by this item is incorporated herein by reference to the 2025 Proxy Statement, which we expect to file with the SEC within 120 days after the end of our fiscal year ended December 28,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42" w:lineRule="exact"/>
        <w:rPr>
          <w:sz w:val="20"/>
          <w:szCs w:val="20"/>
          <w:color w:val="auto"/>
        </w:rPr>
      </w:pPr>
    </w:p>
    <w:p>
      <w:pPr>
        <w:jc w:val="both"/>
        <w:ind w:firstLine="360"/>
        <w:spacing w:after="0" w:line="280" w:lineRule="auto"/>
        <w:rPr>
          <w:sz w:val="20"/>
          <w:szCs w:val="20"/>
          <w:color w:val="auto"/>
        </w:rPr>
      </w:pPr>
      <w:r>
        <w:rPr>
          <w:rFonts w:ascii="Times New Roman" w:cs="Times New Roman" w:eastAsia="Times New Roman" w:hAnsi="Times New Roman"/>
          <w:sz w:val="20"/>
          <w:szCs w:val="20"/>
          <w:color w:val="auto"/>
        </w:rPr>
        <w:t>The information required to be disclosed by this item is incorporated herein by reference to the 2025 Proxy Statement, which we expect to file with the SEC within 120 days after the end of our fiscal year ended December 28, 2024.</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136</w:t>
      </w:r>
    </w:p>
    <w:p>
      <w:pPr>
        <w:sectPr>
          <w:pgSz w:w="11880" w:h="15480" w:orient="portrait"/>
          <w:cols w:equalWidth="0" w:num="1">
            <w:col w:w="10800"/>
          </w:cols>
          <w:pgMar w:left="540" w:top="1345" w:right="540" w:bottom="0" w:gutter="0" w:footer="0" w:header="0"/>
          <w:type w:val="continuous"/>
        </w:sectPr>
      </w:pPr>
    </w:p>
    <w:bookmarkStart w:id="140" w:name="page141"/>
    <w:bookmarkEnd w:id="140"/>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The following documents are filed as a part of this report:</w:t>
      </w:r>
    </w:p>
    <w:p>
      <w:pPr>
        <w:spacing w:after="0" w:line="240" w:lineRule="exact"/>
        <w:rPr>
          <w:sz w:val="20"/>
          <w:szCs w:val="20"/>
          <w:color w:val="auto"/>
        </w:rPr>
      </w:pPr>
    </w:p>
    <w:p>
      <w:pPr>
        <w:ind w:left="640" w:hanging="280"/>
        <w:spacing w:after="0"/>
        <w:tabs>
          <w:tab w:leader="none" w:pos="6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 See Part II, Item 8. “Financial Statements and Supplementary Data” of this report.</w:t>
      </w:r>
    </w:p>
    <w:p>
      <w:pPr>
        <w:spacing w:after="0" w:line="239" w:lineRule="exact"/>
        <w:rPr>
          <w:rFonts w:ascii="Times New Roman" w:cs="Times New Roman" w:eastAsia="Times New Roman" w:hAnsi="Times New Roman"/>
          <w:sz w:val="20"/>
          <w:szCs w:val="20"/>
          <w:color w:val="auto"/>
        </w:rPr>
      </w:pPr>
    </w:p>
    <w:p>
      <w:pPr>
        <w:ind w:firstLine="360"/>
        <w:spacing w:after="0" w:line="280" w:lineRule="auto"/>
        <w:tabs>
          <w:tab w:leader="none" w:pos="64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 All financial statement schedules are omitted because they are not applicable or the required information is shown in the financial statements or the notes thereto.</w:t>
      </w:r>
    </w:p>
    <w:p>
      <w:pPr>
        <w:spacing w:after="0" w:line="162" w:lineRule="exact"/>
        <w:rPr>
          <w:rFonts w:ascii="Times New Roman" w:cs="Times New Roman" w:eastAsia="Times New Roman" w:hAnsi="Times New Roman"/>
          <w:sz w:val="20"/>
          <w:szCs w:val="20"/>
          <w:color w:val="auto"/>
        </w:rPr>
      </w:pPr>
    </w:p>
    <w:p>
      <w:pPr>
        <w:ind w:firstLine="360"/>
        <w:spacing w:after="0" w:line="280" w:lineRule="auto"/>
        <w:tabs>
          <w:tab w:leader="none" w:pos="64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 The following is a list of exhibits filed or furnished as part of this report or incorporated by reference herein to exhibits previously filed with the Securities and Exchange Commission.</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137</w:t>
      </w:r>
    </w:p>
    <w:p>
      <w:pPr>
        <w:sectPr>
          <w:pgSz w:w="11880" w:h="15480" w:orient="portrait"/>
          <w:cols w:equalWidth="0" w:num="1">
            <w:col w:w="10800"/>
          </w:cols>
          <w:pgMar w:left="540" w:top="1345" w:right="540" w:bottom="0"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184"/>
        </w:trPr>
        <w:tc>
          <w:tcPr>
            <w:tcW w:w="9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80" w:type="dxa"/>
            <w:vAlign w:val="bottom"/>
          </w:tcPr>
          <w:p>
            <w:pPr>
              <w:spacing w:after="0"/>
              <w:rPr>
                <w:sz w:val="16"/>
                <w:szCs w:val="16"/>
                <w:color w:val="auto"/>
              </w:rPr>
            </w:pPr>
          </w:p>
        </w:tc>
        <w:tc>
          <w:tcPr>
            <w:tcW w:w="9540" w:type="dxa"/>
            <w:vAlign w:val="bottom"/>
          </w:tcPr>
          <w:p>
            <w:pPr>
              <w:spacing w:after="0"/>
              <w:rPr>
                <w:sz w:val="16"/>
                <w:szCs w:val="16"/>
                <w:color w:val="auto"/>
              </w:rPr>
            </w:pPr>
          </w:p>
        </w:tc>
      </w:tr>
      <w:tr>
        <w:trPr>
          <w:trHeight w:val="203"/>
        </w:trPr>
        <w:tc>
          <w:tcPr>
            <w:tcW w:w="9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No.</w:t>
            </w:r>
          </w:p>
        </w:tc>
        <w:tc>
          <w:tcPr>
            <w:tcW w:w="280" w:type="dxa"/>
            <w:vAlign w:val="bottom"/>
          </w:tcPr>
          <w:p>
            <w:pPr>
              <w:spacing w:after="0"/>
              <w:rPr>
                <w:sz w:val="17"/>
                <w:szCs w:val="17"/>
                <w:color w:val="auto"/>
              </w:rPr>
            </w:pPr>
          </w:p>
        </w:tc>
        <w:tc>
          <w:tcPr>
            <w:tcW w:w="9540" w:type="dxa"/>
            <w:vAlign w:val="bottom"/>
            <w:tcBorders>
              <w:bottom w:val="single" w:sz="8" w:color="auto"/>
            </w:tcBorders>
          </w:tcPr>
          <w:p>
            <w:pPr>
              <w:ind w:left="43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9"/>
        </w:trPr>
        <w:tc>
          <w:tcPr>
            <w:tcW w:w="980" w:type="dxa"/>
            <w:vAlign w:val="bottom"/>
          </w:tcPr>
          <w:p>
            <w:pPr>
              <w:spacing w:after="0" w:line="199" w:lineRule="exact"/>
              <w:rPr>
                <w:sz w:val="20"/>
                <w:szCs w:val="20"/>
                <w:color w:val="auto"/>
              </w:rPr>
            </w:pPr>
            <w:r>
              <w:rPr>
                <w:rFonts w:ascii="Times New Roman" w:cs="Times New Roman" w:eastAsia="Times New Roman" w:hAnsi="Times New Roman"/>
                <w:sz w:val="20"/>
                <w:szCs w:val="20"/>
                <w:color w:val="auto"/>
              </w:rPr>
              <w:t>3.1</w:t>
            </w:r>
          </w:p>
        </w:tc>
        <w:tc>
          <w:tcPr>
            <w:tcW w:w="280" w:type="dxa"/>
            <w:vAlign w:val="bottom"/>
          </w:tcPr>
          <w:p>
            <w:pPr>
              <w:spacing w:after="0"/>
              <w:rPr>
                <w:sz w:val="17"/>
                <w:szCs w:val="17"/>
                <w:color w:val="auto"/>
              </w:rPr>
            </w:pPr>
          </w:p>
        </w:tc>
        <w:tc>
          <w:tcPr>
            <w:tcW w:w="9540" w:type="dxa"/>
            <w:vAlign w:val="bottom"/>
          </w:tcPr>
          <w:p>
            <w:pPr>
              <w:spacing w:after="0" w:line="199" w:lineRule="exact"/>
              <w:rPr>
                <w:sz w:val="20"/>
                <w:szCs w:val="20"/>
                <w:color w:val="auto"/>
              </w:rPr>
            </w:pPr>
            <w:r>
              <w:rPr>
                <w:rFonts w:ascii="Times New Roman" w:cs="Times New Roman" w:eastAsia="Times New Roman" w:hAnsi="Times New Roman"/>
                <w:sz w:val="20"/>
                <w:szCs w:val="20"/>
                <w:color w:val="auto"/>
              </w:rPr>
              <w:t>Amended and Restated Certificate of Incorporation of the Registrant (incorporated by reference to Exhibit 3.1 to the</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Company’s Form 8-K filed on October 28, 2022)</w:t>
            </w:r>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98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w w:val="99"/>
              </w:rPr>
              <w:t>Amended and Restated Bylaws of the Registrant (incorporated by reference to Exhibit 3.2 to the Company’s Form 8-K</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filed on October 28, 2022)</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Description of Securities Registered Pursuant to Section 12 of the Securities Exchange Act of 1934, As Amended</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4.1 to the Company’s Form 10-K filed on March 9, 2023)</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98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Form of Director and Officer Indemnification Agreement (incorporated by reference to Exhibit 10.1 to Amendment</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No. 1 to the Company’s registration statement on Form S-1 filed on October 18, 2022)</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98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Master Transaction Agreement between the Registrant and Intel Corporation, dated as of October 25, 2022</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10.2 to the Company’s Form 10-K filed on March 9, 2023)</w:t>
            </w:r>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28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Administrative Services Agreement between the Registrant and Intel Corporation, dated as of October 25, 2022</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10.3 to the Company’s Form 10-K filed on March 9, 2023)</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8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Employee Matters Agreement between the Registrant and Intel Corporation, dated as of October 25, 2022</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10.4 to the Company’s Form 10-K filed on March 9, 2023)</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98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Technology and Services Agreement between the Registrant and Intel Corporation, dated as of October 25, 2022</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10.5 to the Company’s Form 10-K filed on March 9, 2023)</w:t>
            </w:r>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98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Amended and Restated Tax Sharing Agreement between the Registrant and Intel Corporation, dated as of August 14,</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2024 (incorporated by reference to Exhibit 10.7 to the Company’s Form 10-Q filed on October 31, 2024)</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98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Contribution and Subscription Agreement among the Registrant, Cyclops Holding Corporation and Intel Overseas</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Funding Corporation, dated as of October 25, 2022</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Mobileye Global Inc. 2022 Equity Incentive Plan (incorporated by reference to Exhibit 10.9 to Amendment No. 1 to</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the Company’s registration statement on Form S-1 filed on October 18, 2022)</w:t>
            </w:r>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98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Form of Restricted Stock Unit Agreement (as amended on May 16, 2024)</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Form of Option Agreement (incorporated by reference to Exhibit 10.11 to Amendment No. 1 to the Company’s</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statement on Form S-1 filed on October 18, 2022)</w:t>
            </w:r>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28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between the Registrant and Amnon Shashua, dated July 24, 2014 (incorporated by reference</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w w:val="99"/>
              </w:rPr>
              <w:t>to Exhibit 10.12 to Amendment No. 1 to the Company’s registration statement on Form S-1 filed on October 18, 2022)</w:t>
            </w:r>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98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Employment Letter Agreement between Amnon Shashua and Intel, dated June 1, 2022 (incorporated by reference to</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Exhibit 10.13 to Amendment No. 1 to the Company’s registration statement on Form S-1 filed on October 18, 2022)</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between the Registrant and Boaz Ouriel, dated as of April 1, 2022</w:t>
            </w:r>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28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between the Registrant and Gavriel Hayon, dated August 1, 1999 (incorporated by reference</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w w:val="99"/>
              </w:rPr>
              <w:t>to Exhibit 10.16 to Amendment No. 1 to the Company’s registration statement on Form S-1 filed on October 18, 2022)</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98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Employment Agreement between the Registrant and Shai Shalev-Shwartz, dated August 2, 2010 (incorporated by</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10.17 to Amendment No. 1 to the Company’s registration statement on Form S-1 filed on</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October 18, 2022)</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between the Registrant and Nimrod Nehushtan, dated May 2, 2017 (incorporated by</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10.18 to the Company’s Form 10-K filed on March 9, 2023)</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98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Stock Compensation Recharge Agreement, dated August 8, 2017, between Mobileye B.V. and its subsidiaries, on the</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one hand, and Intel, on the other hand (incorporated by reference to Exhibit 10.18 to Amendment No. 1 to the</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Company’s registration statement on Form S-1 filed on October 18, 2022)</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98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Loan Agreement, dated April 21, 2022, between Cyclops Holdings Corporation and Intel Overseas Funding</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Corporation. (incorporated by reference to Exhibit 10.19 to Amendment No. 19 to the Company’s registration</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statement on Form S-1 filed on October 18, 2022)</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98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Memorandum of Understanding, dated October 17, 2006, between STMicroelectronics N.V. and Mobileye</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w w:val="99"/>
              </w:rPr>
              <w:t>Technologies Limited, as amended (incorporated by reference to Exhibit 10.20 to Amendment No. 1 to the Company’s</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statement on Form S-1 filed on October 18, 2022)</w:t>
            </w: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98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Agreement between Intel Corporation and Intel Subsidiaries, dated August 8, 2017, between Mobileye B.V. and its</w:t>
            </w:r>
          </w:p>
        </w:tc>
      </w:tr>
      <w:tr>
        <w:trPr>
          <w:trHeight w:val="229"/>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subsidiaries, on the one hand, and Intel, on the other hand, which we refer to herein as the Cross-License Agreement</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10.21 to Amendment No. 1 to the Company’s registration statement on Form S-1</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filed on October 18, 2022)</w:t>
            </w:r>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98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Share &amp; Note Sale and Purchase Agreement, dated May 31, 2022, between Intel Finance B.V. and Mobileye B.V.</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10.22 to Amendment No. 1 to the Company’s registration statement on Form S-1</w:t>
            </w:r>
          </w:p>
        </w:tc>
      </w:tr>
      <w:tr>
        <w:trPr>
          <w:trHeight w:val="230"/>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20"/>
                <w:szCs w:val="20"/>
                <w:color w:val="auto"/>
              </w:rPr>
              <w:t>filed on October 18, 2022)</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982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Securities Trading Policy adopted on March 16, 2023</w:t>
            </w:r>
          </w:p>
        </w:tc>
      </w:tr>
    </w:tbl>
    <w:p>
      <w:pPr>
        <w:spacing w:after="0" w:line="200" w:lineRule="exact"/>
        <w:rPr>
          <w:sz w:val="20"/>
          <w:szCs w:val="20"/>
          <w:color w:val="auto"/>
        </w:rPr>
      </w:pPr>
    </w:p>
    <w:p>
      <w:pPr>
        <w:sectPr>
          <w:pgSz w:w="11880" w:h="15480" w:orient="portrait"/>
          <w:cols w:equalWidth="0" w:num="1">
            <w:col w:w="10800"/>
          </w:cols>
          <w:pgMar w:left="540" w:top="1350" w:right="540" w:bottom="0" w:gutter="0" w:footer="0" w:header="0"/>
        </w:sect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138</w:t>
      </w:r>
    </w:p>
    <w:p>
      <w:pPr>
        <w:sectPr>
          <w:pgSz w:w="11880" w:h="15480" w:orient="portrait"/>
          <w:cols w:equalWidth="0" w:num="1">
            <w:col w:w="10800"/>
          </w:cols>
          <w:pgMar w:left="540" w:top="1350" w:right="540" w:bottom="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9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List of Subsidiaries of the Registrant</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9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Consent of Kesselman &amp; Kesselman, Certified Public Accountants (Isr.), a member firm of PricewaterhouseCoopers</w:t>
            </w:r>
          </w:p>
        </w:tc>
      </w:tr>
      <w:tr>
        <w:trPr>
          <w:trHeight w:val="229"/>
        </w:trPr>
        <w:tc>
          <w:tcPr>
            <w:tcW w:w="860" w:type="dxa"/>
            <w:vAlign w:val="bottom"/>
          </w:tcPr>
          <w:p>
            <w:pPr>
              <w:spacing w:after="0"/>
              <w:rPr>
                <w:sz w:val="19"/>
                <w:szCs w:val="19"/>
                <w:color w:val="auto"/>
              </w:rPr>
            </w:pPr>
          </w:p>
        </w:tc>
        <w:tc>
          <w:tcPr>
            <w:tcW w:w="9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International Limited, an independent registered public accounting firm.</w:t>
            </w: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9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Certification of Chief Executive Officer pursuant to Section 302 of the Sarbanes-Oxley Act of 2002.</w:t>
            </w:r>
          </w:p>
        </w:tc>
      </w:tr>
      <w:tr>
        <w:trPr>
          <w:trHeight w:val="27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9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Certification of Chief Financial Officer pursuant to Section 302 of the Sarbanes-Oxley Act of 2002.</w:t>
            </w:r>
          </w:p>
        </w:tc>
      </w:tr>
      <w:tr>
        <w:trPr>
          <w:trHeight w:val="27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9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Certification of Chief Executive Officer pursuant to Section 906 of the Sarbanes-Oxley Act of 2002.</w:t>
            </w:r>
          </w:p>
        </w:tc>
      </w:tr>
      <w:tr>
        <w:trPr>
          <w:trHeight w:val="276"/>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9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Certification of Chief Financial Officer pursuant to Section 906 of the Sarbanes-Oxley Act of 2002.</w:t>
            </w:r>
          </w:p>
        </w:tc>
      </w:tr>
      <w:tr>
        <w:trPr>
          <w:trHeight w:val="237"/>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97</w:t>
            </w:r>
          </w:p>
        </w:tc>
        <w:tc>
          <w:tcPr>
            <w:tcW w:w="9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Policy Relating to Recovery of Erroneously Awarded Compensation (incorporated by reference to Exhibit 97 to the</w:t>
            </w:r>
          </w:p>
        </w:tc>
      </w:tr>
      <w:tr>
        <w:trPr>
          <w:trHeight w:val="229"/>
        </w:trPr>
        <w:tc>
          <w:tcPr>
            <w:tcW w:w="860" w:type="dxa"/>
            <w:vAlign w:val="bottom"/>
          </w:tcPr>
          <w:p>
            <w:pPr>
              <w:spacing w:after="0"/>
              <w:rPr>
                <w:sz w:val="19"/>
                <w:szCs w:val="19"/>
                <w:color w:val="auto"/>
              </w:rPr>
            </w:pPr>
          </w:p>
        </w:tc>
        <w:tc>
          <w:tcPr>
            <w:tcW w:w="9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Company’s Form 10-K filed on February 23, 2024)</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9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The following financial statements from Mobileye Global Inc.’s Annual Report on Form 10-K for the year ended</w:t>
            </w:r>
          </w:p>
        </w:tc>
      </w:tr>
      <w:tr>
        <w:trPr>
          <w:trHeight w:val="230"/>
        </w:trPr>
        <w:tc>
          <w:tcPr>
            <w:tcW w:w="860" w:type="dxa"/>
            <w:vAlign w:val="bottom"/>
          </w:tcPr>
          <w:p>
            <w:pPr>
              <w:spacing w:after="0"/>
              <w:rPr>
                <w:sz w:val="20"/>
                <w:szCs w:val="20"/>
                <w:color w:val="auto"/>
              </w:rPr>
            </w:pPr>
          </w:p>
        </w:tc>
        <w:tc>
          <w:tcPr>
            <w:tcW w:w="9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December 28, 2024, filed with the Securities and Exchange Commission on February 13, 2025 formatted in iXBRL</w:t>
            </w:r>
          </w:p>
        </w:tc>
      </w:tr>
      <w:tr>
        <w:trPr>
          <w:trHeight w:val="229"/>
        </w:trPr>
        <w:tc>
          <w:tcPr>
            <w:tcW w:w="860" w:type="dxa"/>
            <w:vAlign w:val="bottom"/>
          </w:tcPr>
          <w:p>
            <w:pPr>
              <w:spacing w:after="0"/>
              <w:rPr>
                <w:sz w:val="19"/>
                <w:szCs w:val="19"/>
                <w:color w:val="auto"/>
              </w:rPr>
            </w:pPr>
          </w:p>
        </w:tc>
        <w:tc>
          <w:tcPr>
            <w:tcW w:w="9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(Inline eXtensible Business Reporting Language): (i) the Consolidated Balance Sheets, (ii) the Consolidated</w:t>
            </w:r>
          </w:p>
        </w:tc>
      </w:tr>
      <w:tr>
        <w:trPr>
          <w:trHeight w:val="230"/>
        </w:trPr>
        <w:tc>
          <w:tcPr>
            <w:tcW w:w="860" w:type="dxa"/>
            <w:vAlign w:val="bottom"/>
          </w:tcPr>
          <w:p>
            <w:pPr>
              <w:spacing w:after="0"/>
              <w:rPr>
                <w:sz w:val="20"/>
                <w:szCs w:val="20"/>
                <w:color w:val="auto"/>
              </w:rPr>
            </w:pPr>
          </w:p>
        </w:tc>
        <w:tc>
          <w:tcPr>
            <w:tcW w:w="978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99"/>
              </w:rPr>
              <w:t>Statements of Operations and Comprehensive Income (Loss), (iii) the Consolidated Statements of Changes in Equity,</w:t>
            </w:r>
          </w:p>
        </w:tc>
      </w:tr>
      <w:tr>
        <w:trPr>
          <w:trHeight w:val="230"/>
        </w:trPr>
        <w:tc>
          <w:tcPr>
            <w:tcW w:w="860" w:type="dxa"/>
            <w:vAlign w:val="bottom"/>
          </w:tcPr>
          <w:p>
            <w:pPr>
              <w:spacing w:after="0"/>
              <w:rPr>
                <w:sz w:val="20"/>
                <w:szCs w:val="20"/>
                <w:color w:val="auto"/>
              </w:rPr>
            </w:pPr>
          </w:p>
        </w:tc>
        <w:tc>
          <w:tcPr>
            <w:tcW w:w="9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(iv) the Consolidated Statements of Cash Flows, and (v) the Notes to Consolidated Financial Statements.</w:t>
            </w:r>
          </w:p>
        </w:tc>
      </w:tr>
      <w:tr>
        <w:trPr>
          <w:trHeight w:val="26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Cover Page Interactive Data File (embedded with the Inline XBRL document)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168275</wp:posOffset>
                </wp:positionV>
                <wp:extent cx="171386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3.25pt" to="134.9pt,13.25pt" o:allowincell="f" strokecolor="#000000" strokeweight="1.0199pt"/>
            </w:pict>
          </mc:Fallback>
        </mc:AlternateContent>
      </w:r>
    </w:p>
    <w:p>
      <w:pPr>
        <w:spacing w:after="0" w:line="286" w:lineRule="exact"/>
        <w:rPr>
          <w:sz w:val="20"/>
          <w:szCs w:val="20"/>
          <w:color w:val="auto"/>
        </w:rPr>
      </w:pPr>
    </w:p>
    <w:p>
      <w:pPr>
        <w:ind w:left="360" w:hanging="360"/>
        <w:spacing w:after="0"/>
        <w:tabs>
          <w:tab w:leader="none" w:pos="3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or furnished herewith.</w:t>
      </w:r>
    </w:p>
    <w:p>
      <w:pPr>
        <w:ind w:left="360" w:hanging="360"/>
        <w:spacing w:after="0"/>
        <w:tabs>
          <w:tab w:leader="none" w:pos="3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or compensatory plan or arrangement.</w:t>
      </w:r>
    </w:p>
    <w:p>
      <w:pPr>
        <w:ind w:left="360" w:hanging="360"/>
        <w:spacing w:after="0" w:line="280" w:lineRule="auto"/>
        <w:tabs>
          <w:tab w:leader="none" w:pos="3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schedules and exhibits have been omitted pursuant to Item 601(a)(5) of Regulation S-K. The Registrant agrees to furnish supplementally a copy of any omitted schedule or exhibit to the SEC upon its request.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139</w:t>
      </w:r>
    </w:p>
    <w:p>
      <w:pPr>
        <w:sectPr>
          <w:pgSz w:w="11880" w:h="15480" w:orient="portrait"/>
          <w:cols w:equalWidth="0" w:num="1">
            <w:col w:w="10800"/>
          </w:cols>
          <w:pgMar w:left="540" w:top="1347" w:right="540" w:bottom="0" w:gutter="0" w:footer="0" w:header="0"/>
          <w:type w:val="continuous"/>
        </w:sectPr>
      </w:pPr>
    </w:p>
    <w:bookmarkStart w:id="143" w:name="page144"/>
    <w:bookmarkEnd w:id="143"/>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3"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Mobileye Global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Professor Amnon Shashua</w:t>
      </w:r>
    </w:p>
    <w:tbl>
      <w:tblPr>
        <w:tblLayout w:type="fixed"/>
        <w:tblInd w:w="360" w:type="dxa"/>
        <w:tblCellMar>
          <w:top w:w="0" w:type="dxa"/>
          <w:left w:w="0" w:type="dxa"/>
          <w:bottom w:w="0" w:type="dxa"/>
          <w:right w:w="0" w:type="dxa"/>
        </w:tblCellMar>
      </w:tblPr>
      <w:tr>
        <w:trPr>
          <w:trHeight w:val="219"/>
        </w:trPr>
        <w:tc>
          <w:tcPr>
            <w:tcW w:w="680" w:type="dxa"/>
            <w:vAlign w:val="bottom"/>
            <w:tcBorders>
              <w:top w:val="single" w:sz="8" w:color="auto"/>
            </w:tcBorders>
          </w:tcPr>
          <w:p>
            <w:pPr>
              <w:spacing w:after="0" w:line="219" w:lineRule="exact"/>
              <w:rPr>
                <w:sz w:val="20"/>
                <w:szCs w:val="20"/>
                <w:color w:val="auto"/>
              </w:rPr>
            </w:pPr>
            <w:r>
              <w:rPr>
                <w:rFonts w:ascii="Times New Roman" w:cs="Times New Roman" w:eastAsia="Times New Roman" w:hAnsi="Times New Roman"/>
                <w:sz w:val="20"/>
                <w:szCs w:val="20"/>
                <w:color w:val="auto"/>
              </w:rPr>
              <w:t>Name:</w:t>
            </w:r>
          </w:p>
        </w:tc>
        <w:tc>
          <w:tcPr>
            <w:tcW w:w="4900" w:type="dxa"/>
            <w:vAlign w:val="bottom"/>
            <w:tcBorders>
              <w:top w:val="single" w:sz="8" w:color="auto"/>
            </w:tcBorders>
          </w:tcPr>
          <w:p>
            <w:pPr>
              <w:ind w:left="140"/>
              <w:spacing w:after="0" w:line="219" w:lineRule="exact"/>
              <w:rPr>
                <w:sz w:val="20"/>
                <w:szCs w:val="20"/>
                <w:color w:val="auto"/>
              </w:rPr>
            </w:pPr>
            <w:r>
              <w:rPr>
                <w:rFonts w:ascii="Times New Roman" w:cs="Times New Roman" w:eastAsia="Times New Roman" w:hAnsi="Times New Roman"/>
                <w:sz w:val="20"/>
                <w:szCs w:val="20"/>
                <w:color w:val="auto"/>
              </w:rPr>
              <w:t>Professor Amnon Shashua</w:t>
            </w:r>
          </w:p>
        </w:tc>
      </w:tr>
      <w:tr>
        <w:trPr>
          <w:trHeight w:val="230"/>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Chief Executive Officer and President</w:t>
            </w:r>
          </w:p>
        </w:tc>
      </w:tr>
      <w:tr>
        <w:trPr>
          <w:trHeight w:val="268"/>
        </w:trPr>
        <w:tc>
          <w:tcPr>
            <w:tcW w:w="680" w:type="dxa"/>
            <w:vAlign w:val="bottom"/>
          </w:tcPr>
          <w:p>
            <w:pPr>
              <w:spacing w:after="0"/>
              <w:rPr>
                <w:sz w:val="23"/>
                <w:szCs w:val="23"/>
                <w:color w:val="auto"/>
              </w:rPr>
            </w:pPr>
          </w:p>
        </w:tc>
        <w:tc>
          <w:tcPr>
            <w:tcW w:w="49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(As Principal Executive Officer)</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Moran Shemesh Rojansky</w:t>
      </w:r>
    </w:p>
    <w:p>
      <w:pPr>
        <w:spacing w:after="0" w:line="9" w:lineRule="exact"/>
        <w:rPr>
          <w:sz w:val="20"/>
          <w:szCs w:val="20"/>
          <w:color w:val="auto"/>
        </w:rPr>
      </w:pPr>
    </w:p>
    <w:p>
      <w:pPr>
        <w:ind w:left="360"/>
        <w:spacing w:after="0"/>
        <w:tabs>
          <w:tab w:leader="none" w:pos="11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Moran Shemesh Rojansky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229235</wp:posOffset>
                </wp:positionH>
                <wp:positionV relativeFrom="paragraph">
                  <wp:posOffset>-134620</wp:posOffset>
                </wp:positionV>
                <wp:extent cx="353187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3187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05pt,-10.5999pt" to="296.15pt,-10.5999pt" o:allowincell="f" strokecolor="#000000" strokeweight="0.4809pt"/>
            </w:pict>
          </mc:Fallback>
        </mc:AlternateContent>
      </w:r>
    </w:p>
    <w:p>
      <w:pPr>
        <w:ind w:left="360"/>
        <w:spacing w:after="0"/>
        <w:tabs>
          <w:tab w:leader="none" w:pos="11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Financial Officer</w:t>
      </w:r>
    </w:p>
    <w:p>
      <w:pPr>
        <w:ind w:left="1180"/>
        <w:spacing w:after="0"/>
        <w:rPr>
          <w:sz w:val="20"/>
          <w:szCs w:val="20"/>
          <w:color w:val="auto"/>
        </w:rPr>
      </w:pPr>
      <w:r>
        <w:rPr>
          <w:rFonts w:ascii="Times New Roman" w:cs="Times New Roman" w:eastAsia="Times New Roman" w:hAnsi="Times New Roman"/>
          <w:sz w:val="20"/>
          <w:szCs w:val="20"/>
          <w:color w:val="auto"/>
        </w:rPr>
        <w:t>(As Principal Financial and Accounting Officer)</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Date: February 13, 2025</w:t>
      </w:r>
    </w:p>
    <w:p>
      <w:pPr>
        <w:spacing w:after="0" w:line="240"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320" w:type="dxa"/>
            <w:vAlign w:val="bottom"/>
          </w:tcPr>
          <w:p>
            <w:pPr>
              <w:spacing w:after="0"/>
              <w:rPr>
                <w:sz w:val="22"/>
                <w:szCs w:val="22"/>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w:t>
            </w:r>
          </w:p>
        </w:tc>
        <w:tc>
          <w:tcPr>
            <w:tcW w:w="320" w:type="dxa"/>
            <w:vAlign w:val="bottom"/>
          </w:tcPr>
          <w:p>
            <w:pPr>
              <w:spacing w:after="0"/>
              <w:rPr>
                <w:sz w:val="22"/>
                <w:szCs w:val="22"/>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0" w:type="dxa"/>
            <w:vAlign w:val="bottom"/>
          </w:tcPr>
          <w:p>
            <w:pPr>
              <w:spacing w:after="0"/>
              <w:rPr>
                <w:sz w:val="1"/>
                <w:szCs w:val="1"/>
                <w:color w:val="auto"/>
              </w:rPr>
            </w:pPr>
          </w:p>
        </w:tc>
      </w:tr>
      <w:tr>
        <w:trPr>
          <w:trHeight w:val="439"/>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Professor Amnon Shashua</w:t>
            </w:r>
          </w:p>
        </w:tc>
        <w:tc>
          <w:tcPr>
            <w:tcW w:w="3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Executive Officer, President and Director</w:t>
            </w:r>
          </w:p>
        </w:tc>
        <w:tc>
          <w:tcPr>
            <w:tcW w:w="320" w:type="dxa"/>
            <w:vAlign w:val="bottom"/>
          </w:tcPr>
          <w:p>
            <w:pPr>
              <w:spacing w:after="0"/>
              <w:rPr>
                <w:sz w:val="24"/>
                <w:szCs w:val="24"/>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68"/>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Professor Amnon Shashua</w:t>
            </w:r>
          </w:p>
        </w:tc>
        <w:tc>
          <w:tcPr>
            <w:tcW w:w="320" w:type="dxa"/>
            <w:vAlign w:val="bottom"/>
          </w:tcPr>
          <w:p>
            <w:pPr>
              <w:spacing w:after="0"/>
              <w:rPr>
                <w:sz w:val="23"/>
                <w:szCs w:val="23"/>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320" w:type="dxa"/>
            <w:vAlign w:val="bottom"/>
          </w:tcPr>
          <w:p>
            <w:pPr>
              <w:spacing w:after="0"/>
              <w:rPr>
                <w:sz w:val="23"/>
                <w:szCs w:val="23"/>
                <w:color w:val="auto"/>
              </w:rPr>
            </w:pPr>
          </w:p>
        </w:tc>
        <w:tc>
          <w:tcPr>
            <w:tcW w:w="21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12"/>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Moran Shemesh Rojansky</w:t>
            </w:r>
          </w:p>
        </w:tc>
        <w:tc>
          <w:tcPr>
            <w:tcW w:w="3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w:t>
            </w: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Moran Shemesh Rojansky</w:t>
            </w:r>
          </w:p>
        </w:tc>
        <w:tc>
          <w:tcPr>
            <w:tcW w:w="320" w:type="dxa"/>
            <w:vAlign w:val="bottom"/>
          </w:tcPr>
          <w:p>
            <w:pPr>
              <w:spacing w:after="0"/>
              <w:rPr>
                <w:sz w:val="23"/>
                <w:szCs w:val="23"/>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Financial Officer and Principal Accounting Officer)</w:t>
            </w:r>
          </w:p>
        </w:tc>
        <w:tc>
          <w:tcPr>
            <w:tcW w:w="320" w:type="dxa"/>
            <w:vAlign w:val="bottom"/>
          </w:tcPr>
          <w:p>
            <w:pPr>
              <w:spacing w:after="0"/>
              <w:rPr>
                <w:sz w:val="23"/>
                <w:szCs w:val="2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422"/>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Saf Yeboah-Amankwah</w:t>
            </w:r>
          </w:p>
        </w:tc>
        <w:tc>
          <w:tcPr>
            <w:tcW w:w="3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Chair of the Board of Directors</w:t>
            </w:r>
          </w:p>
        </w:tc>
        <w:tc>
          <w:tcPr>
            <w:tcW w:w="3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450"/>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Patrick Bombach</w:t>
            </w:r>
          </w:p>
        </w:tc>
        <w:tc>
          <w:tcPr>
            <w:tcW w:w="3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58"/>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Patrick Bombach</w:t>
            </w:r>
          </w:p>
        </w:tc>
        <w:tc>
          <w:tcPr>
            <w:tcW w:w="3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Elaine L. Chao</w:t>
            </w:r>
          </w:p>
        </w:tc>
        <w:tc>
          <w:tcPr>
            <w:tcW w:w="3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58"/>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Elaine L. Chao</w:t>
            </w:r>
          </w:p>
        </w:tc>
        <w:tc>
          <w:tcPr>
            <w:tcW w:w="3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/s/ Ey al Desheh</w:t>
            </w:r>
          </w:p>
        </w:tc>
        <w:tc>
          <w:tcPr>
            <w:tcW w:w="3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58"/>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Eyal Desheh.</w:t>
            </w:r>
          </w:p>
        </w:tc>
        <w:tc>
          <w:tcPr>
            <w:tcW w:w="3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Claire C. McCaskill</w:t>
            </w:r>
          </w:p>
        </w:tc>
        <w:tc>
          <w:tcPr>
            <w:tcW w:w="3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58"/>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Claire C. McCaskill</w:t>
            </w:r>
          </w:p>
        </w:tc>
        <w:tc>
          <w:tcPr>
            <w:tcW w:w="3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3"/>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Christine Pambianchi</w:t>
            </w:r>
          </w:p>
        </w:tc>
        <w:tc>
          <w:tcPr>
            <w:tcW w:w="3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58"/>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Christine Pambianchi</w:t>
            </w:r>
          </w:p>
        </w:tc>
        <w:tc>
          <w:tcPr>
            <w:tcW w:w="3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Christoph Schell</w:t>
            </w:r>
          </w:p>
        </w:tc>
        <w:tc>
          <w:tcPr>
            <w:tcW w:w="3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58"/>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Christoph Schell</w:t>
            </w:r>
          </w:p>
        </w:tc>
        <w:tc>
          <w:tcPr>
            <w:tcW w:w="3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/s/ Frank D. Year y</w:t>
            </w:r>
          </w:p>
        </w:tc>
        <w:tc>
          <w:tcPr>
            <w:tcW w:w="3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3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13, 2025</w:t>
            </w:r>
          </w:p>
        </w:tc>
        <w:tc>
          <w:tcPr>
            <w:tcW w:w="0" w:type="dxa"/>
            <w:vAlign w:val="bottom"/>
          </w:tcPr>
          <w:p>
            <w:pPr>
              <w:spacing w:after="0"/>
              <w:rPr>
                <w:sz w:val="1"/>
                <w:szCs w:val="1"/>
                <w:color w:val="auto"/>
              </w:rPr>
            </w:pPr>
          </w:p>
        </w:tc>
      </w:tr>
      <w:tr>
        <w:trPr>
          <w:trHeight w:val="258"/>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Frank D. Yeary</w:t>
            </w:r>
          </w:p>
        </w:tc>
        <w:tc>
          <w:tcPr>
            <w:tcW w:w="3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140</w:t>
      </w:r>
    </w:p>
    <w:p>
      <w:pPr>
        <w:sectPr>
          <w:pgSz w:w="11880" w:h="15480" w:orient="portrait"/>
          <w:cols w:equalWidth="0" w:num="1">
            <w:col w:w="10800"/>
          </w:cols>
          <w:pgMar w:left="540" w:top="1345" w:right="540" w:bottom="0" w:gutter="0" w:footer="0" w:header="0"/>
          <w:type w:val="continuous"/>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46" w:name="page147"/>
    <w:bookmarkEnd w:id="146"/>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2853690</wp:posOffset>
            </wp:positionH>
            <wp:positionV relativeFrom="page">
              <wp:posOffset>2127250</wp:posOffset>
            </wp:positionV>
            <wp:extent cx="1835785" cy="278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a:extLst>
                        <a:ext uri="{28A0092B-C50C-407E-A947-70E740481C1C}"/>
                      </a:extLst>
                    </a:blip>
                    <a:srcRect/>
                    <a:stretch>
                      <a:fillRect/>
                    </a:stretch>
                  </pic:blipFill>
                  <pic:spPr bwMode="auto">
                    <a:xfrm>
                      <a:off x="0" y="0"/>
                      <a:ext cx="1835785" cy="27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4"/>
          <w:szCs w:val="24"/>
          <w:color w:val="auto"/>
        </w:rPr>
        <w:t>Mobileye,</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Driving the Autonomous Vehicle Evolution™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mobileye.com</w:t>
      </w:r>
    </w:p>
    <w:sectPr>
      <w:pgSz w:w="11880" w:h="15480" w:orient="portrait"/>
      <w:cols w:equalWidth="0" w:num="2">
        <w:col w:w="7840" w:space="720"/>
        <w:col w:w="1400"/>
      </w:cols>
      <w:pgMar w:left="960" w:top="1440" w:right="960" w:bottom="36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1."/>
      <w:numFmt w:val="decimal"/>
      <w:start w:val="5"/>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12">
    <w:nsid w:val="5577F8E1"/>
    <w:multiLevelType w:val="hybridMultilevel"/>
    <w:lvl w:ilvl="0">
      <w:lvlJc w:val="left"/>
      <w:lvlText w:val="(%1)"/>
      <w:numFmt w:val="decimal"/>
      <w:start w:val="4"/>
    </w:lvl>
    <w:lvl w:ilvl="1">
      <w:lvlJc w:val="left"/>
      <w:lvlText w:val="%2"/>
      <w:numFmt w:val="decimal"/>
      <w:start w:val="1"/>
    </w:lvl>
    <w:lvl w:ilvl="2">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decimal"/>
      <w:start w:val="1"/>
    </w:lvl>
    <w:lvl w:ilvl="1">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lowerRoman"/>
      <w:start w:val="1"/>
    </w:lvl>
  </w:abstractNum>
  <w:abstractNum w:abstractNumId="25">
    <w:nsid w:val="3855585C"/>
    <w:multiLevelType w:val="hybridMultilevel"/>
    <w:lvl w:ilvl="0">
      <w:lvlJc w:val="left"/>
      <w:lvlText w:val="(%1)"/>
      <w:numFmt w:val="lowerRoman"/>
      <w:start w:val="3"/>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lowerRoman"/>
      <w:start w:val="2"/>
    </w:lvl>
    <w:lvl w:ilvl="1">
      <w:lvlJc w:val="left"/>
      <w:lvlText w:val="%2"/>
      <w:numFmt w:val="lowerRoman"/>
      <w:start w:val="1"/>
    </w:lvl>
  </w:abstractNum>
  <w:abstractNum w:abstractNumId="29">
    <w:nsid w:val="1D4ED43B"/>
    <w:multiLevelType w:val="hybridMultilevel"/>
    <w:lvl w:ilvl="0">
      <w:lvlJc w:val="left"/>
      <w:lvlText w:val="(%1)"/>
      <w:numFmt w:val="lowerRoman"/>
      <w:start w:val="1"/>
    </w:lvl>
    <w:lvl w:ilvl="1">
      <w:lvlJc w:val="left"/>
      <w:lvlText w:val="%2"/>
      <w:numFmt w:val="lowerRoman"/>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decimal"/>
      <w:start w:val="1"/>
    </w:lvl>
    <w:lvl w:ilvl="1">
      <w:lvlJc w:val="left"/>
      <w:lvlText w:val="%2"/>
      <w:numFmt w:val="decimal"/>
      <w:start w:val="1"/>
    </w:lvl>
  </w:abstractNum>
  <w:abstractNum w:abstractNumId="35">
    <w:nsid w:val="542289EC"/>
    <w:multiLevelType w:val="hybridMultilevel"/>
    <w:lvl w:ilvl="0">
      <w:lvlJc w:val="left"/>
      <w:lvlText w:val="(%1)"/>
      <w:numFmt w:val="decimal"/>
      <w:start w:val="3"/>
    </w:lvl>
    <w:lvl w:ilvl="1">
      <w:lvlJc w:val="left"/>
      <w:lvlText w:val="%2"/>
      <w:numFmt w:val="decimal"/>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1)"/>
      <w:numFmt w:val="lowerRoman"/>
      <w:start w:val="3"/>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1)"/>
      <w:numFmt w:val="decimal"/>
      <w:start w:val="2"/>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decimal"/>
      <w:start w:val="2"/>
    </w:lvl>
  </w:abstractNum>
  <w:abstractNum w:abstractNumId="44">
    <w:nsid w:val="1BA026FA"/>
    <w:multiLevelType w:val="hybridMultilevel"/>
    <w:lvl w:ilvl="0">
      <w:lvlJc w:val="left"/>
      <w:lvlText w:val="%1."/>
      <w:numFmt w:val="decimal"/>
      <w:start w:val="3"/>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2"/>
    </w:lvl>
  </w:abstractNum>
  <w:abstractNum w:abstractNumId="49">
    <w:nsid w:val="520EEDD1"/>
    <w:multiLevelType w:val="hybridMultilevel"/>
    <w:lvl w:ilvl="0">
      <w:lvlJc w:val="left"/>
      <w:lvlText w:val="%1."/>
      <w:numFmt w:val="decimal"/>
      <w:start w:val="3"/>
    </w:lvl>
  </w:abstractNum>
  <w:abstractNum w:abstractNumId="50">
    <w:nsid w:val="374A3FE6"/>
    <w:multiLevelType w:val="hybridMultilevel"/>
    <w:lvl w:ilvl="0">
      <w:lvlJc w:val="left"/>
      <w:lvlText w:val="%1."/>
      <w:numFmt w:val="decimal"/>
      <w:start w:val="4"/>
    </w:lvl>
  </w:abstractNum>
  <w:abstractNum w:abstractNumId="51">
    <w:nsid w:val="4F4EF005"/>
    <w:multiLevelType w:val="hybridMultilevel"/>
    <w:lvl w:ilvl="0">
      <w:lvlJc w:val="left"/>
      <w:lvlText w:val="%1."/>
      <w:numFmt w:val="decimal"/>
      <w:start w:val="5"/>
    </w:lvl>
  </w:abstractNum>
  <w:abstractNum w:abstractNumId="52">
    <w:nsid w:val="23F9C13C"/>
    <w:multiLevelType w:val="hybridMultilevel"/>
    <w:lvl w:ilvl="0">
      <w:lvlJc w:val="left"/>
      <w:lvlText w:val="%1."/>
      <w:numFmt w:val="decimal"/>
      <w:start w:val="6"/>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2025-04-26T20:55:57Z</dcterms:created>
  <dcterms:modified xsi:type="dcterms:W3CDTF">2025-04-26T20:55:57Z</dcterms:modified>
</cp:coreProperties>
</file>