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p202465_4a-mccaskill.xml.htm"/>
      <w:bookmarkStart w:id="1" w:name="ksdp202465_4amccaskill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McCaskill Claire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MOBILEYE B.V., HAR HOTZVIM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 HARTOM STREET, P.O. BOX 45157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JERUSALEM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9777513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Mobileye Global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MBLY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10/26/2022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10/31/2022</w:t>
            </w:r>
            <w:r>
              <w:rPr/>
              <w:t xml:space="preserve"> 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10/26/2022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9,523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31, 2022, the reporting person filed a Form 4 which inadvertently reported a grant of Restricted Stock Units (RSUs) as Table II securities due to an administrative error. This Form 4/A is being filed to reflect this grant of RSUs as Table I securities.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(RSU) represents the right to receive, following vesting, one share of Class A common stock of Mobileye Global Inc. Unless earlier forfeited under the terms of the RSU, the RSU will vest as follows: (a) 33% of the RSUs vest and convert into common stock on the first anniversary of the grant date (which grant date is October 26, 2022), (b) 33% of the RSUs vest and convert into common stock on the second anniversary of the grant date and (c) 34% of the RSUs vest and convert into common stock on the third anniversary of the grant date. If a vesting date falls on a non-business date, the next business date shall apply.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Liz Cohen-Yerushalmi,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11/02/2023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27557" TargetMode="External"/><Relationship Id="rId4" Type="http://schemas.openxmlformats.org/officeDocument/2006/relationships/hyperlink" Target="http://www.sec.gov/cgi-bin/browse-edgar?action=getcompany&amp;CIK=000191013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728</Words>
  <Characters>3835</Characters>
  <CharactersWithSpaces>4504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