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1, 2023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OR</w:t>
      </w:r>
    </w:p>
    <w:p>
      <w:pPr>
        <w:ind w:left="220" w:hanging="212"/>
        <w:spacing w:after="0" w:line="186" w:lineRule="auto"/>
        <w:tabs>
          <w:tab w:leader="none" w:pos="220" w:val="left"/>
        </w:tabs>
        <w:numPr>
          <w:ilvl w:val="0"/>
          <w:numId w:val="2"/>
        </w:numPr>
        <w:rPr>
          <w:rFonts w:ascii="MS PGothic" w:cs="MS PGothic" w:eastAsia="MS PGothic" w:hAnsi="MS PGothic"/>
          <w:sz w:val="8"/>
          <w:szCs w:val="8"/>
          <w:color w:val="auto"/>
        </w:rPr>
      </w:pPr>
      <w:r>
        <w:rPr>
          <w:rFonts w:ascii="Arial" w:cs="Arial" w:eastAsia="Arial" w:hAnsi="Arial"/>
          <w:sz w:val="8"/>
          <w:szCs w:val="8"/>
          <w:b w:val="1"/>
          <w:bCs w:val="1"/>
          <w:color w:val="auto"/>
        </w:rPr>
        <w:t>TRANSITION REPORT PURSUANT TO SECTION 13 OR 15(d) OF THE SECURITIES EXCHANGE ACT OF 1934</w:t>
      </w:r>
    </w:p>
    <w:p>
      <w:pPr>
        <w:spacing w:after="0" w:line="284" w:lineRule="exact"/>
        <w:rPr>
          <w:sz w:val="24"/>
          <w:szCs w:val="24"/>
          <w:color w:val="auto"/>
        </w:rPr>
      </w:pPr>
    </w:p>
    <w:p>
      <w:pPr>
        <w:ind w:left="2960"/>
        <w:spacing w:after="0"/>
        <w:tabs>
          <w:tab w:leader="none" w:pos="5980" w:val="left"/>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001-41541</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Mobileye Global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665" w:right="999" w:bottom="1440" w:gutter="0" w:footer="0" w:header="0"/>
        </w:sectPr>
      </w:pPr>
    </w:p>
    <w:p>
      <w:pPr>
        <w:spacing w:after="0" w:line="70"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32" w:lineRule="exact"/>
        <w:rPr>
          <w:sz w:val="24"/>
          <w:szCs w:val="24"/>
          <w:color w:val="auto"/>
        </w:rPr>
      </w:pPr>
    </w:p>
    <w:p>
      <w:pPr>
        <w:ind w:left="1800"/>
        <w:spacing w:after="0"/>
        <w:rPr>
          <w:sz w:val="20"/>
          <w:szCs w:val="20"/>
          <w:color w:val="auto"/>
        </w:rPr>
      </w:pPr>
      <w:r>
        <w:rPr>
          <w:rFonts w:ascii="Arial" w:cs="Arial" w:eastAsia="Arial" w:hAnsi="Arial"/>
          <w:sz w:val="18"/>
          <w:szCs w:val="18"/>
          <w:color w:val="auto"/>
        </w:rPr>
        <w:t>c/o Mobileye B.V.</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88-0666433</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+972-2-541-7333</w:t>
      </w:r>
    </w:p>
    <w:p>
      <w:pPr>
        <w:spacing w:after="0" w:line="9" w:lineRule="exact"/>
        <w:rPr>
          <w:sz w:val="24"/>
          <w:szCs w:val="24"/>
          <w:color w:val="auto"/>
        </w:rPr>
      </w:pPr>
    </w:p>
    <w:p>
      <w:pPr>
        <w:sectPr>
          <w:pgSz w:w="11900" w:h="16838" w:orient="portrait"/>
          <w:cols w:equalWidth="0" w:num="2">
            <w:col w:w="5460" w:space="720"/>
            <w:col w:w="3740"/>
          </w:cols>
          <w:pgMar w:left="980" w:top="665" w:right="999" w:bottom="1440" w:gutter="0" w:footer="0" w:header="0"/>
          <w:type w:val="continuous"/>
        </w:sectPr>
      </w:pPr>
    </w:p>
    <w:p>
      <w:pPr>
        <w:jc w:val="center"/>
        <w:ind w:right="5000"/>
        <w:spacing w:after="0"/>
        <w:rPr>
          <w:sz w:val="20"/>
          <w:szCs w:val="20"/>
          <w:color w:val="auto"/>
        </w:rPr>
      </w:pPr>
      <w:r>
        <w:rPr>
          <w:rFonts w:ascii="Arial" w:cs="Arial" w:eastAsia="Arial" w:hAnsi="Arial"/>
          <w:sz w:val="18"/>
          <w:szCs w:val="18"/>
          <w:color w:val="auto"/>
        </w:rPr>
        <w:t>Har Hotzvim, 13 Hartom Street</w:t>
      </w:r>
    </w:p>
    <w:p>
      <w:pPr>
        <w:spacing w:after="0" w:line="9" w:lineRule="exact"/>
        <w:rPr>
          <w:sz w:val="24"/>
          <w:szCs w:val="24"/>
          <w:color w:val="auto"/>
        </w:rPr>
      </w:pPr>
    </w:p>
    <w:p>
      <w:pPr>
        <w:jc w:val="center"/>
        <w:ind w:right="5000"/>
        <w:spacing w:after="0"/>
        <w:rPr>
          <w:sz w:val="20"/>
          <w:szCs w:val="20"/>
          <w:color w:val="auto"/>
        </w:rPr>
      </w:pPr>
      <w:r>
        <w:rPr>
          <w:rFonts w:ascii="Arial" w:cs="Arial" w:eastAsia="Arial" w:hAnsi="Arial"/>
          <w:sz w:val="16"/>
          <w:szCs w:val="16"/>
          <w:color w:val="auto"/>
        </w:rPr>
        <w:t>P.O. Box 45157 Jerusalem 9777513, Israel</w:t>
      </w:r>
    </w:p>
    <w:p>
      <w:pPr>
        <w:sectPr>
          <w:pgSz w:w="11900" w:h="16838" w:orient="portrait"/>
          <w:cols w:equalWidth="0" w:num="1">
            <w:col w:w="9920"/>
          </w:cols>
          <w:pgMar w:left="980" w:top="665" w:right="999" w:bottom="1440" w:gutter="0" w:footer="0" w:header="0"/>
          <w:type w:val="continuous"/>
        </w:sectPr>
      </w:pPr>
    </w:p>
    <w:p>
      <w:pPr>
        <w:spacing w:after="0" w:line="32" w:lineRule="exact"/>
        <w:rPr>
          <w:sz w:val="24"/>
          <w:szCs w:val="24"/>
          <w:color w:val="auto"/>
        </w:rPr>
      </w:pPr>
    </w:p>
    <w:p>
      <w:pPr>
        <w:ind w:left="620"/>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ectPr>
          <w:pgSz w:w="11900" w:h="16838" w:orient="portrait"/>
          <w:cols w:equalWidth="0" w:num="2">
            <w:col w:w="4880" w:space="720"/>
            <w:col w:w="4320"/>
          </w:cols>
          <w:pgMar w:left="980" w:top="665" w:right="99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9920"/>
          </w:cols>
          <w:pgMar w:left="980" w:top="665" w:right="999" w:bottom="1440" w:gutter="0" w:footer="0" w:header="0"/>
          <w:type w:val="continuous"/>
        </w:sectPr>
      </w:pPr>
    </w:p>
    <w:p>
      <w:pPr>
        <w:spacing w:after="0" w:line="150" w:lineRule="exact"/>
        <w:rPr>
          <w:sz w:val="24"/>
          <w:szCs w:val="24"/>
          <w:color w:val="auto"/>
        </w:rPr>
      </w:pPr>
    </w:p>
    <w:p>
      <w:pPr>
        <w:jc w:val="center"/>
        <w:ind w:left="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20"/>
        <w:spacing w:after="0"/>
        <w:rPr>
          <w:sz w:val="20"/>
          <w:szCs w:val="20"/>
          <w:color w:val="auto"/>
        </w:rPr>
      </w:pPr>
      <w:r>
        <w:rPr>
          <w:rFonts w:ascii="Arial" w:cs="Arial" w:eastAsia="Arial" w:hAnsi="Arial"/>
          <w:sz w:val="16"/>
          <w:szCs w:val="16"/>
          <w:color w:val="auto"/>
        </w:rPr>
        <w:t>Class A common stock, par value $0.01</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MBLY</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40"/>
        <w:spacing w:after="0" w:line="312" w:lineRule="auto"/>
        <w:rPr>
          <w:sz w:val="20"/>
          <w:szCs w:val="20"/>
          <w:color w:val="auto"/>
        </w:rPr>
      </w:pPr>
      <w:r>
        <w:rPr>
          <w:rFonts w:ascii="Arial" w:cs="Arial" w:eastAsia="Arial" w:hAnsi="Arial"/>
          <w:sz w:val="17"/>
          <w:szCs w:val="17"/>
          <w:b w:val="1"/>
          <w:bCs w:val="1"/>
          <w:color w:val="auto"/>
        </w:rPr>
        <w:t xml:space="preserve">Name of Each Exchange on Which Registered </w:t>
      </w:r>
      <w:r>
        <w:rPr>
          <w:rFonts w:ascii="Arial" w:cs="Arial" w:eastAsia="Arial" w:hAnsi="Arial"/>
          <w:sz w:val="17"/>
          <w:szCs w:val="17"/>
          <w:color w:val="auto"/>
        </w:rPr>
        <w:t>The Nasdaq Global Select Market</w:t>
      </w:r>
    </w:p>
    <w:p>
      <w:pPr>
        <w:spacing w:after="0" w:line="9" w:lineRule="exact"/>
        <w:rPr>
          <w:sz w:val="24"/>
          <w:szCs w:val="24"/>
          <w:color w:val="auto"/>
        </w:rPr>
      </w:pPr>
    </w:p>
    <w:p>
      <w:pPr>
        <w:sectPr>
          <w:pgSz w:w="11900" w:h="16838" w:orient="portrait"/>
          <w:cols w:equalWidth="0" w:num="3">
            <w:col w:w="3600" w:space="720"/>
            <w:col w:w="1320" w:space="720"/>
            <w:col w:w="3560"/>
          </w:cols>
          <w:pgMar w:left="980" w:top="665" w:right="999" w:bottom="1440" w:gutter="0" w:footer="0" w:header="0"/>
          <w:type w:val="continuous"/>
        </w:sect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89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type w:val="continuous"/>
        </w:sectPr>
      </w:pPr>
    </w:p>
    <w:p>
      <w:pPr>
        <w:spacing w:after="0" w:line="4" w:lineRule="exact"/>
        <w:rPr>
          <w:sz w:val="24"/>
          <w:szCs w:val="24"/>
          <w:color w:val="auto"/>
        </w:rPr>
      </w:pPr>
    </w:p>
    <w:p>
      <w:pPr>
        <w:ind w:left="10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0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0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13" w:lineRule="exact"/>
        <w:rPr>
          <w:sz w:val="24"/>
          <w:szCs w:val="24"/>
          <w:color w:val="auto"/>
        </w:rPr>
      </w:pPr>
    </w:p>
    <w:p>
      <w:pPr>
        <w:sectPr>
          <w:pgSz w:w="11900" w:h="16838" w:orient="portrait"/>
          <w:cols w:equalWidth="0" w:num="2">
            <w:col w:w="4420" w:space="720"/>
            <w:col w:w="4780"/>
          </w:cols>
          <w:pgMar w:left="980" w:top="665" w:right="999" w:bottom="1440" w:gutter="0" w:footer="0" w:header="0"/>
          <w:type w:val="continuous"/>
        </w:sectPr>
      </w:pPr>
    </w:p>
    <w:p>
      <w:pPr>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ind w:left="9280"/>
        <w:spacing w:after="0" w:line="181" w:lineRule="exact"/>
        <w:rPr>
          <w:sz w:val="20"/>
          <w:szCs w:val="20"/>
          <w:color w:val="auto"/>
        </w:rPr>
      </w:pPr>
      <w:r>
        <w:rPr>
          <w:rFonts w:ascii="MS PGothic" w:cs="MS PGothic" w:eastAsia="MS PGothic" w:hAnsi="MS PGothic"/>
          <w:sz w:val="18"/>
          <w:szCs w:val="18"/>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There were 51,912,143 shares of Class A common stock, $0.01 par value, outstanding at April 1, 2023</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940435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109220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2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8"/>
          </w:tcPr>
          <w:p>
            <w:pPr>
              <w:jc w:val="center"/>
              <w:ind w:right="860"/>
              <w:spacing w:after="0"/>
              <w:rPr>
                <w:sz w:val="20"/>
                <w:szCs w:val="20"/>
                <w:color w:val="auto"/>
              </w:rPr>
            </w:pPr>
            <w:r>
              <w:rPr>
                <w:rFonts w:ascii="Arial" w:cs="Arial" w:eastAsia="Arial" w:hAnsi="Arial"/>
                <w:sz w:val="18"/>
                <w:szCs w:val="18"/>
                <w:b w:val="1"/>
                <w:bCs w:val="1"/>
                <w:color w:val="auto"/>
              </w:rPr>
              <w:t>MOBILEYE GLOBAL INC.</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gridSpan w:val="7"/>
          </w:tcPr>
          <w:p>
            <w:pPr>
              <w:jc w:val="center"/>
              <w:ind w:right="1500"/>
              <w:spacing w:after="0"/>
              <w:rPr>
                <w:sz w:val="20"/>
                <w:szCs w:val="20"/>
                <w:color w:val="auto"/>
              </w:rPr>
            </w:pPr>
            <w:r>
              <w:rPr>
                <w:rFonts w:ascii="Arial" w:cs="Arial" w:eastAsia="Arial" w:hAnsi="Arial"/>
                <w:sz w:val="18"/>
                <w:szCs w:val="18"/>
                <w:b w:val="1"/>
                <w:bCs w:val="1"/>
                <w:color w:val="auto"/>
                <w:w w:val="99"/>
              </w:rPr>
              <w:t>FORM 10-Q</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0" w:type="dxa"/>
            <w:vAlign w:val="bottom"/>
            <w:gridSpan w:val="10"/>
          </w:tcPr>
          <w:p>
            <w:pPr>
              <w:jc w:val="center"/>
              <w:ind w:right="700"/>
              <w:spacing w:after="0"/>
              <w:rPr>
                <w:sz w:val="20"/>
                <w:szCs w:val="20"/>
                <w:color w:val="auto"/>
              </w:rPr>
            </w:pPr>
            <w:r>
              <w:rPr>
                <w:rFonts w:ascii="Arial" w:cs="Arial" w:eastAsia="Arial" w:hAnsi="Arial"/>
                <w:sz w:val="18"/>
                <w:szCs w:val="18"/>
                <w:b w:val="1"/>
                <w:bCs w:val="1"/>
                <w:color w:val="auto"/>
                <w:w w:val="91"/>
              </w:rPr>
              <w:t>For the quarterly period ended April 1, 2023</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8"/>
          </w:tcPr>
          <w:p>
            <w:pPr>
              <w:jc w:val="center"/>
              <w:ind w:right="880"/>
              <w:spacing w:after="0"/>
              <w:rPr>
                <w:sz w:val="20"/>
                <w:szCs w:val="20"/>
                <w:color w:val="auto"/>
              </w:rPr>
            </w:pPr>
            <w:r>
              <w:rPr>
                <w:rFonts w:ascii="Arial" w:cs="Arial" w:eastAsia="Arial" w:hAnsi="Arial"/>
                <w:sz w:val="18"/>
                <w:szCs w:val="18"/>
                <w:b w:val="1"/>
                <w:bCs w:val="1"/>
                <w:color w:val="auto"/>
                <w:w w:val="98"/>
              </w:rPr>
              <w:t>TABLE OF CONTENTS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0000EE"/>
                <w:w w:val="87"/>
              </w:rPr>
              <w:t>Part I.</w:t>
            </w:r>
          </w:p>
        </w:tc>
        <w:tc>
          <w:tcPr>
            <w:tcW w:w="460" w:type="dxa"/>
            <w:vAlign w:val="bottom"/>
            <w:gridSpan w:val="3"/>
            <w:vMerge w:val="restart"/>
          </w:tcPr>
          <w:p>
            <w:pPr>
              <w:spacing w:after="0"/>
              <w:rPr>
                <w:sz w:val="24"/>
                <w:szCs w:val="24"/>
                <w:color w:val="auto"/>
              </w:rPr>
            </w:pPr>
          </w:p>
        </w:tc>
        <w:tc>
          <w:tcPr>
            <w:tcW w:w="2260" w:type="dxa"/>
            <w:vAlign w:val="bottom"/>
            <w:gridSpan w:val="10"/>
            <w:vMerge w:val="restart"/>
          </w:tcPr>
          <w:p>
            <w:pPr>
              <w:spacing w:after="0"/>
              <w:rPr>
                <w:sz w:val="20"/>
                <w:szCs w:val="20"/>
                <w:color w:val="auto"/>
              </w:rPr>
            </w:pPr>
            <w:r>
              <w:rPr>
                <w:rFonts w:ascii="Arial" w:cs="Arial" w:eastAsia="Arial" w:hAnsi="Arial"/>
                <w:sz w:val="18"/>
                <w:szCs w:val="18"/>
                <w:color w:val="0000EE"/>
                <w:w w:val="99"/>
              </w:rPr>
              <w:t>FINANCIAL INFORMATION</w:t>
            </w:r>
          </w:p>
        </w:tc>
        <w:tc>
          <w:tcPr>
            <w:tcW w:w="4200" w:type="dxa"/>
            <w:vAlign w:val="bottom"/>
            <w:gridSpan w:val="10"/>
            <w:vMerge w:val="restart"/>
          </w:tcPr>
          <w:p>
            <w:pPr>
              <w:spacing w:after="0"/>
              <w:rPr>
                <w:sz w:val="24"/>
                <w:szCs w:val="24"/>
                <w:color w:val="auto"/>
              </w:rPr>
            </w:pPr>
          </w:p>
        </w:tc>
        <w:tc>
          <w:tcPr>
            <w:tcW w:w="2140" w:type="dxa"/>
            <w:vAlign w:val="bottom"/>
          </w:tcPr>
          <w:p>
            <w:pPr>
              <w:ind w:left="180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40" w:type="dxa"/>
            <w:vAlign w:val="bottom"/>
            <w:tcBorders>
              <w:bottom w:val="single" w:sz="8" w:color="0000EE"/>
            </w:tcBorders>
            <w:vMerge w:val="continue"/>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4200" w:type="dxa"/>
            <w:vAlign w:val="bottom"/>
            <w:gridSpan w:val="10"/>
            <w:vMerge w:val="continue"/>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1.</w:t>
            </w:r>
          </w:p>
        </w:tc>
        <w:tc>
          <w:tcPr>
            <w:tcW w:w="400" w:type="dxa"/>
            <w:vAlign w:val="bottom"/>
            <w:gridSpan w:val="2"/>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Financial Statements (Unaudited)</w:t>
            </w:r>
          </w:p>
        </w:tc>
        <w:tc>
          <w:tcPr>
            <w:tcW w:w="2140" w:type="dxa"/>
            <w:vAlign w:val="bottom"/>
          </w:tcPr>
          <w:p>
            <w:pPr>
              <w:jc w:val="center"/>
              <w:ind w:left="1770"/>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gridSpan w:val="19"/>
          </w:tcPr>
          <w:p>
            <w:pPr>
              <w:spacing w:after="0" w:line="196" w:lineRule="exact"/>
              <w:rPr>
                <w:sz w:val="20"/>
                <w:szCs w:val="20"/>
                <w:color w:val="auto"/>
              </w:rPr>
            </w:pPr>
            <w:r>
              <w:rPr>
                <w:rFonts w:ascii="Arial" w:cs="Arial" w:eastAsia="Arial" w:hAnsi="Arial"/>
                <w:sz w:val="18"/>
                <w:szCs w:val="18"/>
                <w:color w:val="0000EE"/>
              </w:rPr>
              <w:t>Condensed Consolidated Balance Sheets</w:t>
            </w:r>
          </w:p>
        </w:tc>
        <w:tc>
          <w:tcPr>
            <w:tcW w:w="2140" w:type="dxa"/>
            <w:vAlign w:val="bottom"/>
          </w:tcPr>
          <w:p>
            <w:pPr>
              <w:jc w:val="center"/>
              <w:ind w:left="1770"/>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Condensed Consolidated Statements of Operations and Comprehensive Income (Loss)</w:t>
            </w:r>
          </w:p>
        </w:tc>
        <w:tc>
          <w:tcPr>
            <w:tcW w:w="100" w:type="dxa"/>
            <w:vAlign w:val="bottom"/>
          </w:tcPr>
          <w:p>
            <w:pPr>
              <w:spacing w:after="0"/>
              <w:rPr>
                <w:sz w:val="17"/>
                <w:szCs w:val="17"/>
                <w:color w:val="auto"/>
              </w:rPr>
            </w:pPr>
          </w:p>
        </w:tc>
        <w:tc>
          <w:tcPr>
            <w:tcW w:w="2140" w:type="dxa"/>
            <w:vAlign w:val="bottom"/>
          </w:tcPr>
          <w:p>
            <w:pPr>
              <w:jc w:val="center"/>
              <w:ind w:left="1770"/>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Condensed Consolidated Statements of Changes in Equity</w:t>
            </w:r>
          </w:p>
        </w:tc>
        <w:tc>
          <w:tcPr>
            <w:tcW w:w="2120" w:type="dxa"/>
            <w:vAlign w:val="bottom"/>
            <w:gridSpan w:val="4"/>
          </w:tcPr>
          <w:p>
            <w:pPr>
              <w:spacing w:after="0"/>
              <w:rPr>
                <w:sz w:val="17"/>
                <w:szCs w:val="17"/>
                <w:color w:val="auto"/>
              </w:rPr>
            </w:pPr>
          </w:p>
        </w:tc>
        <w:tc>
          <w:tcPr>
            <w:tcW w:w="2140" w:type="dxa"/>
            <w:vAlign w:val="bottom"/>
          </w:tcPr>
          <w:p>
            <w:pPr>
              <w:jc w:val="center"/>
              <w:ind w:left="1770"/>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gridSpan w:val="19"/>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2140" w:type="dxa"/>
            <w:vAlign w:val="bottom"/>
          </w:tcPr>
          <w:p>
            <w:pPr>
              <w:jc w:val="center"/>
              <w:ind w:left="1770"/>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gridSpan w:val="19"/>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2140" w:type="dxa"/>
            <w:vAlign w:val="bottom"/>
          </w:tcPr>
          <w:p>
            <w:pPr>
              <w:jc w:val="center"/>
              <w:ind w:left="1770"/>
              <w:spacing w:after="0" w:line="19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2.</w:t>
            </w:r>
          </w:p>
        </w:tc>
        <w:tc>
          <w:tcPr>
            <w:tcW w:w="400" w:type="dxa"/>
            <w:vAlign w:val="bottom"/>
            <w:gridSpan w:val="2"/>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3.</w:t>
            </w:r>
          </w:p>
        </w:tc>
        <w:tc>
          <w:tcPr>
            <w:tcW w:w="400" w:type="dxa"/>
            <w:vAlign w:val="bottom"/>
            <w:gridSpan w:val="2"/>
          </w:tcPr>
          <w:p>
            <w:pPr>
              <w:spacing w:after="0"/>
              <w:rPr>
                <w:sz w:val="17"/>
                <w:szCs w:val="17"/>
                <w:color w:val="auto"/>
              </w:rPr>
            </w:pPr>
          </w:p>
        </w:tc>
        <w:tc>
          <w:tcPr>
            <w:tcW w:w="43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gridSpan w:val="2"/>
          </w:tcPr>
          <w:p>
            <w:pPr>
              <w:spacing w:after="0"/>
              <w:rPr>
                <w:sz w:val="17"/>
                <w:szCs w:val="17"/>
                <w:color w:val="auto"/>
              </w:rPr>
            </w:pP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4.</w:t>
            </w:r>
          </w:p>
        </w:tc>
        <w:tc>
          <w:tcPr>
            <w:tcW w:w="400" w:type="dxa"/>
            <w:vAlign w:val="bottom"/>
            <w:gridSpan w:val="2"/>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4680" w:type="dxa"/>
            <w:vAlign w:val="bottom"/>
            <w:gridSpan w:val="12"/>
          </w:tcPr>
          <w:p>
            <w:pPr>
              <w:spacing w:after="0"/>
              <w:rPr>
                <w:sz w:val="17"/>
                <w:szCs w:val="17"/>
                <w:color w:val="auto"/>
              </w:rPr>
            </w:pP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0000EE"/>
                <w:w w:val="86"/>
              </w:rPr>
              <w:t>Part II.</w:t>
            </w:r>
          </w:p>
        </w:tc>
        <w:tc>
          <w:tcPr>
            <w:tcW w:w="400" w:type="dxa"/>
            <w:vAlign w:val="bottom"/>
            <w:gridSpan w:val="2"/>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OTHER INFORMATION</w:t>
            </w: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1.</w:t>
            </w:r>
          </w:p>
        </w:tc>
        <w:tc>
          <w:tcPr>
            <w:tcW w:w="400" w:type="dxa"/>
            <w:vAlign w:val="bottom"/>
            <w:gridSpan w:val="2"/>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5120" w:type="dxa"/>
            <w:vAlign w:val="bottom"/>
            <w:gridSpan w:val="13"/>
          </w:tcPr>
          <w:p>
            <w:pPr>
              <w:spacing w:after="0"/>
              <w:rPr>
                <w:sz w:val="17"/>
                <w:szCs w:val="17"/>
                <w:color w:val="auto"/>
              </w:rPr>
            </w:pP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Arial" w:cs="Arial" w:eastAsia="Arial" w:hAnsi="Arial"/>
                <w:sz w:val="18"/>
                <w:szCs w:val="18"/>
                <w:color w:val="0000EE"/>
                <w:w w:val="92"/>
              </w:rPr>
              <w:t>Item 1A.</w:t>
            </w:r>
          </w:p>
        </w:tc>
        <w:tc>
          <w:tcPr>
            <w:tcW w:w="260" w:type="dxa"/>
            <w:vAlign w:val="bottom"/>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Risk Factors</w:t>
            </w: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2100" w:type="dxa"/>
            <w:vAlign w:val="bottom"/>
            <w:gridSpan w:val="3"/>
          </w:tcPr>
          <w:p>
            <w:pPr>
              <w:spacing w:after="0"/>
              <w:rPr>
                <w:sz w:val="17"/>
                <w:szCs w:val="17"/>
                <w:color w:val="auto"/>
              </w:rPr>
            </w:pP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3.</w:t>
            </w:r>
          </w:p>
        </w:tc>
        <w:tc>
          <w:tcPr>
            <w:tcW w:w="400" w:type="dxa"/>
            <w:vAlign w:val="bottom"/>
            <w:gridSpan w:val="2"/>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4.</w:t>
            </w:r>
          </w:p>
        </w:tc>
        <w:tc>
          <w:tcPr>
            <w:tcW w:w="400" w:type="dxa"/>
            <w:vAlign w:val="bottom"/>
            <w:gridSpan w:val="2"/>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Mine Safety Disclosures</w:t>
            </w:r>
          </w:p>
        </w:tc>
        <w:tc>
          <w:tcPr>
            <w:tcW w:w="540" w:type="dxa"/>
            <w:vAlign w:val="bottom"/>
            <w:tcBorders>
              <w:top w:val="single" w:sz="8" w:color="0000EE"/>
            </w:tcBorders>
            <w:gridSpan w:val="3"/>
          </w:tcPr>
          <w:p>
            <w:pPr>
              <w:spacing w:after="0"/>
              <w:rPr>
                <w:sz w:val="17"/>
                <w:szCs w:val="17"/>
                <w:color w:val="auto"/>
              </w:rPr>
            </w:pPr>
          </w:p>
        </w:tc>
        <w:tc>
          <w:tcPr>
            <w:tcW w:w="4140" w:type="dxa"/>
            <w:vAlign w:val="bottom"/>
            <w:gridSpan w:val="9"/>
          </w:tcPr>
          <w:p>
            <w:pPr>
              <w:spacing w:after="0"/>
              <w:rPr>
                <w:sz w:val="17"/>
                <w:szCs w:val="17"/>
                <w:color w:val="auto"/>
              </w:rPr>
            </w:pP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5.</w:t>
            </w:r>
          </w:p>
        </w:tc>
        <w:tc>
          <w:tcPr>
            <w:tcW w:w="400" w:type="dxa"/>
            <w:vAlign w:val="bottom"/>
            <w:gridSpan w:val="2"/>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5140" w:type="dxa"/>
            <w:vAlign w:val="bottom"/>
            <w:gridSpan w:val="14"/>
          </w:tcPr>
          <w:p>
            <w:pPr>
              <w:spacing w:after="0"/>
              <w:rPr>
                <w:sz w:val="17"/>
                <w:szCs w:val="17"/>
                <w:color w:val="auto"/>
              </w:rPr>
            </w:pP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6.</w:t>
            </w:r>
          </w:p>
        </w:tc>
        <w:tc>
          <w:tcPr>
            <w:tcW w:w="400" w:type="dxa"/>
            <w:vAlign w:val="bottom"/>
            <w:gridSpan w:val="2"/>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Exhibits</w:t>
            </w: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6"/>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60" w:type="dxa"/>
            <w:vAlign w:val="bottom"/>
            <w:gridSpan w:val="20"/>
          </w:tcPr>
          <w:p>
            <w:pPr>
              <w:spacing w:after="0" w:line="196" w:lineRule="exact"/>
              <w:rPr>
                <w:sz w:val="20"/>
                <w:szCs w:val="20"/>
                <w:color w:val="auto"/>
              </w:rPr>
            </w:pPr>
            <w:r>
              <w:rPr>
                <w:rFonts w:ascii="Arial" w:cs="Arial" w:eastAsia="Arial" w:hAnsi="Arial"/>
                <w:sz w:val="18"/>
                <w:szCs w:val="18"/>
                <w:color w:val="0000EE"/>
              </w:rPr>
              <w:t>Signatures</w:t>
            </w:r>
          </w:p>
        </w:tc>
        <w:tc>
          <w:tcPr>
            <w:tcW w:w="214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60"/>
          </w:cols>
          <w:pgMar w:left="980" w:top="500" w:right="1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6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We have a 52- or 53-week fiscal year that ends on the last Saturday in December. Fiscal year 2022 was a 53-week fiscal year; fiscal year 2023 is a 52-week fiscal year. The additional week in fiscal year 2022 was added in the first quarter, which consisted of 14 weeks.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U.S. dollars in millions</w:t>
            </w: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Trade accounts receivable, 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1,516</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2,527</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10,895</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09"/>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13,925</w:t>
            </w:r>
          </w:p>
        </w:tc>
      </w:tr>
      <w:tr>
        <w:trPr>
          <w:trHeight w:val="210"/>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15,462</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15,441</w:t>
            </w:r>
          </w:p>
        </w:tc>
      </w:tr>
      <w:tr>
        <w:trPr>
          <w:trHeight w:val="20"/>
        </w:trPr>
        <w:tc>
          <w:tcPr>
            <w:tcW w:w="20" w:type="dxa"/>
            <w:vAlign w:val="bottom"/>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Employee related accrued expenses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party payable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employee benefits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r>
      <w:tr>
        <w:trPr>
          <w:trHeight w:val="250"/>
        </w:trPr>
        <w:tc>
          <w:tcPr>
            <w:tcW w:w="20" w:type="dxa"/>
            <w:vAlign w:val="bottom"/>
          </w:tcPr>
          <w:p>
            <w:pPr>
              <w:spacing w:after="0"/>
              <w:rPr>
                <w:sz w:val="21"/>
                <w:szCs w:val="21"/>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r>
      <w:tr>
        <w:trPr>
          <w:trHeight w:val="197"/>
        </w:trPr>
        <w:tc>
          <w:tcPr>
            <w:tcW w:w="20" w:type="dxa"/>
            <w:vAlign w:val="bottom"/>
          </w:tcPr>
          <w:p>
            <w:pPr>
              <w:spacing w:after="0"/>
              <w:rPr>
                <w:sz w:val="17"/>
                <w:szCs w:val="17"/>
                <w:color w:val="auto"/>
              </w:rPr>
            </w:pPr>
          </w:p>
        </w:tc>
        <w:tc>
          <w:tcPr>
            <w:tcW w:w="71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Equity</w:t>
            </w:r>
          </w:p>
        </w:tc>
        <w:tc>
          <w:tcPr>
            <w:tcW w:w="4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Class A common stock: $0.01 par value; 4,000,000,000 shares authorized; shares issued and</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51,912,143 as of April 1, 2023 and 51,911,905 as of December 31, 2022</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2"/>
        </w:trPr>
        <w:tc>
          <w:tcPr>
            <w:tcW w:w="20" w:type="dxa"/>
            <w:vAlign w:val="bottom"/>
          </w:tcPr>
          <w:p>
            <w:pPr>
              <w:spacing w:after="0"/>
              <w:rPr>
                <w:sz w:val="17"/>
                <w:szCs w:val="17"/>
                <w:color w:val="auto"/>
              </w:rPr>
            </w:pPr>
          </w:p>
        </w:tc>
        <w:tc>
          <w:tcPr>
            <w:tcW w:w="7140" w:type="dxa"/>
            <w:vAlign w:val="bottom"/>
          </w:tcPr>
          <w:p>
            <w:pPr>
              <w:ind w:left="100"/>
              <w:spacing w:after="0" w:line="201" w:lineRule="exact"/>
              <w:rPr>
                <w:sz w:val="20"/>
                <w:szCs w:val="20"/>
                <w:color w:val="auto"/>
              </w:rPr>
            </w:pPr>
            <w:r>
              <w:rPr>
                <w:rFonts w:ascii="Arial" w:cs="Arial" w:eastAsia="Arial" w:hAnsi="Arial"/>
                <w:sz w:val="18"/>
                <w:szCs w:val="18"/>
                <w:color w:val="auto"/>
                <w:w w:val="94"/>
              </w:rPr>
              <w:t>Class B common stock: $0.01 par value; 1,500,000,000 shares authorized; shares issued and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220"/>
              <w:spacing w:after="0"/>
              <w:rPr>
                <w:sz w:val="20"/>
                <w:szCs w:val="20"/>
                <w:color w:val="auto"/>
              </w:rPr>
            </w:pPr>
            <w:r>
              <w:rPr>
                <w:rFonts w:ascii="Arial" w:cs="Arial" w:eastAsia="Arial" w:hAnsi="Arial"/>
                <w:sz w:val="18"/>
                <w:szCs w:val="18"/>
                <w:color w:val="auto"/>
              </w:rPr>
              <w:t>outstanding: 750,000,000 as of April 1, 2023 and as of December 31, 2022</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w:t>
            </w:r>
          </w:p>
        </w:tc>
      </w:tr>
      <w:tr>
        <w:trPr>
          <w:trHeight w:val="216"/>
        </w:trPr>
        <w:tc>
          <w:tcPr>
            <w:tcW w:w="2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earnings (accumulated deficit)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14,787</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14,794</w:t>
            </w:r>
          </w:p>
        </w:tc>
      </w:tr>
      <w:tr>
        <w:trPr>
          <w:trHeight w:val="230"/>
        </w:trPr>
        <w:tc>
          <w:tcPr>
            <w:tcW w:w="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15,462</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15,441</w:t>
            </w: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2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April 1,</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April 2,</w:t>
            </w:r>
          </w:p>
        </w:tc>
        <w:tc>
          <w:tcPr>
            <w:tcW w:w="20" w:type="dxa"/>
            <w:vAlign w:val="bottom"/>
          </w:tcPr>
          <w:p>
            <w:pPr>
              <w:spacing w:after="0"/>
              <w:rPr>
                <w:sz w:val="10"/>
                <w:szCs w:val="10"/>
                <w:color w:val="auto"/>
              </w:rPr>
            </w:pPr>
          </w:p>
        </w:tc>
      </w:tr>
      <w:tr>
        <w:trPr>
          <w:trHeight w:val="171"/>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U.S. dollars in millions, except per share amounts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with related party</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financial income (expense), net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0" w:type="dxa"/>
            <w:vAlign w:val="bottom"/>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5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Earnings (loss) per share attributed to Class A and Class B stockholders:</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54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Weighted-average number of shares used in computation of earnings (loss) per share attributed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b w:val="1"/>
                <w:bCs w:val="1"/>
                <w:color w:val="auto"/>
              </w:rPr>
              <w:t>to Class A and Class B stockholders (in millions):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0"/>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520" w:type="dxa"/>
            <w:vAlign w:val="bottom"/>
            <w:gridSpan w:val="4"/>
            <w:vMerge w:val="restart"/>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Retained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52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7"/>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88"/>
              </w:rPr>
              <w:t>Accumulated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86"/>
              </w:rPr>
              <w:t>Earnings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97"/>
              <w:spacing w:after="0" w:line="14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9"/>
              </w:rPr>
              <w:t>Number of</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6"/>
              </w:rPr>
              <w:t>paid-in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Parent Net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center"/>
              <w:ind w:right="57"/>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860" w:type="dxa"/>
            <w:vAlign w:val="bottom"/>
            <w:gridSpan w:val="3"/>
          </w:tcPr>
          <w:p>
            <w:pPr>
              <w:jc w:val="center"/>
              <w:ind w:right="6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60" w:type="dxa"/>
            <w:vAlign w:val="bottom"/>
          </w:tcPr>
          <w:p>
            <w:pPr>
              <w:spacing w:after="0"/>
              <w:rPr>
                <w:sz w:val="9"/>
                <w:szCs w:val="9"/>
                <w:color w:val="auto"/>
              </w:rPr>
            </w:pPr>
          </w:p>
        </w:tc>
        <w:tc>
          <w:tcPr>
            <w:tcW w:w="7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0" w:type="dxa"/>
            <w:vAlign w:val="bottom"/>
          </w:tcPr>
          <w:p>
            <w:pPr>
              <w:spacing w:after="0"/>
              <w:rPr>
                <w:sz w:val="1"/>
                <w:szCs w:val="1"/>
                <w:color w:val="auto"/>
              </w:rPr>
            </w:pPr>
          </w:p>
        </w:tc>
      </w:tr>
      <w:tr>
        <w:trPr>
          <w:trHeight w:val="153"/>
        </w:trPr>
        <w:tc>
          <w:tcPr>
            <w:tcW w:w="3600" w:type="dxa"/>
            <w:vAlign w:val="bottom"/>
            <w:gridSpan w:val="2"/>
          </w:tcPr>
          <w:p>
            <w:pPr>
              <w:spacing w:after="0"/>
              <w:rPr>
                <w:sz w:val="20"/>
                <w:szCs w:val="20"/>
                <w:color w:val="auto"/>
              </w:rPr>
            </w:pPr>
            <w:r>
              <w:rPr>
                <w:rFonts w:ascii="Arial" w:cs="Arial" w:eastAsia="Arial" w:hAnsi="Arial"/>
                <w:sz w:val="13"/>
                <w:szCs w:val="13"/>
                <w:b w:val="1"/>
                <w:bCs w:val="1"/>
                <w:color w:val="auto"/>
              </w:rPr>
              <w:t>U.S. dollars in millions, except per share amounts</w:t>
            </w: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Three Months Ended</w:t>
            </w: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as of December 25, 2021</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15,884</w:t>
            </w:r>
          </w:p>
        </w:tc>
        <w:tc>
          <w:tcPr>
            <w:tcW w:w="60" w:type="dxa"/>
            <w:vAlign w:val="bottom"/>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337"/>
              <w:spacing w:after="0" w:line="135" w:lineRule="exact"/>
              <w:rPr>
                <w:sz w:val="20"/>
                <w:szCs w:val="20"/>
                <w:color w:val="auto"/>
              </w:rPr>
            </w:pPr>
            <w:r>
              <w:rPr>
                <w:rFonts w:ascii="Arial" w:cs="Arial" w:eastAsia="Arial" w:hAnsi="Arial"/>
                <w:sz w:val="13"/>
                <w:szCs w:val="13"/>
                <w:b w:val="1"/>
                <w:bCs w:val="1"/>
                <w:color w:val="auto"/>
                <w:w w:val="91"/>
              </w:rPr>
              <w:t>—</w:t>
            </w:r>
          </w:p>
        </w:tc>
        <w:tc>
          <w:tcPr>
            <w:tcW w:w="2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15,889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income (loss)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ind w:left="100"/>
              <w:spacing w:after="0" w:line="135" w:lineRule="exact"/>
              <w:rPr>
                <w:sz w:val="20"/>
                <w:szCs w:val="20"/>
                <w:color w:val="auto"/>
              </w:rPr>
            </w:pPr>
            <w:r>
              <w:rPr>
                <w:rFonts w:ascii="Arial" w:cs="Arial" w:eastAsia="Arial" w:hAnsi="Arial"/>
                <w:sz w:val="13"/>
                <w:szCs w:val="13"/>
                <w:color w:val="auto"/>
              </w:rPr>
              <w:t>Other comprehensive income (loss), net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Borders>
              <w:bottom w:val="single" w:sz="8" w:color="CCEEFF"/>
            </w:tcBorders>
            <w:shd w:val="clear" w:color="auto" w:fill="CCEEFF"/>
          </w:tcPr>
          <w:p>
            <w:pPr>
              <w:ind w:left="100"/>
              <w:spacing w:after="0" w:line="135" w:lineRule="exact"/>
              <w:rPr>
                <w:sz w:val="20"/>
                <w:szCs w:val="20"/>
                <w:color w:val="auto"/>
              </w:rPr>
            </w:pPr>
            <w:r>
              <w:rPr>
                <w:rFonts w:ascii="Arial" w:cs="Arial" w:eastAsia="Arial" w:hAnsi="Arial"/>
                <w:sz w:val="13"/>
                <w:szCs w:val="13"/>
                <w:color w:val="auto"/>
              </w:rPr>
              <w:t>Net transfer from (to) Parent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113</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center"/>
              <w:ind w:left="39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8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as of April 2, 2022</w:t>
            </w:r>
          </w:p>
        </w:tc>
        <w:tc>
          <w:tcPr>
            <w:tcW w:w="6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15,937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left="337"/>
              <w:spacing w:after="0" w:line="129" w:lineRule="exact"/>
              <w:rPr>
                <w:sz w:val="20"/>
                <w:szCs w:val="20"/>
                <w:color w:val="auto"/>
              </w:rPr>
            </w:pPr>
            <w:r>
              <w:rPr>
                <w:rFonts w:ascii="Arial" w:cs="Arial" w:eastAsia="Arial" w:hAnsi="Arial"/>
                <w:sz w:val="13"/>
                <w:szCs w:val="13"/>
                <w:b w:val="1"/>
                <w:bCs w:val="1"/>
                <w:color w:val="auto"/>
                <w:w w:val="91"/>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15,939</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8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as of December 31, 2022</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14,737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left="397"/>
              <w:spacing w:after="0" w:line="135" w:lineRule="exact"/>
              <w:rPr>
                <w:sz w:val="20"/>
                <w:szCs w:val="20"/>
                <w:color w:val="auto"/>
              </w:rPr>
            </w:pPr>
            <w:r>
              <w:rPr>
                <w:rFonts w:ascii="Arial" w:cs="Arial" w:eastAsia="Arial" w:hAnsi="Arial"/>
                <w:sz w:val="13"/>
                <w:szCs w:val="13"/>
                <w:b w:val="1"/>
                <w:bCs w:val="1"/>
                <w:color w:val="auto"/>
                <w:w w:val="82"/>
              </w:rPr>
              <w:t>57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14,794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income (loss)</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left="357"/>
              <w:spacing w:after="0" w:line="135" w:lineRule="exact"/>
              <w:rPr>
                <w:sz w:val="20"/>
                <w:szCs w:val="20"/>
                <w:color w:val="auto"/>
              </w:rPr>
            </w:pPr>
            <w:r>
              <w:rPr>
                <w:rFonts w:ascii="Arial" w:cs="Arial" w:eastAsia="Arial" w:hAnsi="Arial"/>
                <w:sz w:val="13"/>
                <w:szCs w:val="13"/>
                <w:color w:val="auto"/>
                <w:w w:val="94"/>
              </w:rPr>
              <w:t>(79)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ind w:left="100"/>
              <w:spacing w:after="0" w:line="135" w:lineRule="exact"/>
              <w:rPr>
                <w:sz w:val="20"/>
                <w:szCs w:val="20"/>
                <w:color w:val="auto"/>
              </w:rPr>
            </w:pPr>
            <w:r>
              <w:rPr>
                <w:rFonts w:ascii="Arial" w:cs="Arial" w:eastAsia="Arial" w:hAnsi="Arial"/>
                <w:sz w:val="13"/>
                <w:szCs w:val="13"/>
                <w:color w:val="auto"/>
              </w:rPr>
              <w:t>Other comprehensive income (loss), net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Tax sharing agreement with Parent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Pr>
          <w:p>
            <w:pPr>
              <w:ind w:left="100"/>
              <w:spacing w:after="0" w:line="135" w:lineRule="exact"/>
              <w:rPr>
                <w:sz w:val="20"/>
                <w:szCs w:val="20"/>
                <w:color w:val="auto"/>
              </w:rPr>
            </w:pPr>
            <w:r>
              <w:rPr>
                <w:rFonts w:ascii="Arial" w:cs="Arial" w:eastAsia="Arial" w:hAnsi="Arial"/>
                <w:sz w:val="13"/>
                <w:szCs w:val="13"/>
                <w:color w:val="auto"/>
              </w:rPr>
              <w:t>Share-based compensation expense</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left="33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80" w:type="dxa"/>
            <w:vAlign w:val="bottom"/>
            <w:tcBorders>
              <w:bottom w:val="single" w:sz="8" w:color="CCEEFF"/>
            </w:tcBorders>
            <w:shd w:val="clear" w:color="auto" w:fill="CCEEFF"/>
          </w:tcPr>
          <w:p>
            <w:pPr>
              <w:ind w:left="100"/>
              <w:spacing w:after="0" w:line="135" w:lineRule="exact"/>
              <w:rPr>
                <w:sz w:val="20"/>
                <w:szCs w:val="20"/>
                <w:color w:val="auto"/>
              </w:rPr>
            </w:pPr>
            <w:r>
              <w:rPr>
                <w:rFonts w:ascii="Arial" w:cs="Arial" w:eastAsia="Arial" w:hAnsi="Arial"/>
                <w:sz w:val="13"/>
                <w:szCs w:val="13"/>
                <w:color w:val="auto"/>
              </w:rPr>
              <w:t>Recharge to Parent for Share-based compensation</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center"/>
              <w:ind w:left="397"/>
              <w:spacing w:after="0" w:line="135" w:lineRule="exact"/>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29"/>
        </w:trPr>
        <w:tc>
          <w:tcPr>
            <w:tcW w:w="360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Balance as of April 1, 2023</w:t>
            </w:r>
          </w:p>
        </w:tc>
        <w:tc>
          <w:tcPr>
            <w:tcW w:w="6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802</w:t>
            </w:r>
          </w:p>
        </w:tc>
        <w:tc>
          <w:tcPr>
            <w:tcW w:w="240" w:type="dxa"/>
            <w:vAlign w:val="bottom"/>
            <w:gridSpan w:val="2"/>
          </w:tcPr>
          <w:p>
            <w:pPr>
              <w:jc w:val="right"/>
              <w:ind w:right="60"/>
              <w:spacing w:after="0" w:line="11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9</w:t>
            </w:r>
          </w:p>
        </w:tc>
        <w:tc>
          <w:tcPr>
            <w:tcW w:w="20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
              <w:spacing w:after="0" w:line="115" w:lineRule="exact"/>
              <w:rPr>
                <w:sz w:val="20"/>
                <w:szCs w:val="20"/>
                <w:color w:val="auto"/>
              </w:rPr>
            </w:pPr>
            <w:r>
              <w:rPr>
                <w:rFonts w:ascii="Arial" w:cs="Arial" w:eastAsia="Arial" w:hAnsi="Arial"/>
                <w:sz w:val="13"/>
                <w:szCs w:val="13"/>
                <w:b w:val="1"/>
                <w:bCs w:val="1"/>
                <w:color w:val="auto"/>
              </w:rPr>
              <w:t>14,800</w:t>
            </w:r>
          </w:p>
        </w:tc>
        <w:tc>
          <w:tcPr>
            <w:tcW w:w="18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100"/>
              <w:spacing w:after="0" w:line="115" w:lineRule="exact"/>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22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357"/>
              <w:spacing w:after="0" w:line="115" w:lineRule="exact"/>
              <w:rPr>
                <w:sz w:val="20"/>
                <w:szCs w:val="20"/>
                <w:color w:val="auto"/>
              </w:rPr>
            </w:pPr>
            <w:r>
              <w:rPr>
                <w:rFonts w:ascii="Arial" w:cs="Arial" w:eastAsia="Arial" w:hAnsi="Arial"/>
                <w:sz w:val="13"/>
                <w:szCs w:val="13"/>
                <w:b w:val="1"/>
                <w:bCs w:val="1"/>
                <w:color w:val="auto"/>
                <w:w w:val="94"/>
              </w:rPr>
              <w:t>(22)</w:t>
            </w:r>
          </w:p>
        </w:tc>
        <w:tc>
          <w:tcPr>
            <w:tcW w:w="20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14,787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April 1,</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April 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U.S. dollars in millions</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Net income (loss)</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7"/>
              </w:rPr>
              <w:t>Adjustments to reconcile net income (loss) to net cash provided by operating activities: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Depreciation of property and equipment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Share-based compensation</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Amortization of intangible assets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Exchange rate differences on cash and cash equivalents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Deferred income taxes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with related party, net</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Other</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Changes in operating assets and liabilities: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Decrease (increase) in trade accounts receivable</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Decrease (increase) in other current assets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Decrease (increase) in inventories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Increase (decrease) in accounts payable, accrued expenses and related party payable</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Increase (decrease) in employee-related accrued expenses and long term benefits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Increase (decrease) in other current liabilities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Decrease (increase) in other long term assets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Increase (decrease) in long-term liabilities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CCEEFF"/>
            </w:tcBorders>
          </w:tcPr>
          <w:p>
            <w:pPr>
              <w:ind w:left="100"/>
              <w:spacing w:after="0"/>
              <w:rPr>
                <w:sz w:val="20"/>
                <w:szCs w:val="20"/>
                <w:color w:val="auto"/>
              </w:rPr>
            </w:pPr>
            <w:r>
              <w:rPr>
                <w:rFonts w:ascii="Arial" w:cs="Arial" w:eastAsia="Arial" w:hAnsi="Arial"/>
                <w:sz w:val="17"/>
                <w:szCs w:val="17"/>
                <w:b w:val="1"/>
                <w:bCs w:val="1"/>
                <w:color w:val="auto"/>
              </w:rPr>
              <w:t>Net cash provided by operating activities</w:t>
            </w:r>
          </w:p>
        </w:tc>
        <w:tc>
          <w:tcPr>
            <w:tcW w:w="62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Purchase of property and equipment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Repayment of loan due from related party</w:t>
            </w: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Net transfers from Parent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Share-based compensation recharge</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Deferred offering costs</w:t>
            </w:r>
          </w:p>
        </w:tc>
        <w:tc>
          <w:tcPr>
            <w:tcW w:w="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Increase in cash, cash equivalents and restricted cash</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7"/>
                <w:szCs w:val="17"/>
                <w:color w:val="auto"/>
              </w:rPr>
              <w:t>Balance of cash, cash equivalents and restricted cash, at beginning of year</w:t>
            </w:r>
          </w:p>
        </w:tc>
        <w:tc>
          <w:tcPr>
            <w:tcW w:w="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of cash, cash equivalents and restricted cash, at end of period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1,173</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Supplementary non-cash investing and financing activities:</w:t>
            </w:r>
          </w:p>
        </w:tc>
        <w:tc>
          <w:tcPr>
            <w:tcW w:w="6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 cash purchase of property and equipment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Non-cash share based compensation recharge</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Unpaid offering costs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Tax sharing agreement with Parent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7"/>
                <w:szCs w:val="17"/>
                <w:color w:val="auto"/>
              </w:rPr>
              <w:t>Cash received (paid) for income taxes, net of refunds</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 Mobileye combines the operations of its consolidated subsidiaries, which include the Mobileye Group, as defined below.</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Mobileye operates as a subsidiary of Intel Corporation (“Intel” or the “Parent”), which acquired a majority stake in Mobileye in August 2017 (the “Mobileye Acquisition”). The remaining issued and outstanding shares of Mobileye were acquired by Intel in 2018.</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Before the completion of the Mobileye IPO and the Reorganization (both as defined below) in October 2022, the Company consisted of the “Mobileye Group”, which combined the operations of Cyclops Holdings LLC (“Cyclops”), Mobileye B.V. and its subsidiaries, GG Acquisition Ltd. and Moovit App Global Ltd. and its subsidiaries (“Moovit”) and certain Intel employees mainly in research and development (the “Intel Aligned Groups”).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2021, Intel announced plans to pursue an initial public offering of the Mobileye Group. In January 2022, Intel incorporated a new legal entity, Mobileye Global Inc., with the intent to contribute the Mobileye Group to Mobileye Global Inc. and to have Mobileye Global Inc. offer newly issued shares of common stock of Mobileye Global Inc. in an initial public offering.</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28, 2022, the initial public offering of Mobileye (the “Mobileye IPO”) was completed and we issued 41,000,000 shares of our Class A common stock, at $21 per share, before underwriting discounts and commissions. Concurrently with the closing of the Mobileye IPO, the Company issued an additional 4,761,905 shares of its Class A common stock to General Atlantic (ME), L.P., a Delaware limited partnership, at $21 per share, pursuant to a private placement exempt from registration under Section 4(a)(2) of the Securities Act of 1933, as amended, for gross proceeds of $100 million (the “Concurrent Private Placement”). On November 1, 2022, we closed the sale of an additional 6,150,000 Class A shares pursuant to the exercise of the underwriters’ over-allotment option.</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Mobileye IPO generated proceeds to the Company of approximately $1.0 billion, including the proceeds from the underwriters exercise of their option and the Concurrent Private Placement, net of underwriting discounts and commissions in the amount of $41 million and offering costs in the amount of $18 million.</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the completion of the Mobileye IPO, we were a wholly-owned business of Intel Corporation. Upon the closing of the Mobileye IPO (after giving effect to the exercise of the underwriters’ over-allotment option), Intel continues to directly or indirectly hold all of the Class B common stock of Mobileye, which represents approximately 99.3% of the voting power of our common stock. Upon completion of the Mobileye IPO, we completed the legal entity reorganization (“Reorganization”) of the operations comprising the Mobileye Group business so that they are all under the single parent entity, Mobileye Global Inc., and the filing and effectiveness of our amended and restated certificate of incorporation. The Reorganization was accomplished through a series of transactions and agreements with Intel, including the legal purchase of 100% of the issued and outstanding equity interests of the Moovit entities from Intel.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a 52- or 53-week fiscal year that ends on the last Saturday in December. Fiscal year 2022 was a 53-week fiscal year; fiscal year 2023 is a 52-week fiscal year. The additional week in fiscal year 2022 was added in the first quarter, which consisted of 14 weeks.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results of operations for the three months ended April 1, 2023 shown in this report are not necessarily indicative of the results to be expected for the full year ending 2023. The condensed consolidated financial statements should be read in conjunction with the audited consolidated financial statements for the fiscal year ended December 31, 2022.</w:t>
      </w:r>
    </w:p>
    <w:p>
      <w:pPr>
        <w:spacing w:after="0" w:line="1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financial statements and accompanying notes that include periods ending or as of dates prior to the completion of the Mobileye IPO have been derived from the consolidated financial statements and accounting records of Intel and are presented as if the Company had been operating as a stand-alone company. The assets, liabilities, revenue, and expenses directly attributable to the Company’s operations, including the acquired goodwill and intangible assets, have been reflected in these condensed consolidated financial statements on a historical cost basis, as included in the consolidated financial statements of Intel.</w:t>
      </w:r>
    </w:p>
    <w:p>
      <w:pPr>
        <w:spacing w:after="0" w:line="16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Mobileye Group was not historically held by a single legal entity, total parent net investment is shown in lieu of equity in the periods prior to the completion of the Mobileye IPO and represents Intel’s total interest in the recorded net assets of Mobileye Group. All intercompany transactions within the previously combined businesses of the Company have been eliminated. Transactions between the Company and Intel, arising from arrangements with Intel and other similar related-party transactions, were considered to be effectively settled at the time the transactions were recorded, unless otherwise noted. The total net effect of the settlement of these transactions was reflected within parent net investment as a component of equity and within net transfers from Parent as a financing activity in the periods prior to the completion of the Mobileye IPO, unless otherwise noted.</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completion of the Mobileye IPO, the condensed consolidated financial statements include the accounts of the Company and its wholly-owned subsidiaries.</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material changes in our significant accounting policies as described in our consolidated financial statements for the fiscal year ended December 31, 2022. For further detail, see Note 2 in the audited consolidated financial statements for the fiscal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 on-going basis, management evaluates its estimates, judgments, and assumptions. The most significant estimates and assumptions relate to useful lives of intangible assets, impairment assessment of goodwill and income taxes.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cash, cash equivalents and restricted cash as of each period 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w w:val="85"/>
              </w:rPr>
              <w:t>As of</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9"/>
              </w:rPr>
              <w:t>April 1, 2023</w:t>
            </w:r>
          </w:p>
        </w:tc>
        <w:tc>
          <w:tcPr>
            <w:tcW w:w="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Short term deposits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Restricted cash (within other current and other long-term assets)</w:t>
            </w:r>
          </w:p>
        </w:tc>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w:t>
            </w:r>
          </w:p>
        </w:tc>
        <w:tc>
          <w:tcPr>
            <w:tcW w:w="68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measures its investment in short term deposits classified as cash equivalents at fair value on a recurring basis. The carrying value of short term deposits classified as cash equivalents approximates their fair value due to the short maturity of these items.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investment in money market funds is measured at fair value and consists of financial assets for which quoted prices are available in an active market. Interest income related to money market funds for the three months ended April 1, 2023, amounted to $8 million.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trade accounts receivable and accounts payable approximate fair value because of their generally short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net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Research and development expenses are expensed as incurred, and consist primarily of personnel, facilities, equipment, and supplies for research and development activities.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$17 million and $14 million were offset against research and development costs in the three months ended April 1, 2023 and April 2, 2022,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Beginning in 2021, as part of Intel’s corporate hedging program, Intel hedges forecasted cash flows denominated in Israeli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consolidated financial statements are recorded under accumulated other comprehensive income (loss) and reclassified into earnings in the same period or periods during which the hedged transaction affects the statement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fourth quarter of 2022, the Company de-designated its remaining cash flow hedges for forecasted operating expenses denominated in ILS. As the hedged transactions and cash flows related to the outstanding instruments were expected to occur as originally forecasted, the associated gains and losses deferred in accumulated other comprehensive income (loss) on the Company’s consolidated balance sheet were reclassified into earnings in the same period or periods during which the originally hedged transactions affect earnings. Any subsequent changes in the fair value of the outstanding derivative instruments after the de-designation and termination of hedge accounting were immediately reflected in operating expenses. As of April 1, 2023, there are no outstanding hedging instruments and all of the related accumulated other comprehensive income (loss) was reclassified into the statement of operations and comprehensive income (loss).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notional amount and fair value of derivatives outstanding at Intel on behalf of Mobileye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2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1, 2023</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3"/>
              </w:rPr>
              <w:t>December 31,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Notional amount of derivatives</w:t>
            </w:r>
          </w:p>
        </w:tc>
        <w:tc>
          <w:tcPr>
            <w:tcW w:w="2460" w:type="dxa"/>
            <w:vAlign w:val="bottom"/>
            <w:gridSpan w:val="2"/>
            <w:shd w:val="clear" w:color="auto" w:fill="CCEEFF"/>
          </w:tcPr>
          <w:p>
            <w:pPr>
              <w:jc w:val="right"/>
              <w:ind w:right="10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Fair value of derivatives receivable from (payable to) Intel</w:t>
            </w:r>
          </w:p>
        </w:tc>
        <w:tc>
          <w:tcPr>
            <w:tcW w:w="2460" w:type="dxa"/>
            <w:vAlign w:val="bottom"/>
            <w:gridSpan w:val="2"/>
          </w:tcPr>
          <w:p>
            <w:pPr>
              <w:jc w:val="right"/>
              <w:ind w:right="1028"/>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accumulated other comprehensive income (loss) relating to gains (losses) on derivatives used for hedging was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220" w:type="dxa"/>
            <w:vAlign w:val="bottom"/>
          </w:tcPr>
          <w:p>
            <w:pPr>
              <w:spacing w:after="0"/>
              <w:rPr>
                <w:sz w:val="14"/>
                <w:szCs w:val="14"/>
                <w:color w:val="auto"/>
              </w:rPr>
            </w:pPr>
          </w:p>
        </w:tc>
        <w:tc>
          <w:tcPr>
            <w:tcW w:w="294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78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April 1, 2023</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April 2,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Amounts reclassified out of accumulated other comprehensive income (loss)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 effects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expense or benefit for those jurisdictions is recorded separately.</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the periods presented in the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condensed consolidated financial statements has been calculated using the separate return method, as if the Company had filed its own tax returns.</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a Tax Sharing Agreement with its Parent that establishes the amount of cash payable for the Company’s share of the tax liability owed on consolidated tax return filings with its Parent. Any differences between taxes payable to the Company’s Parent under the Tax Sharing Agreement and the current tax provision computed on a separate return basis, is reflected as adjustments to additional paid-in capital in the condensed consolidated statement of changes in equity and financing activities within the condensed consolidated statement of cash flows.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reflects tax loss and tax credit carry-forward attributes under the separate return method approach. Such tax attributes may not be benefited in the same period as the Company’s Parent on a consolidated tax return.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there are no current matters that would have a material effect on the Company’s condensed consolidated balance sheets, statements of operations or cash flows. Legal fees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which include short-term deposits and money market funds, and also trade accounts receivable.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majority of the Company’s cash and cash equivalents are invested in banks domiciled in the U.S. and Europe, as well as in Israel. Generally, these cash equivalents may be redeemed upon demand. Short term bank deposits are held in the aforementioned banks. The money market funds consist of institutional investors money market funds and are readily redeemable to cash. Accordingly, management believes that these bank deposits and money market funds, have minimal credit risk.</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Company’s accounts receivables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for accounts receivable by considering a number of factors, including the length of time accounts receivable are past due, the Company’s previous loss history from such customers, and the customers’ current ability to pay its obligation to the Company. As of April 1, 2023 and December 31, 2022, the credit losses for accounts receivable were not material. The Company writes off accounts receivable when they are deemed uncollectible. For the three months ended April 1, 2023 and April 2, 2022, the charge-offs and recoveries in relation to the credit losses accounts were not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 risk</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related to customers that accounted for more than 10% of the Company’s total revenue and more than 10% of the total accounts receivable balance for each of the periods presented in these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a single supplier risk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 that the Company has been experiencing during 2022 and may experience during 2023, including in components of our other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risk</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During the fiscal year ended December 31, 2022, due to global supply chain constraints and shortage of semiconductors, the Company’s sole supplier was not able to meet demand of the Company for EyeQ® SoCs, causing a significant reduction in the Company’s inventory levels. We may continue to experience a shortfall of EyeQ® SoCs and may experience a shortfall in components of our other products, which has already caused certain delays and may continue to cause further delays in our ability to fulfil customers’ orders. Continued shortages and supply chain constraints in EyeQ® SoCs and in components of our other products,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OTHER FINANCIAL STATEMENT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7"/>
              </w:rPr>
              <w:t>As of</w:t>
            </w:r>
          </w:p>
        </w:tc>
        <w:tc>
          <w:tcPr>
            <w:tcW w:w="1500" w:type="dxa"/>
            <w:vAlign w:val="bottom"/>
            <w:tcBorders>
              <w:bottom w:val="single" w:sz="8" w:color="auto"/>
            </w:tcBorders>
          </w:tcPr>
          <w:p>
            <w:pPr>
              <w:spacing w:after="0"/>
              <w:rPr>
                <w:sz w:val="14"/>
                <w:szCs w:val="14"/>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2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April 1, 2023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2022</w:t>
            </w:r>
          </w:p>
        </w:tc>
      </w:tr>
      <w:tr>
        <w:trPr>
          <w:trHeight w:val="21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Raw materials</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rPr>
              <w:t>Finished goods</w:t>
            </w:r>
          </w:p>
        </w:tc>
        <w:tc>
          <w:tcPr>
            <w:tcW w:w="2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388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Inventory write-downs and write-offs were not material for the periods presented in these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w w:val="85"/>
              </w:rPr>
              <w:t>As of</w:t>
            </w:r>
          </w:p>
        </w:tc>
        <w:tc>
          <w:tcPr>
            <w:tcW w:w="1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April 1, 2023</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5"/>
              </w:rPr>
              <w:t>December 31,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Computers, electronic equipment and software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Vehicles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Office furniture and equipment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 in process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property and equipment, gross</w:t>
            </w:r>
          </w:p>
        </w:tc>
        <w:tc>
          <w:tcPr>
            <w:tcW w:w="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expenses totaled $7 million and $5 million for the three months ended April 1, 2023 and April 2, 2022, respectively.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Mobileye Plan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Following the Mobileye IPO in October 2022, the Company’s employees are incentivized and rewarded through the grant of the Company’s equity awards under the Mobileye Global Inc. 2022 Equity Incentive Plan (“the 2022 Plan”), which are granted for Class A shares and vest upon the satisfaction of a service-based vesting condition, mostly over service periods of three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RSUs activity for the three months ended April 1, 2023 for RSUs granted to Company’s employees under the 2022 Plan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Number of RSUs</w:t>
            </w:r>
          </w:p>
        </w:tc>
        <w:tc>
          <w:tcPr>
            <w:tcW w:w="18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93"/>
              </w:rPr>
              <w:t>U.S. dollars</w:t>
            </w: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12,564</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9"/>
        </w:trPr>
        <w:tc>
          <w:tcPr>
            <w:tcW w:w="6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April 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Less than 1000</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1, 2023, the unrecognized compensation cost related to all unvested RSUs granted under the 2022 Plan, was $180 million, which is expected to be recognized as expense over a weighted-average period of 1.5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 Plan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and exercisable options for Intel’s common stock under Intel’s plan as of April 1, 2023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11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Weighted average</w:t>
            </w:r>
          </w:p>
        </w:tc>
        <w:tc>
          <w:tcPr>
            <w:tcW w:w="200" w:type="dxa"/>
            <w:vAlign w:val="bottom"/>
          </w:tcPr>
          <w:p>
            <w:pPr>
              <w:spacing w:after="0"/>
              <w:rPr>
                <w:sz w:val="10"/>
                <w:szCs w:val="10"/>
                <w:color w:val="auto"/>
              </w:rPr>
            </w:pPr>
          </w:p>
        </w:tc>
        <w:tc>
          <w:tcPr>
            <w:tcW w:w="130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w w:val="96"/>
              </w:rPr>
              <w:t>Weighted average</w:t>
            </w:r>
          </w:p>
        </w:tc>
        <w:tc>
          <w:tcPr>
            <w:tcW w:w="18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128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w w:val="95"/>
              </w:rPr>
              <w:t>Weighted average</w:t>
            </w: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Exercise price</w:t>
            </w: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 life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w w:val="94"/>
              </w:rPr>
              <w:t>exercise price</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exercise price</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U.S. dollars</w:t>
            </w:r>
          </w:p>
        </w:tc>
        <w:tc>
          <w:tcPr>
            <w:tcW w:w="2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years</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U.S. dollars</w:t>
            </w:r>
          </w:p>
        </w:tc>
        <w:tc>
          <w:tcPr>
            <w:tcW w:w="1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$ 4.0 - 21.6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88"/>
              </w:rPr>
              <w:t>$ 22.4 - 26.9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0"/>
        </w:trPr>
        <w:tc>
          <w:tcPr>
            <w:tcW w:w="3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2,266</w:t>
            </w:r>
          </w:p>
        </w:tc>
        <w:tc>
          <w:tcPr>
            <w:tcW w:w="2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gridSpan w:val="2"/>
          </w:tcPr>
          <w:p>
            <w:pPr>
              <w:jc w:val="right"/>
              <w:ind w:right="484"/>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options activity for the three months ended April 1, 2023 for options granted to the Company’s employees for Intel’s common stock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9"/>
              </w:rPr>
              <w:t>Aggregated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Number of options</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contractual Life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intrinsic value(1)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years</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8"/>
              </w:rPr>
              <w:t>U.S. dollars</w:t>
            </w:r>
          </w:p>
        </w:tc>
        <w:tc>
          <w:tcPr>
            <w:tcW w:w="140" w:type="dxa"/>
            <w:vAlign w:val="bottom"/>
          </w:tcPr>
          <w:p>
            <w:pPr>
              <w:spacing w:after="0"/>
              <w:rPr>
                <w:sz w:val="12"/>
                <w:szCs w:val="12"/>
                <w:color w:val="auto"/>
              </w:rPr>
            </w:pPr>
          </w:p>
        </w:tc>
        <w:tc>
          <w:tcPr>
            <w:tcW w:w="15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U.S. dollars 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Exercised</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April 1, 2023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2,266</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Options exercisable as of April 1, 2023</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2,255</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8"/>
        <w:spacing w:after="0" w:line="263"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awards and the closing stock price of Intel’s ordinary shares. On April 1, 2023, the share price was $32.7. This represents the potential pre-tax amount receivable by the option holders had all option holders exercised their options as of such date.</w:t>
      </w:r>
    </w:p>
    <w:p>
      <w:pPr>
        <w:spacing w:after="0" w:line="183" w:lineRule="exact"/>
        <w:rPr>
          <w:rFonts w:ascii="Arial" w:cs="Arial" w:eastAsia="Arial" w:hAnsi="Arial"/>
          <w:sz w:val="18"/>
          <w:szCs w:val="18"/>
          <w:color w:val="auto"/>
        </w:rPr>
      </w:pPr>
    </w:p>
    <w:p>
      <w:pPr>
        <w:ind w:firstLine="8"/>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remaining options expected to vest as of April 1, 2023 are 10.5 thousand options with an average weighted exercise price of $21.6.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RSUs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RSUs activity for the three months ended April 1, 2023 for RSUs granted to the Company’s employees for Intel’s common stock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30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90"/>
              </w:rPr>
              <w:t>U.S. dollars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Outstanding as of April 1, 2023</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5,459</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expenses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April 1, 2023, the unrecognized compensation cost related to stock options and RSUs granted under the Intel 2006 Plan was $165 million, which will be recognized over a weighted average period of 0.9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compensation expense summary (for both Mobileye and Intel Plans)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Share-based compensation expenses included in the condensed consolidated statements of operations and comprehensive income (loss) was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3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368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April 1, 2023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April 2, 2022</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3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3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100" w:type="dxa"/>
            <w:vAlign w:val="bottom"/>
            <w:vMerge w:val="restart"/>
          </w:tcPr>
          <w:p>
            <w:pPr>
              <w:jc w:val="right"/>
              <w:ind w:right="163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6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(LOSS) PER SHARE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Before the Mobileye IPO, Intel held directly or indirectly the 100 shares of common stock of Mobileye, with a par value of $0.01 per share, that were issued and outstanding. Immediately prior to the Mobileye IPO, those 100 shares of common stock held by Intel were reclassified into 100 shares of Class B common stock with a par value of $0.01 per share. Concurrently, we issued to Intel an additional 749,999,900 shares of our Class B common stock pursuant to an agreement with Intel. Accordingly, as of the completion of the Mobileye IPO, we have 750,000,000 Class B shares, all held by Intel. Per ASC 260-10-55-12, this share amount is being retroactively utilized for the calculation of basic and diluted earnings (loss) per share (“EPS”) for all periods presented.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Mobileye IPO, we issued 41,000,000 shares of our Class A common stock to the public at a public offering price of $21 per share and an additional 4,761,905 Class A shares at a private placement. The Mobileye IPO closed on October 28, 2022. On November 1, 2022, we closed the sale of an additional 6,150,000 shares pursuant to the exercise of the underwriters’ over-allotment option. In accordance with ASC 260, the Class A shares issued in connection with the Mobileye IPO are included in earnings (loss) per share calculations for periods subsequent to the closing of the Mobileye IPO and are not included in the earnings (loss) per share calculations for periods prior to the closing of the Mobileye IPO.</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months ended April 1, 2023, the computation of diluted earnings (loss) per share attributable to common stockholders does not include 7.1 million potential common shares, based on treasury stock method, related to restricted stock units granted under the 2022 Plan to the Company’s employees, as the effect of their inclusion would have been anti-dilutive.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calculation of basic earnings (loss) per share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7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April 1,</w:t>
            </w: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April 2,</w:t>
            </w:r>
          </w:p>
        </w:tc>
        <w:tc>
          <w:tcPr>
            <w:tcW w:w="20" w:type="dxa"/>
            <w:vAlign w:val="bottom"/>
          </w:tcPr>
          <w:p>
            <w:pPr>
              <w:spacing w:after="0"/>
              <w:rPr>
                <w:sz w:val="10"/>
                <w:szCs w:val="10"/>
                <w:color w:val="auto"/>
              </w:rPr>
            </w:pPr>
          </w:p>
        </w:tc>
      </w:tr>
      <w:tr>
        <w:trPr>
          <w:trHeight w:val="171"/>
        </w:trPr>
        <w:tc>
          <w:tcPr>
            <w:tcW w:w="756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30"/>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8"/>
                <w:szCs w:val="18"/>
                <w:color w:val="auto"/>
              </w:rPr>
              <w:t>Weighted average common shares - basic and diluted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75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income tax provision included in these condensed consolidated financial statements has been calculated using the separate return method, as if the Company had filed its own tax returns. Net operating losses generated by the Company that have been utilized as part of the Parent’s consolidated income tax return filings but have not been utilized by the Company under the separate return method approach, have been reflected in these condensed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w:t>
      </w:r>
    </w:p>
    <w:p>
      <w:pPr>
        <w:spacing w:after="0" w:line="16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Any differences between taxes currently payable to the Company’s Parent under the Tax Sharing Agreement and the current tax provision computed on a separate return basis, is reflected as adjustments to additional paid-in capital (see also Note 2). The adjustment to additional paid-in capital for the three months ended April 1, 2023 was an aggregate decrease of $5 million because amounts payable under the Tax Sharing Agreement in respect of the three-month period exceeded amounts calculated under the separate return method.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tax expense for the three months ended April 1, 2023 and April 2, 2022, was unfavorably impacted by a valuation allowance for certain jurisdictions. A withholding tax expense of $14 million related to a dividend distribution between entities within the Mobileye Group was recorded in the three months ended April 2, 2022. As the Company has jurisdictions that have sustained recent losses based on the separate return method, a valuation allowance is required for deferred tax assets for which no benefit can be currently realized.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PARTIES TRANSACTIONS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entered into a series of related party arrangements with Intel. For further description of the arrangements refer to Note 9 of the notes to the consolidated financial statements for the year ended December 31,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Compensation Recharge Agreement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condensed consolidated balance sheets, under related party payable was approximately $1 million and $1 million as of April 1, 2023 and December 31, 2022, respectively. The reimbursement amounts recorded as an adjustment to additional paid-in capital (and to parent net investment prior to the Mobileye IPO) in the condensed consolidated statement of changes in equity were $4 million and $29 million for the three months ended April 1, 2023 and April 2, 2022,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 agreements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April 1, 2023 and April 2, 2022, were $1.3 million and $0.4 million,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services to a related party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reimbursed its Chief Executive Officer for reasonable travel related expenses incurred while conducting business on behalf of the Company. Travel related reimbursements totaled $0.7 million and zero for three months ended April 1, 2023 and April 2, 2022,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Administrative Services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Administrative Services Agreement, effective as of the completion of the Mobileye IPO, Intel provides the Company with administrative, financial, legal, tax, and other services. The Company pays fees to Intel for the services rendered based on pricing per service agreed between the Company and Intel.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costs incurred under this agreement for the three months ended April 1, 2023 were $0.4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Technology and Services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Technology and Services Agreement, effective as of the completion of the Mobileye IPO,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for which the LiDAR Product Collaboration Agreement applies. Pursuant to the Technology and Services Agreement, the Company and Intel will agree to statements of work with additional terms for Technology Projects.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incurred under this agreement for the three months ended April 1, 2023 was $1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LiDAR Product Collaboration Agreement</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LiDAR Product Collaboration Agreement, effective as of the completion of the Mobileye IPO, provides the terms that will apply to the Company’s collaboration with Intel for the development and manufacture of a Lidar sensor system for ADAS and AV in automobiles (“LiDAR Projects”). On some of the LiDAR programs joint funding will apply between Intel and Mobileye until the end of 2027 whereby Mobileye will bear its own Lidar sensor system development costs up to the first $40 million per year and Intel will bear up to $20 million per year of Mobileye’s Lidar sensor system development costs that are greater than $40 million per year.</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LiDAR Product Collaboration Agreement further provides that Intel will manufacture certain components for the Company to market and sell as part of a FMCW (frequency-modulated continuous wave) Lidar sensor system solely for external environment sensing for ADAS and AV in automobiles. The price for the components Intel will manufacture for the Company will be based on a cost-plus model. In addition, the agreement also includes a profit-sharing model under which Mobileye will pay Intel a share of the gross profit for each LiDAR sensor system or components thereof, based on Intel technology, sold by Mobileye.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amounts received or receivable from Intel under this agreement for the three months ended April 1, 2023.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Sharing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audit or other tax proceedings.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1, 2023 and December 31, 2022, the related party payable to Intel, pursuant to the Tax Sharing Agreement, was $39 million and $34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IDENTIFIED INTANGIBLE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As of</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142"/>
        </w:trPr>
        <w:tc>
          <w:tcPr>
            <w:tcW w:w="3400" w:type="dxa"/>
            <w:vAlign w:val="bottom"/>
          </w:tcPr>
          <w:p>
            <w:pPr>
              <w:spacing w:after="0" w:line="142" w:lineRule="exact"/>
              <w:rPr>
                <w:sz w:val="20"/>
                <w:szCs w:val="20"/>
                <w:color w:val="auto"/>
              </w:rPr>
            </w:pPr>
            <w:r>
              <w:rPr>
                <w:rFonts w:ascii="Arial" w:cs="Arial" w:eastAsia="Arial" w:hAnsi="Arial"/>
                <w:sz w:val="14"/>
                <w:szCs w:val="14"/>
                <w:b w:val="1"/>
                <w:bCs w:val="1"/>
                <w:color w:val="auto"/>
              </w:rPr>
              <w:t>U.S. dollars in millions</w:t>
            </w:r>
          </w:p>
        </w:tc>
        <w:tc>
          <w:tcPr>
            <w:tcW w:w="1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April 1, 2023</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w w:val="96"/>
              </w:rPr>
              <w:t>December 31, 2022</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73"/>
        </w:trPr>
        <w:tc>
          <w:tcPr>
            <w:tcW w:w="3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1"/>
        </w:trPr>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Gross Assets</w:t>
            </w:r>
          </w:p>
        </w:tc>
        <w:tc>
          <w:tcPr>
            <w:tcW w:w="1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Gross Assets</w:t>
            </w:r>
          </w:p>
        </w:tc>
        <w:tc>
          <w:tcPr>
            <w:tcW w:w="1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Net</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$ 1,987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$ 2,103</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Customer relationships &amp; brands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424</w:t>
            </w:r>
          </w:p>
        </w:tc>
      </w:tr>
      <w:tr>
        <w:trPr>
          <w:trHeight w:val="210"/>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$ 2,527</w:t>
            </w:r>
          </w:p>
        </w:tc>
      </w:tr>
      <w:tr>
        <w:trPr>
          <w:trHeight w:val="20"/>
        </w:trPr>
        <w:tc>
          <w:tcPr>
            <w:tcW w:w="3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amortization expenses recorded for these identified intangible assets and their weighted average useful lives: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April 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April 2,</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2420" w:type="dxa"/>
            <w:vAlign w:val="bottom"/>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2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w:t>
            </w:r>
          </w:p>
        </w:tc>
        <w:tc>
          <w:tcPr>
            <w:tcW w:w="1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Customer relationships &amp; brands</w:t>
            </w:r>
          </w:p>
        </w:tc>
        <w:tc>
          <w:tcPr>
            <w:tcW w:w="24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amortization expenses</w:t>
            </w:r>
          </w:p>
        </w:tc>
        <w:tc>
          <w:tcPr>
            <w:tcW w:w="32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133</w:t>
            </w:r>
          </w:p>
        </w:tc>
        <w:tc>
          <w:tcPr>
            <w:tcW w:w="1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149</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362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jc w:val="right"/>
              <w:ind w:right="890"/>
              <w:spacing w:after="0"/>
              <w:rPr>
                <w:sz w:val="20"/>
                <w:szCs w:val="20"/>
                <w:color w:val="auto"/>
              </w:rPr>
            </w:pPr>
            <w:r>
              <w:rPr>
                <w:rFonts w:ascii="Arial" w:cs="Arial" w:eastAsia="Arial" w:hAnsi="Arial"/>
                <w:sz w:val="18"/>
                <w:szCs w:val="18"/>
                <w:color w:val="auto"/>
              </w:rPr>
              <w:t>18</w:t>
            </w:r>
          </w:p>
        </w:tc>
        <w:tc>
          <w:tcPr>
            <w:tcW w:w="8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expects future amortization expenses for the next five years and thereafter to be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U.S. dollars in millions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Remainder of 2023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2024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2026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2027</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Thereafter</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Total</w:t>
            </w:r>
          </w:p>
        </w:tc>
      </w:tr>
      <w:tr>
        <w:trPr>
          <w:trHeight w:val="209"/>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Future amortization expenses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$ 2,394</w:t>
            </w: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Mobileye is the Company’s only reportable operating segment and Moovit is presented within “Other” as per ASC 280, Segment Reporting. Segment performance is the operating income reported excluding the amortization of acquisition-related intangible assets. The measure of assets has not been disclosed for each segment as it is not regularly reviewed by the CODM.</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accounting policies of the individual segments are the same as those described in the summary of significant accounting policies in Note 2 to the audited consolidated financial statements for the fiscal year ended December 31,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segment results for each period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5"/>
              </w:rPr>
              <w:t>Three months ended April 1, 2023</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Amounts not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allocated to</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566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Mobileye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segments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b w:val="1"/>
                <w:bCs w:val="1"/>
                <w:color w:val="auto"/>
              </w:rPr>
              <w:t>Segment performance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360" w:type="dxa"/>
            <w:vAlign w:val="bottom"/>
            <w:gridSpan w:val="3"/>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w:t>
            </w:r>
          </w:p>
        </w:tc>
        <w:tc>
          <w:tcPr>
            <w:tcW w:w="44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0" w:type="dxa"/>
            <w:vAlign w:val="bottom"/>
          </w:tcPr>
          <w:p>
            <w:pPr>
              <w:spacing w:after="0"/>
              <w:rPr>
                <w:sz w:val="18"/>
                <w:szCs w:val="18"/>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5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financial income (expense), net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Depreciation of property and equipment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r>
      <w:tr>
        <w:trPr>
          <w:trHeight w:val="364"/>
        </w:trPr>
        <w:tc>
          <w:tcPr>
            <w:tcW w:w="5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w w:val="95"/>
              </w:rPr>
              <w:t>Three months ended April 2, 2022</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5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Amounts not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allocated to</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566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Mobileye</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5"/>
              </w:rPr>
              <w:t>segments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20" w:type="dxa"/>
            <w:vAlign w:val="bottom"/>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b w:val="1"/>
                <w:bCs w:val="1"/>
                <w:color w:val="auto"/>
              </w:rPr>
              <w:t>Segment performance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360" w:type="dxa"/>
            <w:vAlign w:val="bottom"/>
            <w:gridSpan w:val="3"/>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Pr>
          <w:p>
            <w:pPr>
              <w:spacing w:after="0"/>
              <w:rPr>
                <w:sz w:val="18"/>
                <w:szCs w:val="18"/>
                <w:color w:val="auto"/>
              </w:rPr>
            </w:pPr>
          </w:p>
        </w:tc>
        <w:tc>
          <w:tcPr>
            <w:tcW w:w="44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0" w:type="dxa"/>
            <w:vAlign w:val="bottom"/>
          </w:tcPr>
          <w:p>
            <w:pPr>
              <w:spacing w:after="0"/>
              <w:rPr>
                <w:sz w:val="18"/>
                <w:szCs w:val="18"/>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income (expense) with related party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financial income (expense), net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5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based on the country that the product was shipped to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4180" w:type="dxa"/>
            <w:vAlign w:val="bottom"/>
          </w:tcPr>
          <w:p>
            <w:pPr>
              <w:spacing w:after="0"/>
              <w:rPr>
                <w:sz w:val="10"/>
                <w:szCs w:val="10"/>
                <w:color w:val="auto"/>
              </w:rPr>
            </w:pPr>
          </w:p>
        </w:tc>
        <w:tc>
          <w:tcPr>
            <w:tcW w:w="840" w:type="dxa"/>
            <w:vAlign w:val="bottom"/>
          </w:tcPr>
          <w:p>
            <w:pPr>
              <w:jc w:val="center"/>
              <w:ind w:left="269"/>
              <w:spacing w:after="0" w:line="119" w:lineRule="exact"/>
              <w:rPr>
                <w:sz w:val="20"/>
                <w:szCs w:val="20"/>
                <w:color w:val="auto"/>
              </w:rPr>
            </w:pPr>
            <w:r>
              <w:rPr>
                <w:rFonts w:ascii="Arial" w:cs="Arial" w:eastAsia="Arial" w:hAnsi="Arial"/>
                <w:sz w:val="13"/>
                <w:szCs w:val="13"/>
                <w:b w:val="1"/>
                <w:bCs w:val="1"/>
                <w:color w:val="auto"/>
              </w:rPr>
              <w:t>April 1,</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ind w:left="250"/>
              <w:spacing w:after="0" w:line="119" w:lineRule="exact"/>
              <w:rPr>
                <w:sz w:val="20"/>
                <w:szCs w:val="20"/>
                <w:color w:val="auto"/>
              </w:rPr>
            </w:pPr>
            <w:r>
              <w:rPr>
                <w:rFonts w:ascii="Arial" w:cs="Arial" w:eastAsia="Arial" w:hAnsi="Arial"/>
                <w:sz w:val="13"/>
                <w:szCs w:val="13"/>
                <w:b w:val="1"/>
                <w:bCs w:val="1"/>
                <w:color w:val="auto"/>
              </w:rPr>
              <w:t>April 2,</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vMerge w:val="continue"/>
          </w:tcPr>
          <w:p>
            <w:pPr>
              <w:spacing w:after="0"/>
              <w:rPr>
                <w:sz w:val="14"/>
                <w:szCs w:val="14"/>
                <w:color w:val="auto"/>
              </w:rPr>
            </w:pPr>
          </w:p>
        </w:tc>
        <w:tc>
          <w:tcPr>
            <w:tcW w:w="50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4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159</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Germany</w:t>
            </w:r>
          </w:p>
        </w:tc>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4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South Korea</w:t>
            </w:r>
          </w:p>
        </w:tc>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Poland</w:t>
            </w:r>
          </w:p>
        </w:tc>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4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Hungary</w:t>
            </w:r>
          </w:p>
        </w:tc>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180" w:type="dxa"/>
            <w:vAlign w:val="bottom"/>
          </w:tcPr>
          <w:p>
            <w:pPr>
              <w:spacing w:after="0"/>
              <w:rPr>
                <w:sz w:val="18"/>
                <w:szCs w:val="18"/>
                <w:color w:val="auto"/>
              </w:rPr>
            </w:pP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458</w:t>
            </w:r>
          </w:p>
        </w:tc>
        <w:tc>
          <w:tcPr>
            <w:tcW w:w="240" w:type="dxa"/>
            <w:vAlign w:val="bottom"/>
          </w:tcPr>
          <w:p>
            <w:pPr>
              <w:spacing w:after="0"/>
              <w:rPr>
                <w:sz w:val="18"/>
                <w:szCs w:val="18"/>
                <w:color w:val="auto"/>
              </w:rPr>
            </w:pPr>
          </w:p>
        </w:tc>
        <w:tc>
          <w:tcPr>
            <w:tcW w:w="840" w:type="dxa"/>
            <w:vAlign w:val="bottom"/>
            <w:tcBorders>
              <w:bottom w:val="single" w:sz="8" w:color="auto"/>
            </w:tcBorders>
          </w:tcPr>
          <w:p>
            <w:pPr>
              <w:jc w:val="right"/>
              <w:ind w:right="690"/>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394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180" w:type="dxa"/>
            <w:vAlign w:val="bottom"/>
            <w:vMerge w:val="restart"/>
          </w:tcPr>
          <w:p>
            <w:pPr>
              <w:jc w:val="right"/>
              <w:ind w:right="2179"/>
              <w:spacing w:after="0"/>
              <w:rPr>
                <w:sz w:val="20"/>
                <w:szCs w:val="20"/>
                <w:color w:val="auto"/>
              </w:rPr>
            </w:pPr>
            <w:r>
              <w:rPr>
                <w:rFonts w:ascii="Arial" w:cs="Arial" w:eastAsia="Arial" w:hAnsi="Arial"/>
                <w:sz w:val="18"/>
                <w:szCs w:val="18"/>
                <w:color w:val="auto"/>
              </w:rPr>
              <w:t>20</w:t>
            </w: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generate the majority of our revenue from the sale of our EyeQ® SoCs to OEMs through sales to Tier 1 automotive suppliers. EyeQ® SoC sales represented approximately 88% and 92% of our revenue for each of the three months ended April 1, 2023 and April 2,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major customers that amount to 10% or more of total revenue:</w:t>
      </w:r>
    </w:p>
    <w:p>
      <w:pPr>
        <w:spacing w:after="0" w:line="230"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440" w:type="dxa"/>
            <w:vAlign w:val="bottom"/>
          </w:tcPr>
          <w:p>
            <w:pPr>
              <w:spacing w:after="0"/>
              <w:rPr>
                <w:sz w:val="10"/>
                <w:szCs w:val="10"/>
                <w:color w:val="auto"/>
              </w:rPr>
            </w:pPr>
          </w:p>
        </w:tc>
        <w:tc>
          <w:tcPr>
            <w:tcW w:w="780" w:type="dxa"/>
            <w:vAlign w:val="bottom"/>
            <w:tcBorders>
              <w:top w:val="single" w:sz="8" w:color="auto"/>
            </w:tcBorders>
          </w:tcPr>
          <w:p>
            <w:pPr>
              <w:jc w:val="center"/>
              <w:ind w:left="171"/>
              <w:spacing w:after="0" w:line="119" w:lineRule="exact"/>
              <w:rPr>
                <w:sz w:val="20"/>
                <w:szCs w:val="20"/>
                <w:color w:val="auto"/>
              </w:rPr>
            </w:pPr>
            <w:r>
              <w:rPr>
                <w:rFonts w:ascii="Arial" w:cs="Arial" w:eastAsia="Arial" w:hAnsi="Arial"/>
                <w:sz w:val="13"/>
                <w:szCs w:val="13"/>
                <w:b w:val="1"/>
                <w:bCs w:val="1"/>
                <w:color w:val="auto"/>
              </w:rPr>
              <w:t>April 1,</w:t>
            </w: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April 2,</w:t>
            </w:r>
          </w:p>
        </w:tc>
        <w:tc>
          <w:tcPr>
            <w:tcW w:w="140" w:type="dxa"/>
            <w:vAlign w:val="bottom"/>
          </w:tcPr>
          <w:p>
            <w:pPr>
              <w:spacing w:after="0"/>
              <w:rPr>
                <w:sz w:val="10"/>
                <w:szCs w:val="10"/>
                <w:color w:val="auto"/>
              </w:rPr>
            </w:pPr>
          </w:p>
        </w:tc>
      </w:tr>
      <w:tr>
        <w:trPr>
          <w:trHeight w:val="171"/>
        </w:trPr>
        <w:tc>
          <w:tcPr>
            <w:tcW w:w="7440" w:type="dxa"/>
            <w:vAlign w:val="bottom"/>
          </w:tcPr>
          <w:p>
            <w:pPr>
              <w:spacing w:after="0"/>
              <w:rPr>
                <w:sz w:val="14"/>
                <w:szCs w:val="14"/>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Percent of total revenues: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*Less than 10%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balances of major customers that amount to 10% or more of total accounts receivable balance: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9"/>
        </w:trPr>
        <w:tc>
          <w:tcPr>
            <w:tcW w:w="7440" w:type="dxa"/>
            <w:vAlign w:val="bottom"/>
          </w:tcPr>
          <w:p>
            <w:pPr>
              <w:spacing w:after="0"/>
              <w:rPr>
                <w:sz w:val="10"/>
                <w:szCs w:val="10"/>
                <w:color w:val="auto"/>
              </w:rPr>
            </w:pPr>
          </w:p>
        </w:tc>
        <w:tc>
          <w:tcPr>
            <w:tcW w:w="780" w:type="dxa"/>
            <w:vAlign w:val="bottom"/>
          </w:tcPr>
          <w:p>
            <w:pPr>
              <w:jc w:val="center"/>
              <w:ind w:left="191"/>
              <w:spacing w:after="0" w:line="119" w:lineRule="exact"/>
              <w:rPr>
                <w:sz w:val="20"/>
                <w:szCs w:val="20"/>
                <w:color w:val="auto"/>
              </w:rPr>
            </w:pPr>
            <w:r>
              <w:rPr>
                <w:rFonts w:ascii="Arial" w:cs="Arial" w:eastAsia="Arial" w:hAnsi="Arial"/>
                <w:sz w:val="13"/>
                <w:szCs w:val="13"/>
                <w:b w:val="1"/>
                <w:bCs w:val="1"/>
                <w:color w:val="auto"/>
              </w:rPr>
              <w:t>April 1,</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0" w:type="dxa"/>
            <w:vAlign w:val="bottom"/>
          </w:tcPr>
          <w:p>
            <w:pPr>
              <w:spacing w:after="0"/>
              <w:rPr>
                <w:sz w:val="10"/>
                <w:szCs w:val="10"/>
                <w:color w:val="auto"/>
              </w:rPr>
            </w:pPr>
          </w:p>
        </w:tc>
      </w:tr>
      <w:tr>
        <w:trPr>
          <w:trHeight w:val="171"/>
        </w:trPr>
        <w:tc>
          <w:tcPr>
            <w:tcW w:w="7440" w:type="dxa"/>
            <w:vAlign w:val="bottom"/>
          </w:tcPr>
          <w:p>
            <w:pPr>
              <w:spacing w:after="0"/>
              <w:rPr>
                <w:sz w:val="14"/>
                <w:szCs w:val="14"/>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Percent of total accounts receivables balance: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23 %</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21 %</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822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22 %</w:t>
            </w: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*Less than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2023, the Company’s compensation committee approved the issuance of restricted stock units to be issued under our 2022 Equity Incentive Plan. The total aggregate fair value of RSUs granted was $15.2 million, which consisted of 403 thousand RSUs, which will vest over a service period of three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financial data for periods ending or as of dates prior to the completion of the Mobileye IPO have been derived from the consolidated financial statements and accounting records of Intel Corporation (“Intel”) using the historical results of operations and the historical basis of assets and liabilities. The financial data herein includes costs of our business, which may not, however, reflect the expenses we would have incurred as a stand-alone company for the periods presented. Following the completion of the Mobileye IPO, the consolidated financial statements include the accounts of the Company and its wholly-owned subsidiaries.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April 1, 2023, our solutions had been installed in approximately 800 vehicle models (including local country, year, and other vehicle model variations), and our System-on-Chips (“SoCs”) had been deployed in over 140 million vehicles. We are actively working with more than 50 Original Equipment Manufacturers (“OEMs”) worldwide on the implementation of our ADAS solutions. In the three months ended April 1, 2023, we shipped approximately 8.1 million of our systems, the substantial majority of which were EyeQ® SoCs. This represents an increase from the approximately 7.4 million of our systems that we shipped in the first three months of 2022.</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(as defined below) and the Mobileye IPO in October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Reorganization and Initial Public Offering</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October 2022, Intel completed the internal reorganization and design of our new public entity (the “Reorganization”) for purposes of the Mobileye IPO. The registration statement related to the Mobileye IPO was declared effective on October 25, 2022, and our Class A common stock began trading on The Nasdaq Global Select Market under the ticker symbol “MBLY” on October 26, 2022. Prior to the completion of the Mobileye IPO, we were a wholly-owned business of Intel. On November 1, 2022, we closed the sale of additional shares pursuant to the exercise of the underwriters’ the over-allotment option. Upon the closing of the Mobileye IPO (after giving effect to the exercise of the over-allotment option), Intel continues to directly or indirectly hold all of the Class B common stock of Mobileye, which represents approximately 99.3% of the voting power of our common stock.</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further information and descriptions of the transactions in the Reorganization related to the Mobileye IPO, see Note 1 of the notes to the Consolidated Financial Statements in Part II, Item 8 of the 2022 Annual Report on Form 10-K, as filed with the Securities and Exchange Commission (the “SEC”) on March 9, 2023 (the “2022 Form 10-K”), and the section entitled “Certain Relationships and Related Party Transactions” in the Company’s Definitive Proxy Statement on Schedule 14A, as filed with the SEC on April 28, 2023.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derive substantially all of our revenue from our commercially deployed ADAS solutions. In the future, propelled by our next generation of EyeQ® SoCs, our surround computer vision Mobileye SuperVision™ solution, productization of software-defined imaging radars and our True Redundancy™ architecture, we believe that we will be positioned to deliver an autonomous driving solution that can enable the mass adoption of AV.</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generate the majority of our revenue from the sale of our EyeQ® SoCs to OEMs through sales to Tier 1 automotive suppliers. We typically sell our products with volume-based pricing and recognize the revenue and costs associated with our products upon shipment.</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have also established a relationship with Quanta Computer to develop and assemble our ECUs, including the design for our Mobileye SuperVision™, which includes our EyeQ®5 SoCs manufactured by STMicroelectronics.</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and will continue to be of significant value to us as we collaborate with regulators who are preparing frameworks to enable commercial deployment of AVs.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there are several important factors that have affected and that we expect to continue to affect our results of operations:</w:t>
      </w:r>
    </w:p>
    <w:p>
      <w:pPr>
        <w:spacing w:after="0" w:line="24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b w:val="1"/>
          <w:bCs w:val="1"/>
          <w:i w:val="1"/>
          <w:iCs w:val="1"/>
          <w:color w:val="auto"/>
        </w:rPr>
        <w:t xml:space="preserve">Global demand for automotive vehicles. </w:t>
      </w:r>
      <w:r>
        <w:rPr>
          <w:rFonts w:ascii="Arial" w:cs="Arial" w:eastAsia="Arial" w:hAnsi="Arial"/>
          <w:sz w:val="16"/>
          <w:szCs w:val="16"/>
          <w:color w:val="auto"/>
        </w:rPr>
        <w:t>Our business performance is related to global automotive sales and automotive vehicle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6% growth in global vehicle production year over year in 2022, production in 2022 was still approximately 8% below the 2019 level. Moreover, automakers continue to face supply chain shortages, and we expect that global vehicle production will not fully recover to pre-COVID-19 pandemic levels from the impact of supply chain constraints in 2022 and 2023. Furthermore, current uncertain economic conditions and inflation may contribute to a reduction in consumer demand, which may reduce vehicle production over at least the next several quarters. For example, in the three months ended April 1, 2023, the Chinese electric vehicle market was negatively impacted by price reductions by a global electric vehicle OEM, reduction in government electric vehicle subsidies, and general economic weakness in the country. Our current primary customer for SuperVision</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reduced orders for this product as a result.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$458 million in the three months ended April 1, 2023 was up 16% year-over-year, outperforming the increase of global automotive production. However, we believe that the expected continued constraint on global automotive production resulting from supply chain shortages and the effects of economic uncertainty will limit our ability to increase our revenue. We expect to continue to capitalize on our strong and collaborative relationships with OEMs and Tier 1s to expand our presence in key markets and capture the long-term growth opportunities in those markets.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Design wins with new and existing customers. </w:t>
      </w:r>
      <w:r>
        <w:rPr>
          <w:rFonts w:ascii="Arial" w:cs="Arial" w:eastAsia="Arial" w:hAnsi="Arial"/>
          <w:sz w:val="18"/>
          <w:szCs w:val="18"/>
          <w:color w:val="auto"/>
        </w:rPr>
        <w:t>Global OEMs are continuously looking for innovative ways to improve the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 products, though there is no guarantee that our customers will purchase our solutions in any certain quantity or at any certain price even after we achieve design wins.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Investment in technology leadership and product development. </w:t>
      </w:r>
      <w:r>
        <w:rPr>
          <w:rFonts w:ascii="Arial" w:cs="Arial" w:eastAsia="Arial" w:hAnsi="Arial"/>
          <w:sz w:val="17"/>
          <w:szCs w:val="17"/>
          <w:color w:val="auto"/>
        </w:rPr>
        <w:t>We believe our ability to continue to develop and design highly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advanced and cost-efficient ADAS and AV solutions will position us to extend our technology leadership and encourage greater adoption of our solutions by enabling greater levels of autonomy. We also believe that our roadmap for future generations of EyeQ® SoCs and advanced systems will ultimately power autonomous driving solutions. The EyeQ® family design further enables scalable ECU architectures, from supporting a variety of ADAS solution architectures to hosting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low-cost scale solution with low power-consumption, both from an on-board technology and sensor suite perspective, will be critical to enabling the mass adoption of autonomous driving solutions.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Regulation for ADAS and autonomous driving solutions. </w:t>
      </w:r>
      <w:r>
        <w:rPr>
          <w:rFonts w:ascii="Arial" w:cs="Arial" w:eastAsia="Arial" w:hAnsi="Arial"/>
          <w:sz w:val="16"/>
          <w:szCs w:val="16"/>
          <w:color w:val="auto"/>
        </w:rPr>
        <w:t>Demand for our solutions is influenced by the impact of regulation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Consumer adoption of our ADAS and autonomous driving solutions. </w:t>
      </w:r>
      <w:r>
        <w:rPr>
          <w:rFonts w:ascii="Arial" w:cs="Arial" w:eastAsia="Arial" w:hAnsi="Arial"/>
          <w:sz w:val="18"/>
          <w:szCs w:val="18"/>
          <w:color w:val="auto"/>
        </w:rPr>
        <w:t>Our financial performance is in part driven by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Solution mix, pricing, and product costs. </w:t>
      </w:r>
      <w:r>
        <w:rPr>
          <w:rFonts w:ascii="Arial" w:cs="Arial" w:eastAsia="Arial" w:hAnsi="Arial"/>
          <w:sz w:val="18"/>
          <w:szCs w:val="18"/>
          <w:color w:val="auto"/>
        </w:rPr>
        <w:t>Solution mix is among the most important factors affecting our revenue and gross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beginning to deliver full system solutions consisting of higher-function products such as SuperVision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which carry significantly higher prices as compared to our single EyeQ® SoC and cloud-enhanced ADAS products. We believe our differentiated and scalable solutions consistently enhanced by additional features can enable us to maintain or increase overall ASPs over time, as SuperVision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other advanced solutions become a larger portion of our product mix.</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We are currently experiencing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Computer on a continuous basis to manage material costs, increase yields and improve manufacturing, assembly, and test costs.</w:t>
      </w:r>
    </w:p>
    <w:p>
      <w:pPr>
        <w:spacing w:after="0" w:line="18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Supply and manufacturing capacity. </w:t>
      </w:r>
      <w:r>
        <w:rPr>
          <w:rFonts w:ascii="Arial" w:cs="Arial" w:eastAsia="Arial" w:hAnsi="Arial"/>
          <w:sz w:val="16"/>
          <w:szCs w:val="16"/>
          <w:color w:val="auto"/>
        </w:rPr>
        <w:t>Our solutions are dependent on the global semiconductor supply chain. The continued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2022, STMicroelectronics, our sole supplier of EyeQ® SoCs, was not able to meet our demand for EyeQ® SoCs, causing a significant reduction in our inventory level, and we may continue to experience a shortfall of chips throughout 2023. We entered 2022 with significantly lower inventories of our EyeQ® SoCs as a result of the limited supply during 2021, and, due to continuing supply chain constraints, we may continue to operate with minimal or no inventory of EyeQ® SoCs on hand. As a result, we are substantially reliant on timely shipments of EyeQ® SoCs from STMicroelectronics and ECUs from Quanta Computer (or other suppliers) to fulfill customer orders and are unable to offset future supply constraints through the use of inventory on hand. The limited supply of EyeQ® SoCs has already led to rescheduling deliveries to our customers on certain occasions and may continue to cause delays in our ability to fulfill our customers’ orders as scheduled. Our results of operations in the three months ended April 1, 2023 have not been impacted by the shortfall of chips.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is monitoring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3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Public company expenses. </w:t>
      </w:r>
      <w:r>
        <w:rPr>
          <w:rFonts w:ascii="Arial" w:cs="Arial" w:eastAsia="Arial" w:hAnsi="Arial"/>
          <w:sz w:val="17"/>
          <w:szCs w:val="17"/>
          <w:color w:val="auto"/>
        </w:rPr>
        <w:t>As a recently public company, we will be implementing additional procedures and processes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pacing w:after="0" w:line="17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connection with the Mobileye IPO, we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 Segment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derive substantially all of our revenue from our commercially deployed ADAS solutions. We generate the majority of our revenue from the sale of our EyeQ®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EyeQ® SoC sales represented approximately 88% and 92% of our revenue for the three months ended April 1, 2023 and April 2, 2022. Sales of our SuperVision™ product represented the majority of the remainder of our revenue for the three months ended April 1, 2023 and approximately half of the remainder of our revenue for the three months ended April 2, 2022. Revenue from the sale of our EyeQ®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Cost of revenue consists primarily of expenses associated with the manufacturing cost of our EyeQ® SoCs and our SuperVision™ product, and amortization of acquired intangible assets, identified as developed technology. Additional costs are royalty fees for the intellectual property that is included in the EyeQ® SoC, personnel-related expenses, including share-based compensation for employees on our operations teams, logistics and insurance costs and allocated overhead costs. As we develop and sell full systems that include hardware beyond EyeQ®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primarily consist of expenses related to personnel, facilities, equipment and supplies for research and development activities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2022, mainly due to additional research and development headcount and higher direct expenses that we expect to incur in connection with the development of our new EyeQ® SoC generations, Premium Driver-Assist offerings and the productization of our AV solutions and active sensor suite.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Sarbanes-Oxley Act and other SEC rules and regulations as well as increased premiums for directors’ and officers’ insurance and the increased use of share-based compensation for general and administrative personnel.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(Expense) with related party, net and Other Financial Income (Expense),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21, 2022, we and Intel entered into a loan agreement whereby we distributed to Intel the Dividend Note in an aggregate principal amount of $3.5 billion (the “Dividend Note”). The Dividend Note accrued interest at a rate equal to 1.26% per annum. In November 2022, we used approximately $0.9 billion out of the net proceeds of the Mobileye IPO to repay a portion of the indebtedness under the Dividend Note and Intel contributed to Mobileye the remaining portion of the Dividend Note (plus related accrued interest) such that no amounts under the Dividend Note remain owed by us to Intel.</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three months ended April 1, 2023 we had no interest income (expense) with related party since the outstanding balance of both the Dividend Note and a loan to Intel was zero as of December 31, 2022. In the three months ended April 2, 2022, we generated interest income of $1 million on a loan to Intel which was fully repaid by Intel to us in December 2022.</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Other financial income (expense), net, consists primarily of income from short term deposits and income related to investment in money market funds, as well as fluctuations in value due to foreign exchange differences between our monetary assets and liabilities denominated in New Israeli Shekels and to a much lesser extent, the Euro, the Chinese Yuan, the Japanese Yen, and other currencies.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periods presented in our condensed consolidated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condensed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income tax return method approach. The use of the separate return method may result in differences between our income tax provision compared to Intel’s consolidated income tax provision.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from which we have not benefited due to a valuation allowance position. If warranted, based on the assessment of verifiable evidence in support of the realization of the deferred tax assets, the valuation allowances may be released, resulting in a tax benefit.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related to U.S. branch deferred tax assets not currently expected to be realized given that we have sustained recent losses based on the separate return method.</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condensed consolidated financial statements because the Company will recognize a benefit based on the separate return method when determined to be realizable.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results of operations in dollars and as a percentage of revenue for the periods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3"/>
          </w:tcPr>
          <w:p>
            <w:pPr>
              <w:ind w:left="680"/>
              <w:spacing w:after="0" w:line="119" w:lineRule="exact"/>
              <w:rPr>
                <w:sz w:val="20"/>
                <w:szCs w:val="20"/>
                <w:color w:val="auto"/>
              </w:rPr>
            </w:pPr>
            <w:r>
              <w:rPr>
                <w:rFonts w:ascii="Arial" w:cs="Arial" w:eastAsia="Arial" w:hAnsi="Arial"/>
                <w:sz w:val="13"/>
                <w:szCs w:val="13"/>
                <w:b w:val="1"/>
                <w:bCs w:val="1"/>
                <w:color w:val="auto"/>
              </w:rPr>
              <w:t>April 1,</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April 2,</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250"/>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U.S. dollars in millions</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w w:val="92"/>
              </w:rPr>
              <w:t>Interest Income (expense) with related party, net and Other</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7"/>
        </w:trPr>
        <w:tc>
          <w:tcPr>
            <w:tcW w:w="4420" w:type="dxa"/>
            <w:vAlign w:val="bottom"/>
            <w:gridSpan w:val="2"/>
          </w:tcPr>
          <w:p>
            <w:pPr>
              <w:spacing w:after="0"/>
              <w:rPr>
                <w:sz w:val="20"/>
                <w:szCs w:val="20"/>
                <w:color w:val="auto"/>
              </w:rPr>
            </w:pPr>
            <w:r>
              <w:rPr>
                <w:rFonts w:ascii="Arial" w:cs="Arial" w:eastAsia="Arial" w:hAnsi="Arial"/>
                <w:sz w:val="18"/>
                <w:szCs w:val="18"/>
                <w:color w:val="auto"/>
              </w:rPr>
              <w:t>Financial Income (expense), net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(73)</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gridSpan w:val="4"/>
          </w:tcPr>
          <w:p>
            <w:pPr>
              <w:spacing w:after="0"/>
              <w:rPr>
                <w:sz w:val="20"/>
                <w:szCs w:val="20"/>
                <w:color w:val="auto"/>
              </w:rPr>
            </w:pPr>
            <w:r>
              <w:rPr>
                <w:rFonts w:ascii="Arial" w:cs="Arial" w:eastAsia="Arial" w:hAnsi="Arial"/>
                <w:sz w:val="18"/>
                <w:szCs w:val="18"/>
                <w:color w:val="auto"/>
                <w:w w:val="93"/>
              </w:rPr>
              <w:t>(1) Includes amortization of acquired intangible assets, as follows: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millions</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right"/>
              <w:ind w:right="573"/>
              <w:spacing w:after="0" w:line="119" w:lineRule="exact"/>
              <w:rPr>
                <w:sz w:val="20"/>
                <w:szCs w:val="20"/>
                <w:color w:val="auto"/>
              </w:rPr>
            </w:pPr>
            <w:r>
              <w:rPr>
                <w:rFonts w:ascii="Arial" w:cs="Arial" w:eastAsia="Arial" w:hAnsi="Arial"/>
                <w:sz w:val="13"/>
                <w:szCs w:val="13"/>
                <w:b w:val="1"/>
                <w:bCs w:val="1"/>
                <w:color w:val="auto"/>
              </w:rPr>
              <w:t>April 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April 2,</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54"/>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amortization of acquired intangible assets</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 Includes share-based compensation expense, as follows: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Cost of revenue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36"/>
              <w:spacing w:after="0" w:line="119" w:lineRule="exact"/>
              <w:rPr>
                <w:sz w:val="20"/>
                <w:szCs w:val="20"/>
                <w:color w:val="auto"/>
              </w:rPr>
            </w:pPr>
            <w:r>
              <w:rPr>
                <w:rFonts w:ascii="Arial" w:cs="Arial" w:eastAsia="Arial" w:hAnsi="Arial"/>
                <w:sz w:val="13"/>
                <w:szCs w:val="13"/>
                <w:b w:val="1"/>
                <w:bCs w:val="1"/>
                <w:color w:val="auto"/>
              </w:rPr>
              <w:t>April 1,</w:t>
            </w: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416"/>
              <w:spacing w:after="0" w:line="119" w:lineRule="exact"/>
              <w:rPr>
                <w:sz w:val="20"/>
                <w:szCs w:val="20"/>
                <w:color w:val="auto"/>
              </w:rPr>
            </w:pPr>
            <w:r>
              <w:rPr>
                <w:rFonts w:ascii="Arial" w:cs="Arial" w:eastAsia="Arial" w:hAnsi="Arial"/>
                <w:sz w:val="13"/>
                <w:szCs w:val="13"/>
                <w:b w:val="1"/>
                <w:bCs w:val="1"/>
                <w:color w:val="auto"/>
              </w:rPr>
              <w:t>April 2,</w:t>
            </w:r>
          </w:p>
        </w:tc>
      </w:tr>
      <w:tr>
        <w:trPr>
          <w:trHeight w:val="171"/>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195"/>
        </w:trPr>
        <w:tc>
          <w:tcPr>
            <w:tcW w:w="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2940"/>
          </w:cols>
          <w:pgMar w:left="980" w:top="517" w:right="9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April 1, 2023 and April 2, 2022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three months ended April 1, 2023, revenue increased by $64 million, or 16%, compared to the three months ended April 2, 2022. This increase was primarily driven by an increase of $41 million, or 11%, in EyeQ® SoC revenue, and ramp up in sales of our SuperVision™ product. The increase in revenue is attributable to approximately 10% increase in volume of EyeQ® and SuperVision systems and to approximately 6% increase in Average System Price, which is calculated as the sum of revenue related to EyeQ® and SuperVision systems, divided by the number of systems delivered.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three months ended April 1, 2023, our cost of revenue increased by $33 million, or 15%, compared to the three months ended April 2, 2022. This increase was primarily due to an increase of $41 million in manufacturing costs relating primarily to increased sales of our EyeQ® SoC and SuperVision™ systems, as well as to a rise in the cost of our EyeQ® SoCs due to the global semiconductor shortage and inflationary pressures, partially offset by a decrease of $9 million in amortization of intangible assets.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three months ended April 1, 2023, our gross profit increased by $31 million, or 18%, compared to the three months ended April 2, 2022. This increase was mainly driven by the increase in sales of both EyeQ® SoC and SuperVision™ systems.</w:t>
      </w:r>
    </w:p>
    <w:p>
      <w:pPr>
        <w:spacing w:after="0" w:line="14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gross margin was 45% in both the three months ended April 1, 2023 and the three months ended April 2, 2022, as the downward impact of the increased cost of our EyeQ® SoCs (which was passed through as a price increase to our customers on a zero-margin basis) was mostly offset by lower impact of the cost attributable to amortization of intangible assets as a percentage of revenue.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expenses, net, in the three months ended April 1, 2023, increased by $55 million, or 31%, compared to the three months ended April 2, 2022. This increase was primarily due to an increase of $43 million in payroll and related expenses, resulting from an increase in average research and development headcount of 480 employees and an increase in payroll costs, including an increase of $23 million in share-based compensation. The remaining increase is mainly related to occupancy and related expenses associated with the lease of new office space in additional sites.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Sales and marketing expenses in the three months ended April 1, 2023, decreased by $2 million, or 6%, compared to the three months ended April 2, 2022. This decrease was mainly due to a decrease of $7 million in amortization of customer relationship and brand-related intangible assets, partially offset by an increase of $4 million in advertising and marketing expenses.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 and administrative expenses in the three months ended April 1, 2023, increased by $13 million, or 186%, compared to the three months ended April 2, 2022. This increase was mainly due to an increase in payroll and related expenses, including an increase of $7 million in share-based compensation, as well as costs related to being a public company.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(expense) with related party, net and Other Financial Income (expense), net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financial income (expense), net, in the three months ended April 1, 2023, was $8 million compared to $1 million in the three months ended April 2, 2022. This increase was mainly due to interest earned on investment in money market funds, as well as higher interest earned on short term bank deposits.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three months ended April 2, 2022, we generated interest income of $1 million on a loan to Intel which was fully repaid by Intel to us in December 2022.</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(Provision) for Income Tax</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three months ended April 1, 2023, provision for income tax decreased by $10 million, compared the three months ended April 2, 2022. This decrease was mainly due to a withholding tax expense of $14 million related to a dividend distribution between entities within the Mobileye Group in the three months ended April 2,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uses of funds have been for funding increases in headcount in our research and development departments and investments attributable to new product development, as well as for funding our capital expenditures. Our capital expenditures have related mainly to the construction of our new sites and campus, data storage and other computer related equipment and were $26 million and $27 million for the three months ended April 1, 2023 and April 2, 2022, respectively.</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fund our cash requirements in the ordinary course of business, we anticipate that we will continue to primarily rely on operating cash flows, supplemented by our total cash and cash equivalents. We expect our total capital expenditures for 2023 to be above our total capital expenditures in 2022, mainly given the expansion to additional facilities required to accommodate our headcount growth, as well as investments in equipment related to the development of our next generation products. The construction of our campus is planned to be completed in 2023, with a remaining cost we estimate to be between $45 million and $55 million. Our future capital requirements will depend on many factors, including our growth rate and the timing and extent of operating expenses.</w:t>
      </w:r>
    </w:p>
    <w:p>
      <w:pPr>
        <w:spacing w:after="0" w:line="1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consolidated statements of cash flow data:</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provided by operating activities</w:t>
      </w:r>
    </w:p>
    <w:p>
      <w:pPr>
        <w:spacing w:after="0" w:line="7" w:lineRule="exact"/>
        <w:rPr>
          <w:sz w:val="20"/>
          <w:szCs w:val="20"/>
          <w:color w:val="auto"/>
        </w:rPr>
      </w:pPr>
    </w:p>
    <w:p>
      <w:pPr>
        <w:ind w:right="2260"/>
        <w:spacing w:after="0" w:line="281" w:lineRule="auto"/>
        <w:rPr>
          <w:sz w:val="20"/>
          <w:szCs w:val="20"/>
          <w:color w:val="auto"/>
        </w:rPr>
      </w:pPr>
      <w:r>
        <w:rPr>
          <w:rFonts w:ascii="Arial" w:cs="Arial" w:eastAsia="Arial" w:hAnsi="Arial"/>
          <w:sz w:val="16"/>
          <w:szCs w:val="16"/>
          <w:color w:val="auto"/>
        </w:rPr>
        <w:t>Net cash provided by (used in) investing activities 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629221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right="900"/>
        <w:spacing w:after="0" w:line="376" w:lineRule="auto"/>
        <w:rPr>
          <w:sz w:val="20"/>
          <w:szCs w:val="20"/>
          <w:color w:val="auto"/>
        </w:rPr>
      </w:pPr>
      <w:r>
        <w:rPr>
          <w:rFonts w:ascii="Arial" w:cs="Arial" w:eastAsia="Arial" w:hAnsi="Arial"/>
          <w:sz w:val="16"/>
          <w:szCs w:val="16"/>
          <w:color w:val="auto"/>
        </w:rPr>
        <w:t xml:space="preserve">Effect of foreign exchange rate changes on cash and cash equivalents </w:t>
      </w:r>
      <w:r>
        <w:rPr>
          <w:rFonts w:ascii="Arial" w:cs="Arial" w:eastAsia="Arial" w:hAnsi="Arial"/>
          <w:sz w:val="16"/>
          <w:szCs w:val="16"/>
          <w:b w:val="1"/>
          <w:bCs w:val="1"/>
          <w:color w:val="auto"/>
        </w:rPr>
        <w:t>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629221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April 1, 2023</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April 2, 2022</w:t>
            </w:r>
          </w:p>
        </w:tc>
        <w:tc>
          <w:tcPr>
            <w:tcW w:w="20" w:type="dxa"/>
            <w:vAlign w:val="bottom"/>
          </w:tcPr>
          <w:p>
            <w:pPr>
              <w:spacing w:after="0"/>
              <w:rPr>
                <w:sz w:val="12"/>
                <w:szCs w:val="12"/>
                <w:color w:val="auto"/>
              </w:rPr>
            </w:pPr>
          </w:p>
        </w:tc>
      </w:tr>
      <w:tr>
        <w:trPr>
          <w:trHeight w:val="195"/>
        </w:trPr>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30"/>
        </w:trPr>
        <w:tc>
          <w:tcPr>
            <w:tcW w:w="1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20" w:type="dxa"/>
            <w:vAlign w:val="bottom"/>
          </w:tcPr>
          <w:p>
            <w:pPr>
              <w:spacing w:after="0"/>
              <w:rPr>
                <w:sz w:val="18"/>
                <w:szCs w:val="18"/>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5900" w:space="720"/>
            <w:col w:w="3300"/>
          </w:cols>
          <w:pgMar w:left="980" w:top="517" w:right="999" w:bottom="1440" w:gutter="0" w:footer="0" w:header="0"/>
          <w:type w:val="continuous"/>
        </w:sect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April 1, 2023 compared to the three months ended April 2, 2022, the $120 million increase in cash provided by operating activities was mainly due to the timing of working capital requirements and related payments in prior year period, as well as a decrease in accounts receivable in comparison to an increase in prior year period, partially offset by an increase in inventories.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investing activities in the three months ended April 1, 2023 was $26 million, consisting of capital expenditures.</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investing activities in the three months ended April 2, 2022 was $173 million consisting primarily of a $200 million loan repayment by Intel, to Mobileye partially offset by capital expenditures.</w:t>
      </w:r>
    </w:p>
    <w:p>
      <w:pPr>
        <w:sectPr>
          <w:pgSz w:w="11900" w:h="16838" w:orient="portrait"/>
          <w:cols w:equalWidth="0" w:num="1">
            <w:col w:w="9920"/>
          </w:cols>
          <w:pgMar w:left="980" w:top="517" w:right="999" w:bottom="1440" w:gutter="0" w:footer="0" w:header="0"/>
          <w:type w:val="continuous"/>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in the three months ended April 1, 2023 was $3 million, consisting of share-based compensation recharge payments made to Intel.</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financing activities in the three months ended April 2, 2022 was $91 million, consisting primarily of $186 million share-based compensation recharge payments made to Intel, partially offset by $102 million of a net contribution from Intel.</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Liability in respect of employee rights upon retirement</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Severance pay liability decreased from $56 million as of December 31, 2022, to $54 million as of April 1, 2023, reflecting mainly the impact of fluctuations in value due to foreign exchange differences between New Israeli Shekel and USD.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several bank guarantees aggregating approximately $12 million (denominated in New Israeli Shekels) mainly in connection with lease agreements and import of vehicles.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in connection with the Reorganization and the Mobileye IPO, on April 21, 2022, we distributed to Intel the Dividend Note, in the aggregate principal amount of $3.5 billion. In November 2022, we used approximately $0.9 billion out of the net proceeds from the Mobileye IPO, to repay a portion of indebtedness under the Dividend Note, and Intel contributed to Mobileye the remaining portion of the Dividend Note such that no amounts under the Dividend Note remain owed by us to Intel.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excluding items that neither relate to the ordinary course of business nor reflect our underlying business performance, such as the amortization of intangible assets and certain expenses related the Mobileye IPO,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non-GAAP financial measures reflect adjustments for amortization charges for our acquisition-related intangible assets, share-based compensation expense and certain expenses related to the Mobileye IPO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are not capitalizable, which are included within general and administrative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Gross Profit and Margin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is the reconciliation of gross profit to Adjusted Gross Profit and the calculations of gross margin and Adjusted Gross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2280" w:type="dxa"/>
            <w:vAlign w:val="bottom"/>
            <w:gridSpan w:val="5"/>
          </w:tcPr>
          <w:p>
            <w:pPr>
              <w:ind w:left="440"/>
              <w:spacing w:after="0" w:line="142" w:lineRule="exact"/>
              <w:rPr>
                <w:sz w:val="20"/>
                <w:szCs w:val="20"/>
                <w:color w:val="auto"/>
              </w:rPr>
            </w:pPr>
            <w:r>
              <w:rPr>
                <w:rFonts w:ascii="Arial" w:cs="Arial" w:eastAsia="Arial" w:hAnsi="Arial"/>
                <w:sz w:val="14"/>
                <w:szCs w:val="14"/>
                <w:b w:val="1"/>
                <w:bCs w:val="1"/>
                <w:color w:val="auto"/>
              </w:rPr>
              <w:t>April 1, 2023</w:t>
            </w:r>
          </w:p>
        </w:tc>
        <w:tc>
          <w:tcPr>
            <w:tcW w:w="184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rPr>
              <w:t>April 2, 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3"/>
              </w:rPr>
              <w:t>% of Revenue</w:t>
            </w: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and margin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520" w:type="dxa"/>
            <w:vAlign w:val="bottom"/>
            <w:gridSpan w:val="4"/>
            <w:shd w:val="clear" w:color="auto" w:fill="CCEEFF"/>
          </w:tcPr>
          <w:p>
            <w:pPr>
              <w:ind w:left="840"/>
              <w:spacing w:after="0"/>
              <w:rPr>
                <w:sz w:val="20"/>
                <w:szCs w:val="20"/>
                <w:color w:val="auto"/>
              </w:rPr>
            </w:pPr>
            <w:r>
              <w:rPr>
                <w:rFonts w:ascii="Arial" w:cs="Arial" w:eastAsia="Arial" w:hAnsi="Arial"/>
                <w:sz w:val="18"/>
                <w:szCs w:val="18"/>
                <w:color w:val="auto"/>
              </w:rPr>
              <w:t>45 %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6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w w:val="97"/>
              </w:rPr>
              <w:t>45 %</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Add: Amortization of acquired intangible assets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1360" w:type="dxa"/>
            <w:vAlign w:val="bottom"/>
            <w:gridSpan w:val="3"/>
          </w:tcPr>
          <w:p>
            <w:pPr>
              <w:ind w:left="840"/>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w w:val="97"/>
              </w:rPr>
              <w:t>32 %</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b w:val="1"/>
                <w:bCs w:val="1"/>
                <w:color w:val="auto"/>
              </w:rPr>
              <w:t>Adjusted gross profit and margin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200" w:type="dxa"/>
            <w:vAlign w:val="bottom"/>
          </w:tcPr>
          <w:p>
            <w:pPr>
              <w:spacing w:after="0"/>
              <w:rPr>
                <w:sz w:val="18"/>
                <w:szCs w:val="18"/>
                <w:color w:val="auto"/>
              </w:rPr>
            </w:pPr>
          </w:p>
        </w:tc>
        <w:tc>
          <w:tcPr>
            <w:tcW w:w="1320" w:type="dxa"/>
            <w:vAlign w:val="bottom"/>
            <w:gridSpan w:val="3"/>
          </w:tcPr>
          <w:p>
            <w:pPr>
              <w:ind w:left="640"/>
              <w:spacing w:after="0"/>
              <w:rPr>
                <w:sz w:val="20"/>
                <w:szCs w:val="20"/>
                <w:color w:val="auto"/>
              </w:rPr>
            </w:pPr>
            <w:r>
              <w:rPr>
                <w:rFonts w:ascii="Arial" w:cs="Arial" w:eastAsia="Arial" w:hAnsi="Arial"/>
                <w:sz w:val="18"/>
                <w:szCs w:val="18"/>
                <w:b w:val="1"/>
                <w:bCs w:val="1"/>
                <w:color w:val="auto"/>
              </w:rPr>
              <w:t>71 %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1260" w:type="dxa"/>
            <w:vAlign w:val="bottom"/>
            <w:gridSpan w:val="3"/>
          </w:tcPr>
          <w:p>
            <w:pPr>
              <w:ind w:left="840"/>
              <w:spacing w:after="0"/>
              <w:rPr>
                <w:sz w:val="20"/>
                <w:szCs w:val="20"/>
                <w:color w:val="auto"/>
              </w:rPr>
            </w:pPr>
            <w:r>
              <w:rPr>
                <w:rFonts w:ascii="Arial" w:cs="Arial" w:eastAsia="Arial" w:hAnsi="Arial"/>
                <w:sz w:val="18"/>
                <w:szCs w:val="18"/>
                <w:b w:val="1"/>
                <w:bCs w:val="1"/>
                <w:color w:val="auto"/>
                <w:w w:val="97"/>
              </w:rPr>
              <w:t>76 %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Adjusted Gross Margin decreased from 76% for the three months ended April 2, 2022 to 71% for the three months ended April 1, 2023. The decrease was primarily due to increased cost of our EyeQ® SoCs, due to the global semiconductor shortage and inflationary pressures, which was passed through as a price increase to our customers on a zero-margin basis.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Operating Income and Margin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define Adjusted Operating Income as operating loss presented in accordance with GAAP, adjusted to exclude amortization of acquisition related intangibles and share-based compensation expense. Operating margin is calculated as operating loss divided by total revenue, and Adjusted Operating Margin is calculated as Adjusted Operating Income divided by total revenue.</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is the reconciliation of operating income (loss) to Adjusted Operating Income and the calculations of Operating Margin and Adjusted Operating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2420" w:type="dxa"/>
            <w:vAlign w:val="bottom"/>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April 1, 2023</w:t>
            </w:r>
          </w:p>
        </w:tc>
        <w:tc>
          <w:tcPr>
            <w:tcW w:w="200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rPr>
              <w:t>April 2, 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Revenue</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and operating margin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Add: Amortization of acquired intangible assets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29 %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16 %</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b w:val="1"/>
                <w:bCs w:val="1"/>
                <w:color w:val="auto"/>
              </w:rPr>
              <w:t>Adjusted operating income and margin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27 %$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36 %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Operating loss increased by $35 million in the three months ended April 1, 2023 compared to the three months ended April 2, 2022, mainly as a result of an increase in share-based compensation expense, as well as an increase in research and development expenses, partially offset by revenue growth and a decrease in amortization expense of acquired intangible assets.</w:t>
      </w:r>
    </w:p>
    <w:p>
      <w:pPr>
        <w:spacing w:after="0" w:line="16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Adjusted Operating Income decreased by $19 million in the three months ended April 1, 2023 compared to the three months ended April 2, 2022, primarily due to an increase in research and development expenses, partially offset by revenue growth.</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Adjusted Operating Margin decreased from 36% for the three months ended April 2, 2022 to 27% for the three months ended April 1, 2023, primarily due to a lower Adjusted Gross Margin, as well as an increase in research and development expenses, mainly attributable to headcount growth, to execute our future product portfolio.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Adjusted Net Income as net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the reconciliation of net income (loss) to Adjusted 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April 1, 2023</w:t>
            </w:r>
          </w:p>
        </w:tc>
        <w:tc>
          <w:tcPr>
            <w:tcW w:w="200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rPr>
              <w:t>April 2, 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Revenue</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Add: Amortization of acquired intangible assets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16 %</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Less: Income tax effects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30 %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net loss increased by $19 million in the three months ended April 1, 2023, compared to the three months ended April 2, 2022, mainly as a result of an increase in share-based compensation expense, as well as an increase in research and development expenses, partially offset by revenue growth and a decrease in amortization expense of acquired intangible assets.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Adjusted Net Income decreased by $5 million in the three months ended April 1, 2023, compared to the three months ended April 2, 2022, primarily due to a lower Adjusted Gross Margin, as well as an increase in research and development expenses, mainly attributable to headcount growth.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Note 2, “Significant Accounting Policies” of the Notes to the condensed consolidated Financial Statements in Part I, Item 1 of this Form 10-Q and in the Notes to the Consolidated Financial Statements in Part II, Item 8 of the 2022 Form 10-K describe the significant accounting policies and methods used in the preparation of the Company’s condensed consolidated financial statements. There have been no material changes to the Company’s critical accounting estimates since the 2022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shareholders.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business, social and environmental performance, goals and measures;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growth prospects and trends in markets and industries relevant to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and investment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expectations about our ability to maintain or enhance our leadership position in the markets in which we participate;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consumer demand and behavior;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products and technology, and the expected availability and benefits of such products and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regulatory frameworks for current and future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projected cost and pricing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production capacity and product supply;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future benefits and competitive advantages associated with our technologies and architecture and the data we have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accumulated;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277" w:lineRule="auto"/>
        <w:tabs>
          <w:tab w:leader="none" w:pos="9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future purchase, use and availability of products, components and services supplied by third parties, including third-party IP and manufacturing services;</w:t>
      </w:r>
    </w:p>
    <w:p>
      <w:pPr>
        <w:spacing w:after="0" w:line="170" w:lineRule="exact"/>
        <w:rPr>
          <w:rFonts w:ascii="Arial" w:cs="Arial" w:eastAsia="Arial" w:hAnsi="Arial"/>
          <w:sz w:val="18"/>
          <w:szCs w:val="18"/>
          <w:color w:val="auto"/>
        </w:rPr>
      </w:pPr>
    </w:p>
    <w:p>
      <w:pPr>
        <w:ind w:firstLine="656"/>
        <w:spacing w:after="0" w:line="342" w:lineRule="auto"/>
        <w:tabs>
          <w:tab w:leader="none" w:pos="972" w:val="left"/>
        </w:tabs>
        <w:numPr>
          <w:ilvl w:val="0"/>
          <w:numId w:val="5"/>
        </w:numPr>
        <w:rPr>
          <w:rFonts w:ascii="Arial" w:cs="Arial" w:eastAsia="Arial" w:hAnsi="Arial"/>
          <w:sz w:val="16"/>
          <w:szCs w:val="16"/>
          <w:color w:val="auto"/>
        </w:rPr>
      </w:pPr>
      <w:r>
        <w:rPr>
          <w:rFonts w:ascii="Arial" w:cs="Arial" w:eastAsia="Arial" w:hAnsi="Arial"/>
          <w:sz w:val="16"/>
          <w:szCs w:val="16"/>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responses to and effects of the COVID-19 pandemic;</w:t>
      </w:r>
    </w:p>
    <w:p>
      <w:pPr>
        <w:spacing w:after="0" w:line="225" w:lineRule="exact"/>
        <w:rPr>
          <w:rFonts w:ascii="Arial" w:cs="Arial" w:eastAsia="Arial" w:hAnsi="Arial"/>
          <w:sz w:val="18"/>
          <w:szCs w:val="18"/>
          <w:color w:val="auto"/>
        </w:rPr>
      </w:pPr>
    </w:p>
    <w:p>
      <w:pPr>
        <w:ind w:firstLine="656"/>
        <w:spacing w:after="0" w:line="277" w:lineRule="auto"/>
        <w:tabs>
          <w:tab w:leader="none" w:pos="9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uses, sufficiency and cost of capital and capital resources, including expected returns to stockholders such as dividends, and the expected timing of future dividends;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and accounting-related expectations; and</w:t>
      </w:r>
    </w:p>
    <w:p>
      <w:pPr>
        <w:spacing w:after="0" w:line="225" w:lineRule="exact"/>
        <w:rPr>
          <w:rFonts w:ascii="Arial" w:cs="Arial" w:eastAsia="Arial" w:hAnsi="Arial"/>
          <w:sz w:val="18"/>
          <w:szCs w:val="18"/>
          <w:color w:val="auto"/>
        </w:rPr>
      </w:pPr>
    </w:p>
    <w:p>
      <w:pPr>
        <w:ind w:firstLine="656"/>
        <w:spacing w:after="0" w:line="277" w:lineRule="auto"/>
        <w:tabs>
          <w:tab w:leader="none" w:pos="972"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statements described in this report and under the sections entitled “Risk Factors,” “Management’s Discussion and Analysis of Financial Condition and Results of Operations” and “Business,” in our 2022 Form 10-K.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risk factors discussed under the section entitled “Risk Factors” included in our 2022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rates.There were no material changes to the information on market risk disclosure from our 2022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three months ended April 1, 2023 that have materially affected, or are reasonably likely to materially affect, our internal control over financial reporting.</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We do not believe that these matters, and we are not a party to any other legal proceedings that we believe, if determined adversely to us, would have a material adverse effect on our business,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There have been no material changes to the risk factors as disclosed in our 2022 Form 10-K. The risks described in the section entitled “Item 1A. Risk Factors” in our 2022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Sale of Unregistered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sales of unregistered equity securities during the three months ended April 1, 2023.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77"/>
        </w:trPr>
        <w:tc>
          <w:tcPr>
            <w:tcW w:w="1280" w:type="dxa"/>
            <w:vAlign w:val="bottom"/>
          </w:tcPr>
          <w:p>
            <w:pPr>
              <w:spacing w:after="0"/>
              <w:rPr>
                <w:sz w:val="20"/>
                <w:szCs w:val="20"/>
                <w:color w:val="auto"/>
              </w:rPr>
            </w:pPr>
            <w:r>
              <w:rPr>
                <w:rFonts w:ascii="Arial" w:cs="Arial" w:eastAsia="Arial" w:hAnsi="Arial"/>
                <w:sz w:val="18"/>
                <w:szCs w:val="18"/>
                <w:b w:val="1"/>
                <w:bCs w:val="1"/>
                <w:color w:val="auto"/>
                <w:w w:val="95"/>
              </w:rPr>
              <w:t>Item 6. Exhibits</w:t>
            </w: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5"/>
        </w:trPr>
        <w:tc>
          <w:tcPr>
            <w:tcW w:w="1280" w:type="dxa"/>
            <w:vAlign w:val="bottom"/>
          </w:tcPr>
          <w:p>
            <w:pPr>
              <w:jc w:val="center"/>
              <w:ind w:right="150"/>
              <w:spacing w:after="0"/>
              <w:rPr>
                <w:sz w:val="20"/>
                <w:szCs w:val="20"/>
                <w:color w:val="auto"/>
              </w:rPr>
            </w:pPr>
            <w:r>
              <w:rPr>
                <w:rFonts w:ascii="Arial" w:cs="Arial" w:eastAsia="Arial" w:hAnsi="Arial"/>
                <w:sz w:val="18"/>
                <w:szCs w:val="18"/>
                <w:color w:val="auto"/>
                <w:w w:val="95"/>
              </w:rPr>
              <w:t>31.1*</w:t>
            </w:r>
          </w:p>
        </w:tc>
        <w:tc>
          <w:tcPr>
            <w:tcW w:w="20" w:type="dxa"/>
            <w:vAlign w:val="bottom"/>
          </w:tcPr>
          <w:p>
            <w:pPr>
              <w:spacing w:after="0"/>
              <w:rPr>
                <w:sz w:val="24"/>
                <w:szCs w:val="24"/>
                <w:color w:val="auto"/>
              </w:rPr>
            </w:pPr>
          </w:p>
        </w:tc>
        <w:tc>
          <w:tcPr>
            <w:tcW w:w="74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of the Chief Executive Officer pursuant to Section 302 of the Sarbanes-Oxley Act of 2002.</w:t>
            </w:r>
          </w:p>
        </w:tc>
        <w:tc>
          <w:tcPr>
            <w:tcW w:w="1140" w:type="dxa"/>
            <w:vAlign w:val="bottom"/>
          </w:tcPr>
          <w:p>
            <w:pPr>
              <w:spacing w:after="0"/>
              <w:rPr>
                <w:sz w:val="24"/>
                <w:szCs w:val="24"/>
                <w:color w:val="auto"/>
              </w:rPr>
            </w:pPr>
          </w:p>
        </w:tc>
      </w:tr>
      <w:tr>
        <w:trPr>
          <w:trHeight w:val="196"/>
        </w:trPr>
        <w:tc>
          <w:tcPr>
            <w:tcW w:w="128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5"/>
              </w:rPr>
              <w:t>31.2*</w:t>
            </w:r>
          </w:p>
        </w:tc>
        <w:tc>
          <w:tcPr>
            <w:tcW w:w="20" w:type="dxa"/>
            <w:vAlign w:val="bottom"/>
          </w:tcPr>
          <w:p>
            <w:pPr>
              <w:spacing w:after="0"/>
              <w:rPr>
                <w:sz w:val="17"/>
                <w:szCs w:val="17"/>
                <w:color w:val="auto"/>
              </w:rPr>
            </w:pPr>
          </w:p>
        </w:tc>
        <w:tc>
          <w:tcPr>
            <w:tcW w:w="8620" w:type="dxa"/>
            <w:vAlign w:val="bottom"/>
            <w:gridSpan w:val="4"/>
          </w:tcPr>
          <w:p>
            <w:pPr>
              <w:spacing w:after="0" w:line="196" w:lineRule="exact"/>
              <w:rPr>
                <w:sz w:val="20"/>
                <w:szCs w:val="20"/>
                <w:color w:val="auto"/>
              </w:rPr>
            </w:pPr>
            <w:r>
              <w:rPr>
                <w:rFonts w:ascii="Arial" w:cs="Arial" w:eastAsia="Arial" w:hAnsi="Arial"/>
                <w:sz w:val="18"/>
                <w:szCs w:val="18"/>
                <w:color w:val="0000EE"/>
              </w:rPr>
              <w:t>Certification of the Chief Financial Officer pursuant to Section 302 of the Sarbanes-Oxley Act of 2002.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96"/>
        </w:trPr>
        <w:tc>
          <w:tcPr>
            <w:tcW w:w="128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5"/>
              </w:rPr>
              <w:t>32.1*</w:t>
            </w:r>
          </w:p>
        </w:tc>
        <w:tc>
          <w:tcPr>
            <w:tcW w:w="20" w:type="dxa"/>
            <w:vAlign w:val="bottom"/>
          </w:tcPr>
          <w:p>
            <w:pPr>
              <w:spacing w:after="0"/>
              <w:rPr>
                <w:sz w:val="17"/>
                <w:szCs w:val="17"/>
                <w:color w:val="auto"/>
              </w:rPr>
            </w:pPr>
          </w:p>
        </w:tc>
        <w:tc>
          <w:tcPr>
            <w:tcW w:w="8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Certificate of the Chief Executive Officer of Mobileye Global Inc. pursuant to 18 U.S.C. § 1350 as adopted pursuant to</w:t>
            </w: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gridSpan w:val="4"/>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r>
      <w:tr>
        <w:trPr>
          <w:trHeight w:val="196"/>
        </w:trPr>
        <w:tc>
          <w:tcPr>
            <w:tcW w:w="128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5"/>
              </w:rPr>
              <w:t>32.2*</w:t>
            </w:r>
          </w:p>
        </w:tc>
        <w:tc>
          <w:tcPr>
            <w:tcW w:w="20" w:type="dxa"/>
            <w:vAlign w:val="bottom"/>
          </w:tcPr>
          <w:p>
            <w:pPr>
              <w:spacing w:after="0"/>
              <w:rPr>
                <w:sz w:val="17"/>
                <w:szCs w:val="17"/>
                <w:color w:val="auto"/>
              </w:rPr>
            </w:pPr>
          </w:p>
        </w:tc>
        <w:tc>
          <w:tcPr>
            <w:tcW w:w="86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Certificate of the Chief Financial Officer of Mobileye Global Inc. pursuant to 18 U.S.C. § 1350 as adopted pursuant to</w:t>
            </w: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gridSpan w:val="4"/>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r>
      <w:tr>
        <w:trPr>
          <w:trHeight w:val="222"/>
        </w:trPr>
        <w:tc>
          <w:tcPr>
            <w:tcW w:w="1280" w:type="dxa"/>
            <w:vAlign w:val="bottom"/>
          </w:tcPr>
          <w:p>
            <w:pPr>
              <w:jc w:val="center"/>
              <w:ind w:right="150"/>
              <w:spacing w:after="0"/>
              <w:rPr>
                <w:sz w:val="20"/>
                <w:szCs w:val="20"/>
                <w:color w:val="auto"/>
              </w:rPr>
            </w:pPr>
            <w:r>
              <w:rPr>
                <w:rFonts w:ascii="Arial" w:cs="Arial" w:eastAsia="Arial" w:hAnsi="Arial"/>
                <w:sz w:val="18"/>
                <w:szCs w:val="18"/>
                <w:color w:val="auto"/>
                <w:w w:val="97"/>
              </w:rPr>
              <w:t>101*</w:t>
            </w:r>
          </w:p>
        </w:tc>
        <w:tc>
          <w:tcPr>
            <w:tcW w:w="20" w:type="dxa"/>
            <w:vAlign w:val="bottom"/>
          </w:tcPr>
          <w:p>
            <w:pPr>
              <w:spacing w:after="0"/>
              <w:rPr>
                <w:sz w:val="19"/>
                <w:szCs w:val="19"/>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w w:val="94"/>
              </w:rPr>
              <w:t>The following financial statements from Mobileye Global Inc.’s Quarterly Report on Form 10-Q for the three months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w w:val="92"/>
              </w:rPr>
              <w:t>ended April 1, 2023, filed with the Securities and Exchange Commission on May 11, 2023, formatted in iXBRL (Inline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w w:val="93"/>
              </w:rPr>
              <w:t>eXtensible Business Reporting Language): (i) the Consolidated Balance Sheets, (ii) the Consolidated Statements of</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w w:val="97"/>
              </w:rPr>
              <w:t>Operations and Comprehensive Income (Loss), (iii) the Consolidated Statements of Changes in Equity, (iv) the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Consolidated Statemetns of Cash Flows and (v) the Notes to Consolidated Financial Statements.</w:t>
            </w:r>
          </w:p>
        </w:tc>
      </w:tr>
      <w:tr>
        <w:trPr>
          <w:trHeight w:val="230"/>
        </w:trPr>
        <w:tc>
          <w:tcPr>
            <w:tcW w:w="1280" w:type="dxa"/>
            <w:vAlign w:val="bottom"/>
          </w:tcPr>
          <w:p>
            <w:pPr>
              <w:jc w:val="center"/>
              <w:ind w:right="150"/>
              <w:spacing w:after="0"/>
              <w:rPr>
                <w:sz w:val="20"/>
                <w:szCs w:val="20"/>
                <w:color w:val="auto"/>
              </w:rPr>
            </w:pPr>
            <w:r>
              <w:rPr>
                <w:rFonts w:ascii="Arial" w:cs="Arial" w:eastAsia="Arial" w:hAnsi="Arial"/>
                <w:sz w:val="18"/>
                <w:szCs w:val="18"/>
                <w:color w:val="auto"/>
                <w:w w:val="97"/>
              </w:rPr>
              <w:t>104*</w:t>
            </w:r>
          </w:p>
        </w:tc>
        <w:tc>
          <w:tcPr>
            <w:tcW w:w="20" w:type="dxa"/>
            <w:vAlign w:val="bottom"/>
          </w:tcPr>
          <w:p>
            <w:pPr>
              <w:spacing w:after="0"/>
              <w:rPr>
                <w:sz w:val="20"/>
                <w:szCs w:val="20"/>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90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Mobileye Global Inc.</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20"/>
                <w:szCs w:val="20"/>
                <w:color w:val="auto"/>
              </w:rPr>
            </w:pPr>
            <w:r>
              <w:rPr>
                <w:rFonts w:ascii="Arial" w:cs="Arial" w:eastAsia="Arial" w:hAnsi="Arial"/>
                <w:sz w:val="18"/>
                <w:szCs w:val="18"/>
                <w:color w:val="auto"/>
              </w:rPr>
              <w:t>Date: May 11, 2023</w:t>
            </w:r>
          </w:p>
        </w:tc>
        <w:tc>
          <w:tcPr>
            <w:tcW w:w="4660" w:type="dxa"/>
            <w:vAlign w:val="bottom"/>
          </w:tcPr>
          <w:p>
            <w:pPr>
              <w:spacing w:after="0"/>
              <w:rPr>
                <w:sz w:val="17"/>
                <w:szCs w:val="17"/>
                <w:color w:val="auto"/>
              </w:rPr>
            </w:pPr>
          </w:p>
        </w:tc>
      </w:tr>
      <w:tr>
        <w:trPr>
          <w:trHeight w:val="230"/>
        </w:trPr>
        <w:tc>
          <w:tcPr>
            <w:tcW w:w="5260" w:type="dxa"/>
            <w:vAlign w:val="bottom"/>
          </w:tcPr>
          <w:p>
            <w:pPr>
              <w:ind w:left="49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Professor Amnon Shashua</w:t>
            </w:r>
          </w:p>
        </w:tc>
      </w:tr>
      <w:tr>
        <w:trPr>
          <w:trHeight w:val="195"/>
        </w:trPr>
        <w:tc>
          <w:tcPr>
            <w:tcW w:w="5260" w:type="dxa"/>
            <w:vAlign w:val="bottom"/>
          </w:tcPr>
          <w:p>
            <w:pPr>
              <w:spacing w:after="0"/>
              <w:rPr>
                <w:sz w:val="16"/>
                <w:szCs w:val="16"/>
                <w:color w:val="auto"/>
              </w:rPr>
            </w:pPr>
          </w:p>
        </w:tc>
        <w:tc>
          <w:tcPr>
            <w:tcW w:w="4660" w:type="dxa"/>
            <w:vAlign w:val="bottom"/>
          </w:tcPr>
          <w:p>
            <w:pPr>
              <w:jc w:val="center"/>
              <w:spacing w:after="0" w:line="195" w:lineRule="exact"/>
              <w:rPr>
                <w:sz w:val="20"/>
                <w:szCs w:val="20"/>
                <w:color w:val="auto"/>
              </w:rPr>
            </w:pPr>
            <w:r>
              <w:rPr>
                <w:rFonts w:ascii="Arial" w:cs="Arial" w:eastAsia="Arial" w:hAnsi="Arial"/>
                <w:sz w:val="18"/>
                <w:szCs w:val="18"/>
                <w:color w:val="auto"/>
                <w:w w:val="88"/>
              </w:rPr>
              <w:t>Professor Amnon Shashua</w:t>
            </w:r>
          </w:p>
        </w:tc>
      </w:tr>
      <w:tr>
        <w:trPr>
          <w:trHeight w:val="216"/>
        </w:trPr>
        <w:tc>
          <w:tcPr>
            <w:tcW w:w="526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2"/>
              </w:rPr>
              <w:t>Chief Executive Officer, President and Director (Principal</w:t>
            </w:r>
          </w:p>
        </w:tc>
      </w:tr>
      <w:tr>
        <w:trPr>
          <w:trHeight w:val="230"/>
        </w:trPr>
        <w:tc>
          <w:tcPr>
            <w:tcW w:w="526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4"/>
              </w:rPr>
              <w:t>Executive Officer)</w:t>
            </w:r>
          </w:p>
        </w:tc>
      </w:tr>
      <w:tr>
        <w:trPr>
          <w:trHeight w:val="432"/>
        </w:trPr>
        <w:tc>
          <w:tcPr>
            <w:tcW w:w="5260" w:type="dxa"/>
            <w:vAlign w:val="bottom"/>
          </w:tcPr>
          <w:p>
            <w:pPr>
              <w:ind w:left="49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Anat Heller</w:t>
            </w:r>
          </w:p>
        </w:tc>
      </w:tr>
      <w:tr>
        <w:trPr>
          <w:trHeight w:val="195"/>
        </w:trPr>
        <w:tc>
          <w:tcPr>
            <w:tcW w:w="5260" w:type="dxa"/>
            <w:vAlign w:val="bottom"/>
          </w:tcPr>
          <w:p>
            <w:pPr>
              <w:spacing w:after="0"/>
              <w:rPr>
                <w:sz w:val="16"/>
                <w:szCs w:val="16"/>
                <w:color w:val="auto"/>
              </w:rPr>
            </w:pPr>
          </w:p>
        </w:tc>
        <w:tc>
          <w:tcPr>
            <w:tcW w:w="4660" w:type="dxa"/>
            <w:vAlign w:val="bottom"/>
          </w:tcPr>
          <w:p>
            <w:pPr>
              <w:jc w:val="center"/>
              <w:spacing w:after="0" w:line="195" w:lineRule="exact"/>
              <w:rPr>
                <w:sz w:val="20"/>
                <w:szCs w:val="20"/>
                <w:color w:val="auto"/>
              </w:rPr>
            </w:pPr>
            <w:r>
              <w:rPr>
                <w:rFonts w:ascii="Arial" w:cs="Arial" w:eastAsia="Arial" w:hAnsi="Arial"/>
                <w:sz w:val="18"/>
                <w:szCs w:val="18"/>
                <w:color w:val="auto"/>
                <w:w w:val="96"/>
              </w:rPr>
              <w:t>Anat Heller</w:t>
            </w:r>
          </w:p>
        </w:tc>
      </w:tr>
      <w:tr>
        <w:trPr>
          <w:trHeight w:val="216"/>
        </w:trPr>
        <w:tc>
          <w:tcPr>
            <w:tcW w:w="526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3"/>
              </w:rPr>
              <w:t>Chief Financial Officer (Principal Financial and Accounting</w:t>
            </w:r>
          </w:p>
        </w:tc>
      </w:tr>
      <w:tr>
        <w:trPr>
          <w:trHeight w:val="230"/>
        </w:trPr>
        <w:tc>
          <w:tcPr>
            <w:tcW w:w="5260" w:type="dxa"/>
            <w:vAlign w:val="bottom"/>
          </w:tcPr>
          <w:p>
            <w:pPr>
              <w:spacing w:after="0"/>
              <w:rPr>
                <w:sz w:val="20"/>
                <w:szCs w:val="20"/>
                <w:color w:val="auto"/>
              </w:rPr>
            </w:pPr>
          </w:p>
        </w:tc>
        <w:tc>
          <w:tcPr>
            <w:tcW w:w="4660" w:type="dxa"/>
            <w:vAlign w:val="bottom"/>
          </w:tcPr>
          <w:p>
            <w:pPr>
              <w:jc w:val="center"/>
              <w:spacing w:after="0"/>
              <w:rPr>
                <w:sz w:val="20"/>
                <w:szCs w:val="20"/>
                <w:color w:val="auto"/>
              </w:rPr>
            </w:pPr>
            <w:r>
              <w:rPr>
                <w:rFonts w:ascii="Arial" w:cs="Arial" w:eastAsia="Arial" w:hAnsi="Arial"/>
                <w:sz w:val="18"/>
                <w:szCs w:val="18"/>
                <w:color w:val="auto"/>
                <w:w w:val="98"/>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Certification of the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Professor </w:t>
      </w:r>
      <w:r>
        <w:rPr>
          <w:rFonts w:ascii="Arial" w:cs="Arial" w:eastAsia="Arial" w:hAnsi="Arial"/>
          <w:sz w:val="18"/>
          <w:szCs w:val="18"/>
          <w:color w:val="231F20"/>
        </w:rPr>
        <w:t>Amnon Shashua</w:t>
      </w:r>
      <w:r>
        <w:rPr>
          <w:rFonts w:ascii="Arial" w:cs="Arial" w:eastAsia="Arial" w:hAnsi="Arial"/>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Mobileye Global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300" w:right="180" w:hanging="320"/>
        <w:spacing w:after="0" w:line="25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 13a-14];</w:t>
      </w:r>
    </w:p>
    <w:p>
      <w:pPr>
        <w:spacing w:after="0" w:line="225" w:lineRule="exact"/>
        <w:rPr>
          <w:rFonts w:ascii="Arial" w:cs="Arial" w:eastAsia="Arial" w:hAnsi="Arial"/>
          <w:sz w:val="18"/>
          <w:szCs w:val="18"/>
          <w:color w:val="auto"/>
        </w:rPr>
      </w:pPr>
    </w:p>
    <w:p>
      <w:pPr>
        <w:ind w:left="1300" w:right="260" w:hanging="320"/>
        <w:spacing w:after="0" w:line="26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00" w:hanging="320"/>
        <w:spacing w:after="0" w:line="25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60" w:hanging="320"/>
        <w:spacing w:after="0" w:line="263"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Date: May 11, 2023</w:t>
            </w:r>
          </w:p>
        </w:tc>
        <w:tc>
          <w:tcPr>
            <w:tcW w:w="4820" w:type="dxa"/>
            <w:vAlign w:val="bottom"/>
            <w:vMerge w:val="restart"/>
          </w:tcPr>
          <w:p>
            <w:pPr>
              <w:ind w:left="1720"/>
              <w:spacing w:after="0"/>
              <w:rPr>
                <w:sz w:val="20"/>
                <w:szCs w:val="20"/>
                <w:color w:val="auto"/>
              </w:rPr>
            </w:pPr>
            <w:r>
              <w:rPr>
                <w:rFonts w:ascii="Arial" w:cs="Arial" w:eastAsia="Arial" w:hAnsi="Arial"/>
                <w:sz w:val="18"/>
                <w:szCs w:val="18"/>
                <w:color w:val="auto"/>
              </w:rPr>
              <w:t>/s/ Amnon Shashua</w:t>
            </w:r>
          </w:p>
        </w:tc>
        <w:tc>
          <w:tcPr>
            <w:tcW w:w="0" w:type="dxa"/>
            <w:vAlign w:val="bottom"/>
          </w:tcPr>
          <w:p>
            <w:pPr>
              <w:spacing w:after="0"/>
              <w:rPr>
                <w:sz w:val="1"/>
                <w:szCs w:val="1"/>
                <w:color w:val="auto"/>
              </w:rPr>
            </w:pPr>
          </w:p>
        </w:tc>
      </w:tr>
      <w:tr>
        <w:trPr>
          <w:trHeight w:val="222"/>
        </w:trPr>
        <w:tc>
          <w:tcPr>
            <w:tcW w:w="5100" w:type="dxa"/>
            <w:vAlign w:val="bottom"/>
          </w:tcPr>
          <w:p>
            <w:pPr>
              <w:ind w:left="4840"/>
              <w:spacing w:after="0"/>
              <w:rPr>
                <w:sz w:val="20"/>
                <w:szCs w:val="20"/>
                <w:color w:val="auto"/>
              </w:rPr>
            </w:pPr>
            <w:r>
              <w:rPr>
                <w:rFonts w:ascii="Arial" w:cs="Arial" w:eastAsia="Arial" w:hAnsi="Arial"/>
                <w:sz w:val="18"/>
                <w:szCs w:val="18"/>
                <w:color w:val="auto"/>
                <w:w w:val="92"/>
              </w:rPr>
              <w:t>By:</w:t>
            </w:r>
          </w:p>
        </w:tc>
        <w:tc>
          <w:tcPr>
            <w:tcW w:w="4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231F20"/>
              </w:rPr>
              <w:t>Professor Amnon Shashua</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777"/>
        </w:trPr>
        <w:tc>
          <w:tcPr>
            <w:tcW w:w="5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color w:val="231F20"/>
        </w:rPr>
        <w:t>Anat Heller</w:t>
      </w:r>
      <w:r>
        <w:rPr>
          <w:rFonts w:ascii="Arial" w:cs="Arial" w:eastAsia="Arial" w:hAnsi="Arial"/>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Mobileye Global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300" w:right="180" w:hanging="320"/>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intentionally omitted pursuant to Exchange Act Rule 13a-14];</w:t>
      </w:r>
    </w:p>
    <w:p>
      <w:pPr>
        <w:spacing w:after="0" w:line="225" w:lineRule="exact"/>
        <w:rPr>
          <w:rFonts w:ascii="Arial" w:cs="Arial" w:eastAsia="Arial" w:hAnsi="Arial"/>
          <w:sz w:val="18"/>
          <w:szCs w:val="18"/>
          <w:color w:val="auto"/>
        </w:rPr>
      </w:pPr>
    </w:p>
    <w:p>
      <w:pPr>
        <w:ind w:left="1300" w:right="260" w:hanging="320"/>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00" w:hanging="320"/>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60" w:hanging="320"/>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3" w:lineRule="exact"/>
        <w:rPr>
          <w:sz w:val="20"/>
          <w:szCs w:val="20"/>
          <w:color w:val="auto"/>
        </w:rPr>
      </w:pPr>
    </w:p>
    <w:p>
      <w:pPr>
        <w:ind w:left="4840"/>
        <w:spacing w:after="0"/>
        <w:tabs>
          <w:tab w:leader="none" w:pos="70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12065</wp:posOffset>
            </wp:positionV>
            <wp:extent cx="3068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6" w:lineRule="exact"/>
        <w:rPr>
          <w:sz w:val="20"/>
          <w:szCs w:val="20"/>
          <w:color w:val="auto"/>
        </w:rPr>
      </w:pPr>
    </w:p>
    <w:p>
      <w:pPr>
        <w:ind w:left="5080"/>
        <w:spacing w:after="0"/>
        <w:rPr>
          <w:sz w:val="20"/>
          <w:szCs w:val="20"/>
          <w:color w:val="auto"/>
        </w:rPr>
      </w:pPr>
      <w:r>
        <w:rPr>
          <w:rFonts w:ascii="Arial" w:cs="Arial" w:eastAsia="Arial" w:hAnsi="Arial"/>
          <w:sz w:val="18"/>
          <w:szCs w:val="18"/>
          <w:color w:val="231F20"/>
        </w:rPr>
        <w:t>Anat Heller</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231F20"/>
        </w:rPr>
        <w:t>Chief Financial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Chief Executive Officer of Mobileye Global Inc. pursuant to 18 U.S.C. §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In connection with the Quarterly Report on Form 10-Q of Mobileye Global Inc. for the period ending April 1, 2023 as filed with the Securities and Exchange Commission on the date hereof (the “Report”), I, </w:t>
      </w:r>
      <w:r>
        <w:rPr>
          <w:rFonts w:ascii="Arial" w:cs="Arial" w:eastAsia="Arial" w:hAnsi="Arial"/>
          <w:sz w:val="18"/>
          <w:szCs w:val="18"/>
          <w:color w:val="231F20"/>
        </w:rPr>
        <w:t>Professor Amnon Shashua</w:t>
      </w:r>
      <w:r>
        <w:rPr>
          <w:rFonts w:ascii="Arial" w:cs="Arial" w:eastAsia="Arial" w:hAnsi="Arial"/>
          <w:sz w:val="18"/>
          <w:szCs w:val="18"/>
          <w:color w:val="auto"/>
        </w:rPr>
        <w:t>, certify,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Mobileye Global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ind w:left="49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8"/>
                <w:szCs w:val="18"/>
                <w:color w:val="auto"/>
              </w:rPr>
            </w:pPr>
          </w:p>
        </w:tc>
        <w:tc>
          <w:tcPr>
            <w:tcW w:w="46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 Amnon Shashua</w:t>
            </w:r>
          </w:p>
        </w:tc>
      </w:tr>
      <w:tr>
        <w:trPr>
          <w:trHeight w:val="195"/>
        </w:trPr>
        <w:tc>
          <w:tcPr>
            <w:tcW w:w="5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231F20"/>
              </w:rPr>
              <w:t>Professor Amnon Shashua</w:t>
            </w:r>
          </w:p>
        </w:tc>
      </w:tr>
      <w:tr>
        <w:trPr>
          <w:trHeight w:val="216"/>
        </w:trPr>
        <w:tc>
          <w:tcPr>
            <w:tcW w:w="5260" w:type="dxa"/>
            <w:vAlign w:val="bottom"/>
          </w:tcPr>
          <w:p>
            <w:pPr>
              <w:spacing w:after="0"/>
              <w:rPr>
                <w:sz w:val="18"/>
                <w:szCs w:val="18"/>
                <w:color w:val="auto"/>
              </w:rPr>
            </w:pPr>
          </w:p>
        </w:tc>
        <w:tc>
          <w:tcPr>
            <w:tcW w:w="46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30"/>
        </w:trPr>
        <w:tc>
          <w:tcPr>
            <w:tcW w:w="5260" w:type="dxa"/>
            <w:vAlign w:val="bottom"/>
          </w:tcPr>
          <w:p>
            <w:pPr>
              <w:spacing w:after="0"/>
              <w:rPr>
                <w:sz w:val="20"/>
                <w:szCs w:val="20"/>
                <w:color w:val="auto"/>
              </w:rPr>
            </w:pPr>
          </w:p>
        </w:tc>
        <w:tc>
          <w:tcPr>
            <w:tcW w:w="466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r>
      <w:tr>
        <w:trPr>
          <w:trHeight w:val="777"/>
        </w:trPr>
        <w:tc>
          <w:tcPr>
            <w:tcW w:w="5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Chief Financial Officer of Mobileye Global Inc. pursuant to 18 U.S.C.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1350 as adopted pursuant to Section 906 of the Sarbanes-Oxley Act of 2002.</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In connection with the Quarterly Report on Form 10-Q of Mobileye Global Inc. for the period ending April 1, 2023 as filed with the Securities and Exchange Commission on the date hereof (the “Report”), I, </w:t>
      </w:r>
      <w:r>
        <w:rPr>
          <w:rFonts w:ascii="Arial" w:cs="Arial" w:eastAsia="Arial" w:hAnsi="Arial"/>
          <w:sz w:val="18"/>
          <w:szCs w:val="18"/>
          <w:color w:val="231F20"/>
        </w:rPr>
        <w:t>Anat Heller</w:t>
      </w:r>
      <w:r>
        <w:rPr>
          <w:rFonts w:ascii="Arial" w:cs="Arial" w:eastAsia="Arial" w:hAnsi="Arial"/>
          <w:sz w:val="18"/>
          <w:szCs w:val="18"/>
          <w:color w:val="auto"/>
        </w:rPr>
        <w:t>, certify,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Mobileye Global Inc.</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11, 2023</w:t>
      </w:r>
    </w:p>
    <w:p>
      <w:pPr>
        <w:spacing w:after="0" w:line="23" w:lineRule="exact"/>
        <w:rPr>
          <w:sz w:val="20"/>
          <w:szCs w:val="20"/>
          <w:color w:val="auto"/>
        </w:rPr>
      </w:pPr>
    </w:p>
    <w:p>
      <w:pPr>
        <w:ind w:left="4980"/>
        <w:spacing w:after="0"/>
        <w:tabs>
          <w:tab w:leader="none" w:pos="71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12065</wp:posOffset>
            </wp:positionV>
            <wp:extent cx="29317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6" w:lineRule="exact"/>
        <w:rPr>
          <w:sz w:val="20"/>
          <w:szCs w:val="20"/>
          <w:color w:val="auto"/>
        </w:rPr>
      </w:pPr>
    </w:p>
    <w:p>
      <w:pPr>
        <w:ind w:left="5300"/>
        <w:spacing w:after="0"/>
        <w:rPr>
          <w:sz w:val="20"/>
          <w:szCs w:val="20"/>
          <w:color w:val="auto"/>
        </w:rPr>
      </w:pPr>
      <w:r>
        <w:rPr>
          <w:rFonts w:ascii="Arial" w:cs="Arial" w:eastAsia="Arial" w:hAnsi="Arial"/>
          <w:sz w:val="18"/>
          <w:szCs w:val="18"/>
          <w:color w:val="231F20"/>
        </w:rPr>
        <w:t>Anat Heller</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231F20"/>
        </w:rPr>
        <w:t>Chief Financial Officer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2023-05-11T06:28:24Z</dcterms:created>
  <dcterms:modified xsi:type="dcterms:W3CDTF">2023-05-11T06:28:24Z</dcterms:modified>
</cp:coreProperties>
</file>